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60D" w:rsidRPr="0088260D" w:rsidRDefault="0088260D" w:rsidP="0088260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826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8260D" w:rsidRPr="0088260D" w:rsidRDefault="0088260D" w:rsidP="0088260D">
      <w:pPr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The authors present a unique case report illustrating the occurrence of a rare giant adrenal</w:t>
      </w:r>
    </w:p>
    <w:p w:rsidR="0088260D" w:rsidRPr="0088260D" w:rsidRDefault="0088260D" w:rsidP="0088260D">
      <w:pPr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myelolipoma in a patient with sickle cell disease. Adrenal myelolipoma (AML) is a rare, slow-</w:t>
      </w:r>
    </w:p>
    <w:p w:rsidR="0088260D" w:rsidRPr="0088260D" w:rsidRDefault="0088260D" w:rsidP="0088260D">
      <w:pPr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growing, non-malignant tumor composed of adipose and hematopoietic tissue caused by</w:t>
      </w:r>
    </w:p>
    <w:p w:rsidR="0088260D" w:rsidRPr="0088260D" w:rsidRDefault="0088260D" w:rsidP="0088260D">
      <w:pPr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reticuloendothelial cell metaplasia. This case report and literature review detail the diagnostic,</w:t>
      </w:r>
    </w:p>
    <w:p w:rsidR="0088260D" w:rsidRPr="0088260D" w:rsidRDefault="0088260D" w:rsidP="0088260D">
      <w:pPr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medical, and surgical management of a 14-year-old boy with sickle cell disease who presented</w:t>
      </w:r>
    </w:p>
    <w:p w:rsidR="0088260D" w:rsidRPr="0088260D" w:rsidRDefault="0088260D" w:rsidP="0088260D">
      <w:pPr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with a giant adrenal myelolipoma that was symptomatic. He had a one-week history of bilateral</w:t>
      </w:r>
    </w:p>
    <w:p w:rsidR="0088260D" w:rsidRPr="0088260D" w:rsidRDefault="0088260D" w:rsidP="0088260D">
      <w:pPr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leg edema, and examination revealed a mass in the right lumbar region. Ultrasound revealed a</w:t>
      </w:r>
    </w:p>
    <w:p w:rsidR="0088260D" w:rsidRPr="0088260D" w:rsidRDefault="0088260D" w:rsidP="0088260D">
      <w:pPr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right-sided adrenal mass displacing the right kidney inferiorly. Computed tomography (CT) scan</w:t>
      </w:r>
    </w:p>
    <w:p w:rsidR="0088260D" w:rsidRPr="0088260D" w:rsidRDefault="0088260D" w:rsidP="0088260D">
      <w:pPr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revealed a large mass occupying the right adrenal gland. He subsequently underwent exploratory</w:t>
      </w:r>
    </w:p>
    <w:p w:rsidR="0088260D" w:rsidRPr="0088260D" w:rsidRDefault="0088260D" w:rsidP="0088260D">
      <w:pPr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laparotomy with excision of the adrenal mass. Immunohistochemical analysis of the mass</w:t>
      </w:r>
    </w:p>
    <w:p w:rsidR="0088260D" w:rsidRPr="0088260D" w:rsidRDefault="0088260D" w:rsidP="0088260D">
      <w:pPr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confirmed the diagnosis of adrenal myelolipoma. Adrenal myelolipomas are rare tumors and a</w:t>
      </w:r>
    </w:p>
    <w:p w:rsidR="0088260D" w:rsidRPr="0088260D" w:rsidRDefault="0088260D" w:rsidP="0088260D">
      <w:pPr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high index of suspicion is required for early diagnosis, as late presentation and diagnosis may</w:t>
      </w:r>
    </w:p>
    <w:p w:rsidR="0088260D" w:rsidRPr="0088260D" w:rsidRDefault="0088260D" w:rsidP="0088260D">
      <w:pPr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result in obstructive symptoms and blood vessel compression, which was the basis of this case.</w:t>
      </w:r>
    </w:p>
    <w:p w:rsidR="0088260D" w:rsidRPr="0088260D" w:rsidRDefault="0088260D" w:rsidP="0088260D">
      <w:pPr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The manuscript is well written and appears ready for publication, the authors were consistent and</w:t>
      </w:r>
    </w:p>
    <w:p w:rsidR="0088260D" w:rsidRPr="0088260D" w:rsidRDefault="0088260D" w:rsidP="0088260D">
      <w:pPr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clearly presented this rare case, which should be reported as the findings may be of interest to</w:t>
      </w:r>
    </w:p>
    <w:p w:rsidR="0088260D" w:rsidRPr="0088260D" w:rsidRDefault="0088260D" w:rsidP="0088260D">
      <w:pPr>
        <w:rPr>
          <w:rFonts w:ascii="Arial" w:hAnsi="Arial" w:cs="Arial"/>
          <w:b/>
          <w:sz w:val="20"/>
          <w:szCs w:val="20"/>
          <w:u w:val="single"/>
        </w:rPr>
      </w:pPr>
      <w:r w:rsidRPr="0088260D">
        <w:rPr>
          <w:rFonts w:ascii="Arial" w:hAnsi="Arial" w:cs="Arial"/>
          <w:sz w:val="20"/>
          <w:szCs w:val="20"/>
        </w:rPr>
        <w:t>others.</w:t>
      </w:r>
    </w:p>
    <w:p w:rsidR="0088260D" w:rsidRPr="0088260D" w:rsidRDefault="0088260D" w:rsidP="0088260D">
      <w:pPr>
        <w:rPr>
          <w:rFonts w:ascii="Arial" w:hAnsi="Arial" w:cs="Arial"/>
          <w:b/>
          <w:sz w:val="20"/>
          <w:szCs w:val="20"/>
          <w:u w:val="single"/>
        </w:rPr>
      </w:pPr>
    </w:p>
    <w:p w:rsidR="0088260D" w:rsidRPr="0088260D" w:rsidRDefault="0088260D" w:rsidP="0088260D">
      <w:pPr>
        <w:rPr>
          <w:rFonts w:ascii="Arial" w:hAnsi="Arial" w:cs="Arial"/>
          <w:b/>
          <w:sz w:val="20"/>
          <w:szCs w:val="20"/>
          <w:u w:val="single"/>
        </w:rPr>
      </w:pPr>
      <w:r w:rsidRPr="008826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8260D" w:rsidRPr="0088260D" w:rsidRDefault="0088260D" w:rsidP="0088260D">
      <w:pPr>
        <w:pStyle w:val="NoSpacing"/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 xml:space="preserve">Dr. Elvira </w:t>
      </w:r>
      <w:proofErr w:type="spellStart"/>
      <w:r w:rsidRPr="0088260D">
        <w:rPr>
          <w:rFonts w:ascii="Arial" w:hAnsi="Arial" w:cs="Arial"/>
          <w:sz w:val="20"/>
          <w:szCs w:val="20"/>
        </w:rPr>
        <w:t>Bormusov</w:t>
      </w:r>
      <w:proofErr w:type="spellEnd"/>
      <w:r w:rsidRPr="0088260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8260D">
        <w:rPr>
          <w:rFonts w:ascii="Arial" w:hAnsi="Arial" w:cs="Arial"/>
          <w:sz w:val="20"/>
          <w:szCs w:val="20"/>
        </w:rPr>
        <w:t>Retd</w:t>
      </w:r>
      <w:proofErr w:type="spellEnd"/>
      <w:r w:rsidRPr="0088260D">
        <w:rPr>
          <w:rFonts w:ascii="Arial" w:hAnsi="Arial" w:cs="Arial"/>
          <w:sz w:val="20"/>
          <w:szCs w:val="20"/>
        </w:rPr>
        <w:t>.)</w:t>
      </w:r>
    </w:p>
    <w:p w:rsidR="0088260D" w:rsidRPr="0088260D" w:rsidRDefault="0088260D" w:rsidP="0088260D">
      <w:pPr>
        <w:pStyle w:val="NoSpacing"/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>Retired Professor,</w:t>
      </w:r>
    </w:p>
    <w:p w:rsidR="0088260D" w:rsidRPr="0088260D" w:rsidRDefault="0088260D" w:rsidP="0088260D">
      <w:pPr>
        <w:pStyle w:val="NoSpacing"/>
        <w:rPr>
          <w:rFonts w:ascii="Arial" w:hAnsi="Arial" w:cs="Arial"/>
          <w:sz w:val="20"/>
          <w:szCs w:val="20"/>
        </w:rPr>
      </w:pPr>
      <w:r w:rsidRPr="0088260D">
        <w:rPr>
          <w:rFonts w:ascii="Arial" w:hAnsi="Arial" w:cs="Arial"/>
          <w:sz w:val="20"/>
          <w:szCs w:val="20"/>
        </w:rPr>
        <w:t xml:space="preserve">The Lloyd </w:t>
      </w:r>
      <w:proofErr w:type="spellStart"/>
      <w:r w:rsidRPr="0088260D">
        <w:rPr>
          <w:rFonts w:ascii="Arial" w:hAnsi="Arial" w:cs="Arial"/>
          <w:sz w:val="20"/>
          <w:szCs w:val="20"/>
        </w:rPr>
        <w:t>Rigler</w:t>
      </w:r>
      <w:proofErr w:type="spellEnd"/>
      <w:r w:rsidRPr="0088260D">
        <w:rPr>
          <w:rFonts w:ascii="Arial" w:hAnsi="Arial" w:cs="Arial"/>
          <w:sz w:val="20"/>
          <w:szCs w:val="20"/>
        </w:rPr>
        <w:t xml:space="preserve"> Sleep Apnea Research Laboratory,</w:t>
      </w:r>
      <w:r w:rsidRPr="0088260D">
        <w:rPr>
          <w:rFonts w:ascii="Arial" w:hAnsi="Arial" w:cs="Arial"/>
          <w:sz w:val="20"/>
          <w:szCs w:val="20"/>
        </w:rPr>
        <w:t xml:space="preserve"> </w:t>
      </w:r>
      <w:r w:rsidRPr="0088260D">
        <w:rPr>
          <w:rFonts w:ascii="Arial" w:hAnsi="Arial" w:cs="Arial"/>
          <w:sz w:val="20"/>
          <w:szCs w:val="20"/>
        </w:rPr>
        <w:t>Unit of Anatomy and Cell Biology, Israel</w:t>
      </w:r>
      <w:r w:rsidRPr="0088260D">
        <w:rPr>
          <w:rFonts w:ascii="Arial" w:hAnsi="Arial" w:cs="Arial"/>
          <w:sz w:val="20"/>
          <w:szCs w:val="20"/>
        </w:rPr>
        <w:t>.</w:t>
      </w:r>
    </w:p>
    <w:bookmarkEnd w:id="0"/>
    <w:p w:rsidR="003B7D57" w:rsidRPr="0088260D" w:rsidRDefault="0088260D" w:rsidP="0088260D">
      <w:pPr>
        <w:rPr>
          <w:rFonts w:ascii="Arial" w:hAnsi="Arial" w:cs="Arial"/>
          <w:sz w:val="20"/>
          <w:szCs w:val="20"/>
        </w:rPr>
      </w:pPr>
    </w:p>
    <w:sectPr w:rsidR="003B7D57" w:rsidRPr="0088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DF"/>
    <w:rsid w:val="000D4CDF"/>
    <w:rsid w:val="005825BA"/>
    <w:rsid w:val="0088260D"/>
    <w:rsid w:val="00AC5810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16BBB"/>
  <w15:chartTrackingRefBased/>
  <w15:docId w15:val="{9212BE44-1456-4BC8-B244-4E32EBDE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6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9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2025-01-21T07:06:00Z</dcterms:created>
  <dcterms:modified xsi:type="dcterms:W3CDTF">2025-02-19T05:31:00Z</dcterms:modified>
</cp:coreProperties>
</file>