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5590F" w14:textId="6D846E99" w:rsidR="00C204EE" w:rsidRPr="00C204EE" w:rsidRDefault="00C204EE" w:rsidP="00C204EE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bookmarkStart w:id="0" w:name="_GoBack"/>
      <w:r w:rsidRPr="00C204EE">
        <w:rPr>
          <w:rFonts w:ascii="Arial" w:hAnsi="Arial" w:cs="Arial"/>
          <w:b/>
          <w:sz w:val="20"/>
          <w:szCs w:val="20"/>
          <w:u w:val="single"/>
          <w:lang w:val="en-US"/>
        </w:rPr>
        <w:t>Editor’s Comment:</w:t>
      </w:r>
    </w:p>
    <w:p w14:paraId="11295060" w14:textId="77777777" w:rsidR="00C204EE" w:rsidRPr="00C204EE" w:rsidRDefault="00C204EE" w:rsidP="00C204EE">
      <w:pPr>
        <w:rPr>
          <w:rFonts w:ascii="Arial" w:hAnsi="Arial" w:cs="Arial"/>
          <w:sz w:val="20"/>
          <w:szCs w:val="20"/>
        </w:rPr>
      </w:pPr>
      <w:r w:rsidRPr="00C204EE">
        <w:rPr>
          <w:rFonts w:ascii="Arial" w:hAnsi="Arial" w:cs="Arial"/>
          <w:sz w:val="20"/>
          <w:szCs w:val="20"/>
        </w:rPr>
        <w:t>The present study aims to shed light on the diagnostic challenges of DiGeorge syndrome,</w:t>
      </w:r>
    </w:p>
    <w:p w14:paraId="78FD2F30" w14:textId="77777777" w:rsidR="00C204EE" w:rsidRPr="00C204EE" w:rsidRDefault="00C204EE" w:rsidP="00C204EE">
      <w:pPr>
        <w:rPr>
          <w:rFonts w:ascii="Arial" w:hAnsi="Arial" w:cs="Arial"/>
          <w:sz w:val="20"/>
          <w:szCs w:val="20"/>
        </w:rPr>
      </w:pPr>
      <w:r w:rsidRPr="00C204EE">
        <w:rPr>
          <w:rFonts w:ascii="Arial" w:hAnsi="Arial" w:cs="Arial"/>
          <w:sz w:val="20"/>
          <w:szCs w:val="20"/>
        </w:rPr>
        <w:t>advising clinicians to think of it as a multifaceted condition rather than focusing on just one</w:t>
      </w:r>
    </w:p>
    <w:p w14:paraId="24084D1C" w14:textId="77777777" w:rsidR="00C204EE" w:rsidRPr="00C204EE" w:rsidRDefault="00C204EE" w:rsidP="00C204EE">
      <w:pPr>
        <w:rPr>
          <w:rFonts w:ascii="Arial" w:hAnsi="Arial" w:cs="Arial"/>
          <w:sz w:val="20"/>
          <w:szCs w:val="20"/>
        </w:rPr>
      </w:pPr>
      <w:r w:rsidRPr="00C204EE">
        <w:rPr>
          <w:rFonts w:ascii="Arial" w:hAnsi="Arial" w:cs="Arial"/>
          <w:sz w:val="20"/>
          <w:szCs w:val="20"/>
        </w:rPr>
        <w:t>symptom. The author presents the case of a 6-month-old girl born after an uncomplicated</w:t>
      </w:r>
    </w:p>
    <w:p w14:paraId="6D82EAA2" w14:textId="77777777" w:rsidR="00C204EE" w:rsidRPr="00C204EE" w:rsidRDefault="00C204EE" w:rsidP="00C204EE">
      <w:pPr>
        <w:rPr>
          <w:rFonts w:ascii="Arial" w:hAnsi="Arial" w:cs="Arial"/>
          <w:sz w:val="20"/>
          <w:szCs w:val="20"/>
        </w:rPr>
      </w:pPr>
      <w:r w:rsidRPr="00C204EE">
        <w:rPr>
          <w:rFonts w:ascii="Arial" w:hAnsi="Arial" w:cs="Arial"/>
          <w:sz w:val="20"/>
          <w:szCs w:val="20"/>
        </w:rPr>
        <w:t>pregnancy and with a normal prenatal ultrasound who began to show signs of heart failure. After</w:t>
      </w:r>
    </w:p>
    <w:p w14:paraId="52704349" w14:textId="77777777" w:rsidR="00C204EE" w:rsidRPr="00C204EE" w:rsidRDefault="00C204EE" w:rsidP="00C204EE">
      <w:pPr>
        <w:rPr>
          <w:rFonts w:ascii="Arial" w:hAnsi="Arial" w:cs="Arial"/>
          <w:sz w:val="20"/>
          <w:szCs w:val="20"/>
        </w:rPr>
      </w:pPr>
      <w:r w:rsidRPr="00C204EE">
        <w:rPr>
          <w:rFonts w:ascii="Arial" w:hAnsi="Arial" w:cs="Arial"/>
          <w:sz w:val="20"/>
          <w:szCs w:val="20"/>
        </w:rPr>
        <w:t>a series of tests and surgeries, she was eventually diagnosed with DiGeorge syndrome at 9</w:t>
      </w:r>
    </w:p>
    <w:p w14:paraId="37D219DE" w14:textId="77777777" w:rsidR="00C204EE" w:rsidRPr="00C204EE" w:rsidRDefault="00C204EE" w:rsidP="00C204EE">
      <w:pPr>
        <w:rPr>
          <w:rFonts w:ascii="Arial" w:hAnsi="Arial" w:cs="Arial"/>
          <w:sz w:val="20"/>
          <w:szCs w:val="20"/>
        </w:rPr>
      </w:pPr>
      <w:r w:rsidRPr="00C204EE">
        <w:rPr>
          <w:rFonts w:ascii="Arial" w:hAnsi="Arial" w:cs="Arial"/>
          <w:sz w:val="20"/>
          <w:szCs w:val="20"/>
        </w:rPr>
        <w:t xml:space="preserve">months. The fact is that DiGeorge syndrome (also known as </w:t>
      </w:r>
      <w:proofErr w:type="spellStart"/>
      <w:r w:rsidRPr="00C204EE">
        <w:rPr>
          <w:rFonts w:ascii="Arial" w:hAnsi="Arial" w:cs="Arial"/>
          <w:sz w:val="20"/>
          <w:szCs w:val="20"/>
        </w:rPr>
        <w:t>velo</w:t>
      </w:r>
      <w:proofErr w:type="spellEnd"/>
      <w:r w:rsidRPr="00C204EE">
        <w:rPr>
          <w:rFonts w:ascii="Arial" w:hAnsi="Arial" w:cs="Arial"/>
          <w:sz w:val="20"/>
          <w:szCs w:val="20"/>
        </w:rPr>
        <w:t>-cardio-facial syndrome) is a</w:t>
      </w:r>
    </w:p>
    <w:p w14:paraId="12372508" w14:textId="77777777" w:rsidR="00C204EE" w:rsidRPr="00C204EE" w:rsidRDefault="00C204EE" w:rsidP="00C204EE">
      <w:pPr>
        <w:rPr>
          <w:rFonts w:ascii="Arial" w:hAnsi="Arial" w:cs="Arial"/>
          <w:sz w:val="20"/>
          <w:szCs w:val="20"/>
        </w:rPr>
      </w:pPr>
      <w:r w:rsidRPr="00C204EE">
        <w:rPr>
          <w:rFonts w:ascii="Arial" w:hAnsi="Arial" w:cs="Arial"/>
          <w:sz w:val="20"/>
          <w:szCs w:val="20"/>
        </w:rPr>
        <w:t>rare genetic disorder that affects approximately 1 in 4,000 to 6,000 live births. Prenatal screening</w:t>
      </w:r>
    </w:p>
    <w:p w14:paraId="68944D0A" w14:textId="77777777" w:rsidR="00C204EE" w:rsidRPr="00C204EE" w:rsidRDefault="00C204EE" w:rsidP="00C204EE">
      <w:pPr>
        <w:rPr>
          <w:rFonts w:ascii="Arial" w:hAnsi="Arial" w:cs="Arial"/>
          <w:sz w:val="20"/>
          <w:szCs w:val="20"/>
        </w:rPr>
      </w:pPr>
      <w:r w:rsidRPr="00C204EE">
        <w:rPr>
          <w:rFonts w:ascii="Arial" w:hAnsi="Arial" w:cs="Arial"/>
          <w:sz w:val="20"/>
          <w:szCs w:val="20"/>
        </w:rPr>
        <w:t xml:space="preserve">typically involves ultrasound and routine </w:t>
      </w:r>
      <w:proofErr w:type="spellStart"/>
      <w:r w:rsidRPr="00C204EE">
        <w:rPr>
          <w:rFonts w:ascii="Arial" w:hAnsi="Arial" w:cs="Arial"/>
          <w:sz w:val="20"/>
          <w:szCs w:val="20"/>
        </w:rPr>
        <w:t>checkups</w:t>
      </w:r>
      <w:proofErr w:type="spellEnd"/>
      <w:r w:rsidRPr="00C204EE">
        <w:rPr>
          <w:rFonts w:ascii="Arial" w:hAnsi="Arial" w:cs="Arial"/>
          <w:sz w:val="20"/>
          <w:szCs w:val="20"/>
        </w:rPr>
        <w:t>, but the syndrome is difficult to detect with</w:t>
      </w:r>
    </w:p>
    <w:p w14:paraId="1C5C6E1F" w14:textId="77777777" w:rsidR="00C204EE" w:rsidRPr="00C204EE" w:rsidRDefault="00C204EE" w:rsidP="00C204EE">
      <w:pPr>
        <w:rPr>
          <w:rFonts w:ascii="Arial" w:hAnsi="Arial" w:cs="Arial"/>
          <w:sz w:val="20"/>
          <w:szCs w:val="20"/>
        </w:rPr>
      </w:pPr>
      <w:r w:rsidRPr="00C204EE">
        <w:rPr>
          <w:rFonts w:ascii="Arial" w:hAnsi="Arial" w:cs="Arial"/>
          <w:sz w:val="20"/>
          <w:szCs w:val="20"/>
        </w:rPr>
        <w:t>ultrasound alone, especially since it often does not manifest in obvious ways during pregnancy.</w:t>
      </w:r>
    </w:p>
    <w:p w14:paraId="20F96DE9" w14:textId="77777777" w:rsidR="00C204EE" w:rsidRPr="00C204EE" w:rsidRDefault="00C204EE" w:rsidP="00C204EE">
      <w:pPr>
        <w:rPr>
          <w:rFonts w:ascii="Arial" w:hAnsi="Arial" w:cs="Arial"/>
          <w:sz w:val="20"/>
          <w:szCs w:val="20"/>
        </w:rPr>
      </w:pPr>
      <w:r w:rsidRPr="00C204EE">
        <w:rPr>
          <w:rFonts w:ascii="Arial" w:hAnsi="Arial" w:cs="Arial"/>
          <w:sz w:val="20"/>
          <w:szCs w:val="20"/>
        </w:rPr>
        <w:t>Genetic testing is usually performed when doctors suspect a genetic problem, but it can be</w:t>
      </w:r>
    </w:p>
    <w:p w14:paraId="1BFA4489" w14:textId="77777777" w:rsidR="00C204EE" w:rsidRPr="00C204EE" w:rsidRDefault="00C204EE" w:rsidP="00C204EE">
      <w:pPr>
        <w:rPr>
          <w:rFonts w:ascii="Arial" w:hAnsi="Arial" w:cs="Arial"/>
          <w:sz w:val="20"/>
          <w:szCs w:val="20"/>
        </w:rPr>
      </w:pPr>
      <w:r w:rsidRPr="00C204EE">
        <w:rPr>
          <w:rFonts w:ascii="Arial" w:hAnsi="Arial" w:cs="Arial"/>
          <w:sz w:val="20"/>
          <w:szCs w:val="20"/>
        </w:rPr>
        <w:t>missed or delayed, especially when features are subtle. The author has provided an accurate and</w:t>
      </w:r>
    </w:p>
    <w:p w14:paraId="6B23FAC8" w14:textId="77777777" w:rsidR="00C204EE" w:rsidRPr="00C204EE" w:rsidRDefault="00C204EE" w:rsidP="00C204EE">
      <w:pPr>
        <w:rPr>
          <w:rFonts w:ascii="Arial" w:hAnsi="Arial" w:cs="Arial"/>
          <w:sz w:val="20"/>
          <w:szCs w:val="20"/>
        </w:rPr>
      </w:pPr>
      <w:r w:rsidRPr="00C204EE">
        <w:rPr>
          <w:rFonts w:ascii="Arial" w:hAnsi="Arial" w:cs="Arial"/>
          <w:sz w:val="20"/>
          <w:szCs w:val="20"/>
        </w:rPr>
        <w:t>comprehensive look at the challenges of diagnosing DiGeorge syndrome, especially in areas with</w:t>
      </w:r>
    </w:p>
    <w:p w14:paraId="5E58C1A4" w14:textId="77777777" w:rsidR="00C204EE" w:rsidRPr="00C204EE" w:rsidRDefault="00C204EE" w:rsidP="00C204EE">
      <w:pPr>
        <w:rPr>
          <w:rFonts w:ascii="Arial" w:hAnsi="Arial" w:cs="Arial"/>
          <w:sz w:val="20"/>
          <w:szCs w:val="20"/>
        </w:rPr>
      </w:pPr>
      <w:r w:rsidRPr="00C204EE">
        <w:rPr>
          <w:rFonts w:ascii="Arial" w:hAnsi="Arial" w:cs="Arial"/>
          <w:sz w:val="20"/>
          <w:szCs w:val="20"/>
        </w:rPr>
        <w:t>limited access to genetic testing. It highlights how the condition often goes undetected during</w:t>
      </w:r>
    </w:p>
    <w:p w14:paraId="0E099B81" w14:textId="77777777" w:rsidR="00C204EE" w:rsidRPr="00C204EE" w:rsidRDefault="00C204EE" w:rsidP="00C204EE">
      <w:pPr>
        <w:rPr>
          <w:rFonts w:ascii="Arial" w:hAnsi="Arial" w:cs="Arial"/>
          <w:sz w:val="20"/>
          <w:szCs w:val="20"/>
        </w:rPr>
      </w:pPr>
      <w:r w:rsidRPr="00C204EE">
        <w:rPr>
          <w:rFonts w:ascii="Arial" w:hAnsi="Arial" w:cs="Arial"/>
          <w:sz w:val="20"/>
          <w:szCs w:val="20"/>
        </w:rPr>
        <w:t xml:space="preserve">pregnancy and the importance of a more holistic approach to diagnosis. The case </w:t>
      </w:r>
      <w:proofErr w:type="gramStart"/>
      <w:r w:rsidRPr="00C204EE">
        <w:rPr>
          <w:rFonts w:ascii="Arial" w:hAnsi="Arial" w:cs="Arial"/>
          <w:sz w:val="20"/>
          <w:szCs w:val="20"/>
        </w:rPr>
        <w:t>study</w:t>
      </w:r>
      <w:proofErr w:type="gramEnd"/>
    </w:p>
    <w:p w14:paraId="219F5F0F" w14:textId="77777777" w:rsidR="00C204EE" w:rsidRPr="00C204EE" w:rsidRDefault="00C204EE" w:rsidP="00C204EE">
      <w:pPr>
        <w:rPr>
          <w:rFonts w:ascii="Arial" w:hAnsi="Arial" w:cs="Arial"/>
          <w:sz w:val="20"/>
          <w:szCs w:val="20"/>
        </w:rPr>
      </w:pPr>
      <w:r w:rsidRPr="00C204EE">
        <w:rPr>
          <w:rFonts w:ascii="Arial" w:hAnsi="Arial" w:cs="Arial"/>
          <w:sz w:val="20"/>
          <w:szCs w:val="20"/>
        </w:rPr>
        <w:t>effectively highlights the need for early recognition and awareness to ensure timely treatment.</w:t>
      </w:r>
    </w:p>
    <w:p w14:paraId="7A0E88F4" w14:textId="77777777" w:rsidR="00C204EE" w:rsidRPr="00C204EE" w:rsidRDefault="00C204EE" w:rsidP="00C204EE">
      <w:pPr>
        <w:rPr>
          <w:rFonts w:ascii="Arial" w:hAnsi="Arial" w:cs="Arial"/>
          <w:sz w:val="20"/>
          <w:szCs w:val="20"/>
        </w:rPr>
      </w:pPr>
      <w:r w:rsidRPr="00C204EE">
        <w:rPr>
          <w:rFonts w:ascii="Arial" w:hAnsi="Arial" w:cs="Arial"/>
          <w:sz w:val="20"/>
          <w:szCs w:val="20"/>
        </w:rPr>
        <w:t>The manuscript is ready for publication as it is current and covers key aspects of DiGeorge</w:t>
      </w:r>
    </w:p>
    <w:p w14:paraId="1AA8F5EC" w14:textId="77777777" w:rsidR="00C204EE" w:rsidRPr="00C204EE" w:rsidRDefault="00C204EE" w:rsidP="00C204EE">
      <w:pPr>
        <w:rPr>
          <w:rFonts w:ascii="Arial" w:hAnsi="Arial" w:cs="Arial"/>
          <w:sz w:val="20"/>
          <w:szCs w:val="20"/>
        </w:rPr>
      </w:pPr>
      <w:r w:rsidRPr="00C204EE">
        <w:rPr>
          <w:rFonts w:ascii="Arial" w:hAnsi="Arial" w:cs="Arial"/>
          <w:sz w:val="20"/>
          <w:szCs w:val="20"/>
        </w:rPr>
        <w:t>syndrome, including its genetic causes, immunological aspects and clinical management.</w:t>
      </w:r>
    </w:p>
    <w:p w14:paraId="0C93E729" w14:textId="77777777" w:rsidR="00C204EE" w:rsidRPr="00C204EE" w:rsidRDefault="00C204EE" w:rsidP="00C204EE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19A636D8" w14:textId="77777777" w:rsidR="00C204EE" w:rsidRPr="00C204EE" w:rsidRDefault="00C204EE" w:rsidP="00C204EE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1892BE43" w14:textId="5EEF2D2F" w:rsidR="00C204EE" w:rsidRPr="00C204EE" w:rsidRDefault="00C204EE" w:rsidP="00C204EE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C204EE">
        <w:rPr>
          <w:rFonts w:ascii="Arial" w:hAnsi="Arial" w:cs="Arial"/>
          <w:b/>
          <w:sz w:val="20"/>
          <w:szCs w:val="20"/>
          <w:u w:val="single"/>
          <w:lang w:val="en-US"/>
        </w:rPr>
        <w:t>Editor’s Details:</w:t>
      </w:r>
    </w:p>
    <w:p w14:paraId="2E3A131D" w14:textId="77777777" w:rsidR="00C204EE" w:rsidRPr="00C204EE" w:rsidRDefault="00C204EE" w:rsidP="00C204EE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C204EE">
        <w:rPr>
          <w:rFonts w:ascii="Arial" w:hAnsi="Arial" w:cs="Arial"/>
          <w:sz w:val="20"/>
          <w:szCs w:val="20"/>
          <w:lang w:val="en-US"/>
        </w:rPr>
        <w:t xml:space="preserve">Dr. Elvira </w:t>
      </w:r>
      <w:proofErr w:type="spellStart"/>
      <w:r w:rsidRPr="00C204EE">
        <w:rPr>
          <w:rFonts w:ascii="Arial" w:hAnsi="Arial" w:cs="Arial"/>
          <w:sz w:val="20"/>
          <w:szCs w:val="20"/>
          <w:lang w:val="en-US"/>
        </w:rPr>
        <w:t>Bormusov</w:t>
      </w:r>
      <w:proofErr w:type="spellEnd"/>
      <w:r w:rsidRPr="00C204EE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C204EE">
        <w:rPr>
          <w:rFonts w:ascii="Arial" w:hAnsi="Arial" w:cs="Arial"/>
          <w:sz w:val="20"/>
          <w:szCs w:val="20"/>
          <w:lang w:val="en-US"/>
        </w:rPr>
        <w:t>Retd</w:t>
      </w:r>
      <w:proofErr w:type="spellEnd"/>
      <w:r w:rsidRPr="00C204EE">
        <w:rPr>
          <w:rFonts w:ascii="Arial" w:hAnsi="Arial" w:cs="Arial"/>
          <w:sz w:val="20"/>
          <w:szCs w:val="20"/>
          <w:lang w:val="en-US"/>
        </w:rPr>
        <w:t>.)</w:t>
      </w:r>
    </w:p>
    <w:p w14:paraId="18A544BC" w14:textId="585D5390" w:rsidR="00C204EE" w:rsidRPr="00C204EE" w:rsidRDefault="00C204EE" w:rsidP="00C204EE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C204EE">
        <w:rPr>
          <w:rFonts w:ascii="Arial" w:hAnsi="Arial" w:cs="Arial"/>
          <w:sz w:val="20"/>
          <w:szCs w:val="20"/>
          <w:lang w:val="en-US"/>
        </w:rPr>
        <w:t>The Ruth and Bruce Rappaport Faculty of Medicine Haifa, Israel</w:t>
      </w:r>
      <w:r w:rsidRPr="00C204EE">
        <w:rPr>
          <w:rFonts w:ascii="Arial" w:hAnsi="Arial" w:cs="Arial"/>
          <w:sz w:val="20"/>
          <w:szCs w:val="20"/>
          <w:lang w:val="en-US"/>
        </w:rPr>
        <w:t>.</w:t>
      </w:r>
      <w:bookmarkEnd w:id="0"/>
    </w:p>
    <w:sectPr w:rsidR="00C204EE" w:rsidRPr="00C20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38"/>
    <w:rsid w:val="003D1AAB"/>
    <w:rsid w:val="00482938"/>
    <w:rsid w:val="00916395"/>
    <w:rsid w:val="00C2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6BA26"/>
  <w15:chartTrackingRefBased/>
  <w15:docId w15:val="{C0B3E0B0-FCFD-40F3-80E0-8F5E1653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4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2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18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70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0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SDI 1172</cp:lastModifiedBy>
  <cp:revision>3</cp:revision>
  <dcterms:created xsi:type="dcterms:W3CDTF">2025-02-13T06:31:00Z</dcterms:created>
  <dcterms:modified xsi:type="dcterms:W3CDTF">2025-02-24T03:55:00Z</dcterms:modified>
</cp:coreProperties>
</file>