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6F75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Evaluation of Policy-based Initiatives' Impact on Indian Tribal Populations: Current Circumstances and Potential for Development</w:t>
      </w:r>
    </w:p>
    <w:p w14:paraId="399C95C9" w14:textId="77777777" w:rsidR="0069681E" w:rsidRPr="0069681E" w:rsidRDefault="0069681E" w:rsidP="0069681E">
      <w:pPr>
        <w:spacing w:line="360" w:lineRule="auto"/>
        <w:ind w:left="3510" w:firstLine="90"/>
        <w:jc w:val="both"/>
        <w:rPr>
          <w:rFonts w:ascii="Times New Roman" w:hAnsi="Times New Roman" w:cs="Times New Roman"/>
        </w:rPr>
      </w:pPr>
      <w:r w:rsidRPr="0069681E">
        <w:rPr>
          <w:rFonts w:ascii="Times New Roman" w:hAnsi="Times New Roman" w:cs="Times New Roman"/>
        </w:rPr>
        <w:t>ABSTRACT</w:t>
      </w:r>
    </w:p>
    <w:p w14:paraId="472B022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Anomalies, complications and </w:t>
      </w:r>
      <w:r w:rsidRPr="0069681E">
        <w:rPr>
          <w:rFonts w:ascii="Times New Roman" w:hAnsi="Times New Roman" w:cs="Times New Roman"/>
          <w:b/>
          <w:bCs/>
        </w:rPr>
        <w:t>difficulties </w:t>
      </w:r>
      <w:r w:rsidRPr="0069681E">
        <w:rPr>
          <w:rFonts w:ascii="Times New Roman" w:hAnsi="Times New Roman" w:cs="Times New Roman"/>
        </w:rPr>
        <w:t xml:space="preserve">at policy, planning, implementation, administration levels, allied problems with both the educational and healthcare systems, content, curriculum, medium of instruction, pedagogy, supervision, monitoring, teacher/colleague interaction related hitches, social, economic, and cultural issues are some of the reasons why tribal communities continue to </w:t>
      </w:r>
      <w:proofErr w:type="gramStart"/>
      <w:r w:rsidRPr="0069681E">
        <w:rPr>
          <w:rFonts w:ascii="Times New Roman" w:hAnsi="Times New Roman" w:cs="Times New Roman"/>
        </w:rPr>
        <w:t>lag behind</w:t>
      </w:r>
      <w:proofErr w:type="gramEnd"/>
      <w:r w:rsidRPr="0069681E">
        <w:rPr>
          <w:rFonts w:ascii="Times New Roman" w:hAnsi="Times New Roman" w:cs="Times New Roman"/>
        </w:rPr>
        <w:t xml:space="preserve"> the general population in health and education. </w:t>
      </w:r>
      <w:r w:rsidRPr="0069681E">
        <w:rPr>
          <w:rFonts w:ascii="Times New Roman" w:hAnsi="Times New Roman" w:cs="Times New Roman"/>
          <w:b/>
          <w:bCs/>
        </w:rPr>
        <w:t xml:space="preserve">To address the various problems along with other allied variables, several social and government </w:t>
      </w:r>
      <w:proofErr w:type="spellStart"/>
      <w:r w:rsidRPr="0069681E">
        <w:rPr>
          <w:rFonts w:ascii="Times New Roman" w:hAnsi="Times New Roman" w:cs="Times New Roman"/>
          <w:b/>
          <w:bCs/>
        </w:rPr>
        <w:t>programmes</w:t>
      </w:r>
      <w:proofErr w:type="spellEnd"/>
      <w:r w:rsidRPr="0069681E">
        <w:rPr>
          <w:rFonts w:ascii="Times New Roman" w:hAnsi="Times New Roman" w:cs="Times New Roman"/>
          <w:b/>
          <w:bCs/>
        </w:rPr>
        <w:t xml:space="preserve"> have been undertaken over time to improve the general living standard of tribes in India</w:t>
      </w:r>
      <w:r w:rsidRPr="0069681E">
        <w:rPr>
          <w:rFonts w:ascii="Times New Roman" w:hAnsi="Times New Roman" w:cs="Times New Roman"/>
        </w:rPr>
        <w:t>. National and International scholarship schemes for higher education of ST Students, Pre-Matric Scholarship </w:t>
      </w:r>
      <w:r w:rsidRPr="0069681E">
        <w:rPr>
          <w:rFonts w:ascii="Times New Roman" w:hAnsi="Times New Roman" w:cs="Times New Roman"/>
          <w:b/>
          <w:bCs/>
        </w:rPr>
        <w:t>Schemes</w:t>
      </w:r>
      <w:r w:rsidRPr="0069681E">
        <w:rPr>
          <w:rFonts w:ascii="Times New Roman" w:hAnsi="Times New Roman" w:cs="Times New Roman"/>
        </w:rPr>
        <w:t> and Post-Matric Scholarship (PMS) Schemes are among them. The Government of India </w:t>
      </w:r>
      <w:r w:rsidRPr="0069681E">
        <w:rPr>
          <w:rFonts w:ascii="Times New Roman" w:hAnsi="Times New Roman" w:cs="Times New Roman"/>
          <w:b/>
          <w:bCs/>
        </w:rPr>
        <w:t>has als</w:t>
      </w:r>
      <w:r w:rsidRPr="0069681E">
        <w:rPr>
          <w:rFonts w:ascii="Times New Roman" w:hAnsi="Times New Roman" w:cs="Times New Roman"/>
        </w:rPr>
        <w:t>o achieved </w:t>
      </w:r>
      <w:r w:rsidRPr="0069681E">
        <w:rPr>
          <w:rFonts w:ascii="Times New Roman" w:hAnsi="Times New Roman" w:cs="Times New Roman"/>
          <w:b/>
          <w:bCs/>
        </w:rPr>
        <w:t>several</w:t>
      </w:r>
      <w:r w:rsidRPr="0069681E">
        <w:rPr>
          <w:rFonts w:ascii="Times New Roman" w:hAnsi="Times New Roman" w:cs="Times New Roman"/>
        </w:rPr>
        <w:t xml:space="preserve"> milestones </w:t>
      </w:r>
      <w:proofErr w:type="gramStart"/>
      <w:r w:rsidRPr="0069681E">
        <w:rPr>
          <w:rFonts w:ascii="Times New Roman" w:hAnsi="Times New Roman" w:cs="Times New Roman"/>
        </w:rPr>
        <w:t>in the area of</w:t>
      </w:r>
      <w:proofErr w:type="gramEnd"/>
      <w:r w:rsidRPr="0069681E">
        <w:rPr>
          <w:rFonts w:ascii="Times New Roman" w:hAnsi="Times New Roman" w:cs="Times New Roman"/>
        </w:rPr>
        <w:t xml:space="preserve"> tribal health by launching various schemes and devising different portals such as </w:t>
      </w:r>
      <w:r w:rsidRPr="0069681E">
        <w:rPr>
          <w:rFonts w:ascii="Times New Roman" w:hAnsi="Times New Roman" w:cs="Times New Roman"/>
          <w:b/>
          <w:bCs/>
        </w:rPr>
        <w:t>the </w:t>
      </w:r>
      <w:r w:rsidRPr="0069681E">
        <w:rPr>
          <w:rFonts w:ascii="Times New Roman" w:hAnsi="Times New Roman" w:cs="Times New Roman"/>
        </w:rPr>
        <w:t xml:space="preserve">National Tribal Health Portal, The Sickle Cell Disease Support (SCD) Corner, ALEKH: A Learning Endeavour for Knowledge in Healthcare and, The Tribal Health Compendium etc. The fact that just launching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and schemes is not a panacea for the scourge of illiteracy among tribal masses. The benefits of these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have only recently reached them. </w:t>
      </w:r>
      <w:r w:rsidRPr="0069681E">
        <w:rPr>
          <w:rFonts w:ascii="Times New Roman" w:hAnsi="Times New Roman" w:cs="Times New Roman"/>
          <w:b/>
          <w:bCs/>
        </w:rPr>
        <w:t xml:space="preserve">The tribal </w:t>
      </w:r>
      <w:proofErr w:type="spellStart"/>
      <w:r w:rsidRPr="0069681E">
        <w:rPr>
          <w:rFonts w:ascii="Times New Roman" w:hAnsi="Times New Roman" w:cs="Times New Roman"/>
          <w:b/>
          <w:bCs/>
        </w:rPr>
        <w:t>population'spopulation</w:t>
      </w:r>
      <w:proofErr w:type="spellEnd"/>
      <w:r w:rsidRPr="0069681E">
        <w:rPr>
          <w:rFonts w:ascii="Times New Roman" w:hAnsi="Times New Roman" w:cs="Times New Roman"/>
          <w:b/>
          <w:bCs/>
        </w:rPr>
        <w:t xml:space="preserve">' lack of awareness of these plans, the distinctive character of their houses, and administrative officials' disinterest in implementing these schemes and </w:t>
      </w:r>
      <w:proofErr w:type="spellStart"/>
      <w:r w:rsidRPr="0069681E">
        <w:rPr>
          <w:rFonts w:ascii="Times New Roman" w:hAnsi="Times New Roman" w:cs="Times New Roman"/>
          <w:b/>
          <w:bCs/>
        </w:rPr>
        <w:t>programmes</w:t>
      </w:r>
      <w:proofErr w:type="spellEnd"/>
      <w:r w:rsidRPr="0069681E">
        <w:rPr>
          <w:rFonts w:ascii="Times New Roman" w:hAnsi="Times New Roman" w:cs="Times New Roman"/>
          <w:b/>
          <w:bCs/>
        </w:rPr>
        <w:t xml:space="preserve"> are barriers to ST education and health.</w:t>
      </w:r>
    </w:p>
    <w:p w14:paraId="57FF877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Keywords: Indian tribes, Population, Education, Health, Government Schemes, Gaps.</w:t>
      </w:r>
    </w:p>
    <w:p w14:paraId="00FC912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INTRODUCTION</w:t>
      </w:r>
    </w:p>
    <w:p w14:paraId="74599CD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Heterogeneity is one of the defining characteristics of Indian society. A </w:t>
      </w:r>
      <w:proofErr w:type="gramStart"/>
      <w:r w:rsidRPr="0069681E">
        <w:rPr>
          <w:rFonts w:ascii="Times New Roman" w:hAnsi="Times New Roman" w:cs="Times New Roman"/>
        </w:rPr>
        <w:t>more or less homogeneous</w:t>
      </w:r>
      <w:proofErr w:type="gramEnd"/>
      <w:r w:rsidRPr="0069681E">
        <w:rPr>
          <w:rFonts w:ascii="Times New Roman" w:hAnsi="Times New Roman" w:cs="Times New Roman"/>
        </w:rPr>
        <w:t xml:space="preserve"> group of people who share a </w:t>
      </w:r>
      <w:r w:rsidRPr="0069681E">
        <w:rPr>
          <w:rFonts w:ascii="Times New Roman" w:hAnsi="Times New Roman" w:cs="Times New Roman"/>
          <w:b/>
          <w:bCs/>
        </w:rPr>
        <w:t>joint </w:t>
      </w:r>
      <w:r w:rsidRPr="0069681E">
        <w:rPr>
          <w:rFonts w:ascii="Times New Roman" w:hAnsi="Times New Roman" w:cs="Times New Roman"/>
        </w:rPr>
        <w:t xml:space="preserve">governance, a shared dialect, and a common culture constitutes a tribe. When the British first started writing about Indian society, the word 'tribe' was used in a broad sense to refer to both a group of individuals who claimed to be descended from the same ancestor and a group living under primitive or barbarous conditions (Carsten, 2024; </w:t>
      </w:r>
      <w:proofErr w:type="spellStart"/>
      <w:r w:rsidRPr="0069681E">
        <w:rPr>
          <w:rFonts w:ascii="Times New Roman" w:hAnsi="Times New Roman" w:cs="Times New Roman"/>
        </w:rPr>
        <w:t>Xaxa</w:t>
      </w:r>
      <w:proofErr w:type="spellEnd"/>
      <w:r w:rsidRPr="0069681E">
        <w:rPr>
          <w:rFonts w:ascii="Times New Roman" w:hAnsi="Times New Roman" w:cs="Times New Roman"/>
        </w:rPr>
        <w:t xml:space="preserve">, 1999). In 1950, the Indian Constitution's Article 342 gave tribes the legal designation of "Scheduled Tribes." Scheduled Tribes make up a </w:t>
      </w:r>
      <w:r w:rsidRPr="0069681E">
        <w:rPr>
          <w:rFonts w:ascii="Times New Roman" w:hAnsi="Times New Roman" w:cs="Times New Roman"/>
        </w:rPr>
        <w:lastRenderedPageBreak/>
        <w:t>sizable section of the Indian population. </w:t>
      </w:r>
      <w:r w:rsidRPr="0069681E">
        <w:rPr>
          <w:rFonts w:ascii="Times New Roman" w:hAnsi="Times New Roman" w:cs="Times New Roman"/>
          <w:b/>
          <w:bCs/>
        </w:rPr>
        <w:t>The scheduled tribe population accounts for 8.6% of the country's overall population, according to the 2011 census. The Constitution of India and the Central Government made steps soon after independence to prioritize the needs of the tribal population and promote comprehensive inclusion, resulting in equitable and sustainable living for the tribal population.</w:t>
      </w:r>
      <w:r w:rsidRPr="0069681E">
        <w:rPr>
          <w:rFonts w:ascii="Times New Roman" w:hAnsi="Times New Roman" w:cs="Times New Roman"/>
        </w:rPr>
        <w:t xml:space="preserve"> In 1999, a tribal ministry known as the 'Ministry of Tribal Affairs' was established to look after all issues concerning India's Scheduled Tribes, such as education, economic welfare, and public cooperation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 </w:t>
      </w:r>
      <w:r w:rsidRPr="0069681E">
        <w:rPr>
          <w:rFonts w:ascii="Times New Roman" w:hAnsi="Times New Roman" w:cs="Times New Roman"/>
          <w:b/>
          <w:bCs/>
        </w:rPr>
        <w:t>In India, tribal communities have been examined not only about caste but also about farmer society. Approximately 400 tribes in Indian civilization have been formally designated as scheduled tribes by law (</w:t>
      </w:r>
      <w:proofErr w:type="spellStart"/>
      <w:r w:rsidRPr="0069681E">
        <w:rPr>
          <w:rFonts w:ascii="Times New Roman" w:hAnsi="Times New Roman" w:cs="Times New Roman"/>
          <w:b/>
          <w:bCs/>
        </w:rPr>
        <w:t>Xaxa</w:t>
      </w:r>
      <w:proofErr w:type="spellEnd"/>
      <w:r w:rsidRPr="0069681E">
        <w:rPr>
          <w:rFonts w:ascii="Times New Roman" w:hAnsi="Times New Roman" w:cs="Times New Roman"/>
          <w:b/>
          <w:bCs/>
        </w:rPr>
        <w:t>, 1999).</w:t>
      </w:r>
      <w:r w:rsidRPr="0069681E">
        <w:rPr>
          <w:rFonts w:ascii="Times New Roman" w:hAnsi="Times New Roman" w:cs="Times New Roman"/>
        </w:rPr>
        <w:t> Over 8% of the tribal population around the world lives in India, along with the </w:t>
      </w:r>
      <w:r w:rsidRPr="0069681E">
        <w:rPr>
          <w:rFonts w:ascii="Times New Roman" w:hAnsi="Times New Roman" w:cs="Times New Roman"/>
          <w:b/>
          <w:bCs/>
        </w:rPr>
        <w:t>most significan</w:t>
      </w:r>
      <w:r w:rsidRPr="0069681E">
        <w:rPr>
          <w:rFonts w:ascii="Times New Roman" w:hAnsi="Times New Roman" w:cs="Times New Roman"/>
        </w:rPr>
        <w:t>t concentrations in states such as Assam, Bihar, Chhattisgarh, Jharkhand, Mizoram, Meghalaya, Nagaland, Orissa, and West Bengal (</w:t>
      </w:r>
      <w:proofErr w:type="spellStart"/>
      <w:r w:rsidRPr="0069681E">
        <w:rPr>
          <w:rFonts w:ascii="Times New Roman" w:hAnsi="Times New Roman" w:cs="Times New Roman"/>
        </w:rPr>
        <w:t>Bainwad</w:t>
      </w:r>
      <w:proofErr w:type="spellEnd"/>
      <w:r w:rsidRPr="0069681E">
        <w:rPr>
          <w:rFonts w:ascii="Times New Roman" w:hAnsi="Times New Roman" w:cs="Times New Roman"/>
        </w:rPr>
        <w:t xml:space="preserve">, 2016; </w:t>
      </w:r>
      <w:proofErr w:type="spellStart"/>
      <w:r w:rsidRPr="0069681E">
        <w:rPr>
          <w:rFonts w:ascii="Times New Roman" w:hAnsi="Times New Roman" w:cs="Times New Roman"/>
        </w:rPr>
        <w:t>ClearIAS</w:t>
      </w:r>
      <w:proofErr w:type="spellEnd"/>
      <w:r w:rsidRPr="0069681E">
        <w:rPr>
          <w:rFonts w:ascii="Times New Roman" w:hAnsi="Times New Roman" w:cs="Times New Roman"/>
        </w:rPr>
        <w:t xml:space="preserve"> Team, 2024). Figure 1 depicts the tribal populace map of India.</w:t>
      </w:r>
    </w:p>
    <w:p w14:paraId="2CE216B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1: Scheduled Tribe map of India.</w:t>
      </w:r>
    </w:p>
    <w:p w14:paraId="788DEAB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In India, some attitudes about the concept of "tribe" have developed. These include the lack of organization of state structures, the multiple functions of kinship bonds, </w:t>
      </w:r>
      <w:r w:rsidRPr="0069681E">
        <w:rPr>
          <w:rFonts w:ascii="Times New Roman" w:hAnsi="Times New Roman" w:cs="Times New Roman"/>
          <w:b/>
          <w:bCs/>
        </w:rPr>
        <w:t>the </w:t>
      </w:r>
      <w:r w:rsidRPr="0069681E">
        <w:rPr>
          <w:rFonts w:ascii="Times New Roman" w:hAnsi="Times New Roman" w:cs="Times New Roman"/>
        </w:rPr>
        <w:t>all-pervasiveness of religion, the segmented character of </w:t>
      </w:r>
      <w:proofErr w:type="spellStart"/>
      <w:r w:rsidRPr="0069681E">
        <w:rPr>
          <w:rFonts w:ascii="Times New Roman" w:hAnsi="Times New Roman" w:cs="Times New Roman"/>
          <w:b/>
          <w:bCs/>
        </w:rPr>
        <w:t>units</w:t>
      </w:r>
      <w:r w:rsidRPr="0069681E">
        <w:rPr>
          <w:rFonts w:ascii="Times New Roman" w:hAnsi="Times New Roman" w:cs="Times New Roman"/>
        </w:rPr>
        <w:t>of</w:t>
      </w:r>
      <w:proofErr w:type="spellEnd"/>
      <w:r w:rsidRPr="0069681E">
        <w:rPr>
          <w:rFonts w:ascii="Times New Roman" w:hAnsi="Times New Roman" w:cs="Times New Roman"/>
        </w:rPr>
        <w:t xml:space="preserve"> socioeconomic, frequently co-operated common goals, a brief history; different taboos, traditions, and ethical </w:t>
      </w:r>
      <w:proofErr w:type="spellStart"/>
      <w:r w:rsidRPr="0069681E">
        <w:rPr>
          <w:rFonts w:ascii="Times New Roman" w:hAnsi="Times New Roman" w:cs="Times New Roman"/>
        </w:rPr>
        <w:t>codes;the</w:t>
      </w:r>
      <w:proofErr w:type="spellEnd"/>
      <w:r w:rsidRPr="0069681E">
        <w:rPr>
          <w:rFonts w:ascii="Times New Roman" w:hAnsi="Times New Roman" w:cs="Times New Roman"/>
        </w:rPr>
        <w:t xml:space="preserve"> dormitory for teenagers, a lower standard of technology, commonly used names, territories, decline, languages, and traditions, among others (</w:t>
      </w:r>
      <w:proofErr w:type="spellStart"/>
      <w:r w:rsidRPr="0069681E">
        <w:rPr>
          <w:rFonts w:ascii="Times New Roman" w:hAnsi="Times New Roman" w:cs="Times New Roman"/>
        </w:rPr>
        <w:t>Pathy</w:t>
      </w:r>
      <w:proofErr w:type="spellEnd"/>
      <w:r w:rsidRPr="0069681E">
        <w:rPr>
          <w:rFonts w:ascii="Times New Roman" w:hAnsi="Times New Roman" w:cs="Times New Roman"/>
        </w:rPr>
        <w:t>, 1992; Ghate et al., 2013).</w:t>
      </w:r>
    </w:p>
    <w:p w14:paraId="7771EA2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Throughout the years, India's central and state governments have taken various steps to uplift the socioeconomic state of the country's tribal population.</w:t>
      </w:r>
      <w:r w:rsidRPr="0069681E">
        <w:rPr>
          <w:rFonts w:ascii="Times New Roman" w:hAnsi="Times New Roman" w:cs="Times New Roman"/>
        </w:rPr>
        <w:t> The Tribal Sub Plan Strategy (TSP Strategy) has existed since 1974-75. </w:t>
      </w:r>
      <w:r w:rsidRPr="0069681E">
        <w:rPr>
          <w:rFonts w:ascii="Times New Roman" w:hAnsi="Times New Roman" w:cs="Times New Roman"/>
          <w:b/>
          <w:bCs/>
        </w:rPr>
        <w:t>As seen by Census 2011 and other socioeconomic survey data, these initiatives have resulted in some advances for Scheduled Tribes regarding several indices related to livelihood, low education, healthcare, and other topics. Nonetheless, essential disparities in the development of human indicators between the general population and Scheduled Tribes are identified.</w:t>
      </w:r>
      <w:r w:rsidRPr="0069681E">
        <w:rPr>
          <w:rFonts w:ascii="Times New Roman" w:hAnsi="Times New Roman" w:cs="Times New Roman"/>
        </w:rPr>
        <w:t> The Government has strategized the overall </w:t>
      </w:r>
      <w:r w:rsidRPr="0069681E">
        <w:rPr>
          <w:rFonts w:ascii="Times New Roman" w:hAnsi="Times New Roman" w:cs="Times New Roman"/>
          <w:b/>
          <w:bCs/>
        </w:rPr>
        <w:t>growth</w:t>
      </w:r>
      <w:r w:rsidRPr="0069681E">
        <w:rPr>
          <w:rFonts w:ascii="Times New Roman" w:hAnsi="Times New Roman" w:cs="Times New Roman"/>
        </w:rPr>
        <w:t> and welfare of tribal communities throughout the country through various interventions, </w:t>
      </w:r>
      <w:r w:rsidRPr="0069681E">
        <w:rPr>
          <w:rFonts w:ascii="Times New Roman" w:hAnsi="Times New Roman" w:cs="Times New Roman"/>
          <w:b/>
          <w:bCs/>
        </w:rPr>
        <w:t>including</w:t>
      </w:r>
      <w:r w:rsidRPr="0069681E">
        <w:rPr>
          <w:rFonts w:ascii="Times New Roman" w:hAnsi="Times New Roman" w:cs="Times New Roman"/>
        </w:rPr>
        <w:t xml:space="preserve"> providing necessary assistance for literacy, healthcare, cleanliness, livelihood, water supply, and other </w:t>
      </w:r>
      <w:r w:rsidRPr="0069681E">
        <w:rPr>
          <w:rFonts w:ascii="Times New Roman" w:hAnsi="Times New Roman" w:cs="Times New Roman"/>
        </w:rPr>
        <w:lastRenderedPageBreak/>
        <w:t xml:space="preserve">areas to improve their economic, educational, and social conditions. The Ministry of Tribal Affairs supplements these </w:t>
      </w:r>
      <w:proofErr w:type="spellStart"/>
      <w:r w:rsidRPr="0069681E">
        <w:rPr>
          <w:rFonts w:ascii="Times New Roman" w:hAnsi="Times New Roman" w:cs="Times New Roman"/>
        </w:rPr>
        <w:t>endeavours</w:t>
      </w:r>
      <w:proofErr w:type="spellEnd"/>
      <w:r w:rsidRPr="0069681E">
        <w:rPr>
          <w:rFonts w:ascii="Times New Roman" w:hAnsi="Times New Roman" w:cs="Times New Roman"/>
        </w:rPr>
        <w:t xml:space="preserve"> by filling crucial gaps. </w:t>
      </w:r>
      <w:r w:rsidRPr="0069681E">
        <w:rPr>
          <w:rFonts w:ascii="Times New Roman" w:hAnsi="Times New Roman" w:cs="Times New Roman"/>
          <w:b/>
          <w:bCs/>
        </w:rPr>
        <w:t>Most development</w:t>
      </w:r>
      <w:r w:rsidRPr="0069681E">
        <w:rPr>
          <w:rFonts w:ascii="Times New Roman" w:hAnsi="Times New Roman" w:cs="Times New Roman"/>
        </w:rPr>
        <w:t xml:space="preserve"> operations are initiated through various schematic programs by Central Ministries and State Governments (Business Standard, 2024). Schemes and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for scheduled tribes' education, government initiatives in conjunction with NGOs for tribal education and health, and government initiatives for scheduled tribes' healthcare are some of the projects listed below.</w:t>
      </w:r>
    </w:p>
    <w:p w14:paraId="6830060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HEALTHCARE CHALLENGES OF INDIAN TRIBES:</w:t>
      </w:r>
    </w:p>
    <w:p w14:paraId="1563EEC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The future and current health features of tribal societies and their inhabitants are heavily influenced by socio-political and economic organization. The tribal people </w:t>
      </w:r>
      <w:r w:rsidRPr="0069681E">
        <w:rPr>
          <w:rFonts w:ascii="Times New Roman" w:hAnsi="Times New Roman" w:cs="Times New Roman"/>
          <w:b/>
          <w:bCs/>
        </w:rPr>
        <w:t>have</w:t>
      </w:r>
      <w:r w:rsidRPr="0069681E">
        <w:rPr>
          <w:rFonts w:ascii="Times New Roman" w:hAnsi="Times New Roman" w:cs="Times New Roman"/>
        </w:rPr>
        <w:t> a distinct yet similar socio-political structure that </w:t>
      </w:r>
      <w:r w:rsidRPr="0069681E">
        <w:rPr>
          <w:rFonts w:ascii="Times New Roman" w:hAnsi="Times New Roman" w:cs="Times New Roman"/>
          <w:b/>
          <w:bCs/>
        </w:rPr>
        <w:t>heavily emphasizes chieftainship</w:t>
      </w:r>
      <w:r w:rsidRPr="0069681E">
        <w:rPr>
          <w:rFonts w:ascii="Times New Roman" w:hAnsi="Times New Roman" w:cs="Times New Roman"/>
        </w:rPr>
        <w:t>. Tribal health has a </w:t>
      </w:r>
      <w:r w:rsidRPr="0069681E">
        <w:rPr>
          <w:rFonts w:ascii="Times New Roman" w:hAnsi="Times New Roman" w:cs="Times New Roman"/>
          <w:b/>
          <w:bCs/>
        </w:rPr>
        <w:t>unique but understandable </w:t>
      </w:r>
      <w:r w:rsidRPr="0069681E">
        <w:rPr>
          <w:rFonts w:ascii="Times New Roman" w:hAnsi="Times New Roman" w:cs="Times New Roman"/>
        </w:rPr>
        <w:t>interaction with nature. </w:t>
      </w:r>
      <w:r w:rsidRPr="0069681E">
        <w:rPr>
          <w:rFonts w:ascii="Times New Roman" w:hAnsi="Times New Roman" w:cs="Times New Roman"/>
          <w:b/>
          <w:bCs/>
        </w:rPr>
        <w:t>On the one hand, they are very similar to and believe in paranormal powers in treating or curing health-related difficulties; on the other hand, they are considerably inclined toward forest sources and natural things, which directly impact the health status of the majority, women in particular.</w:t>
      </w:r>
      <w:r w:rsidRPr="0069681E">
        <w:rPr>
          <w:rFonts w:ascii="Times New Roman" w:hAnsi="Times New Roman" w:cs="Times New Roman"/>
        </w:rPr>
        <w:t> The distances between villages and forest regions had risen due to excessive tree cutting by powerful interests, causing the folklore to trek long distances in quest of essentials and face </w:t>
      </w:r>
      <w:r w:rsidRPr="0069681E">
        <w:rPr>
          <w:rFonts w:ascii="Times New Roman" w:hAnsi="Times New Roman" w:cs="Times New Roman"/>
          <w:b/>
          <w:bCs/>
        </w:rPr>
        <w:t>significant</w:t>
      </w:r>
      <w:r w:rsidRPr="0069681E">
        <w:rPr>
          <w:rFonts w:ascii="Times New Roman" w:hAnsi="Times New Roman" w:cs="Times New Roman"/>
        </w:rPr>
        <w:t> consequences of uneven development and growth (Basu, 2000).</w:t>
      </w:r>
    </w:p>
    <w:p w14:paraId="35CBC63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Malnutrition is </w:t>
      </w:r>
      <w:r w:rsidRPr="0069681E">
        <w:rPr>
          <w:rFonts w:ascii="Times New Roman" w:hAnsi="Times New Roman" w:cs="Times New Roman"/>
          <w:b/>
          <w:bCs/>
        </w:rPr>
        <w:t>another thorny</w:t>
      </w:r>
      <w:r w:rsidRPr="0069681E">
        <w:rPr>
          <w:rFonts w:ascii="Times New Roman" w:hAnsi="Times New Roman" w:cs="Times New Roman"/>
        </w:rPr>
        <w:t> issue in tribal health (Shrivastava, 2018). Various factors, </w:t>
      </w:r>
      <w:r w:rsidRPr="0069681E">
        <w:rPr>
          <w:rFonts w:ascii="Times New Roman" w:hAnsi="Times New Roman" w:cs="Times New Roman"/>
          <w:b/>
          <w:bCs/>
        </w:rPr>
        <w:t>including illiteracy</w:t>
      </w:r>
      <w:r w:rsidRPr="0069681E">
        <w:rPr>
          <w:rFonts w:ascii="Times New Roman" w:hAnsi="Times New Roman" w:cs="Times New Roman"/>
        </w:rPr>
        <w:t>, harsh physical surroundings, malnutrition, poor access to drinkable water, and lacking behind in sanitation and self-hygiene, </w:t>
      </w:r>
      <w:r w:rsidRPr="0069681E">
        <w:rPr>
          <w:rFonts w:ascii="Times New Roman" w:hAnsi="Times New Roman" w:cs="Times New Roman"/>
          <w:b/>
          <w:bCs/>
        </w:rPr>
        <w:t>turn </w:t>
      </w:r>
      <w:r w:rsidRPr="0069681E">
        <w:rPr>
          <w:rFonts w:ascii="Times New Roman" w:hAnsi="Times New Roman" w:cs="Times New Roman"/>
        </w:rPr>
        <w:t>the tribal population closely prone to illness in mountainous or forested locations (Saha et. al, 2018) </w:t>
      </w:r>
      <w:proofErr w:type="spellStart"/>
      <w:r w:rsidRPr="0069681E">
        <w:rPr>
          <w:rFonts w:ascii="Times New Roman" w:hAnsi="Times New Roman" w:cs="Times New Roman"/>
        </w:rPr>
        <w:t>Malnutritionamong</w:t>
      </w:r>
      <w:proofErr w:type="spellEnd"/>
      <w:r w:rsidRPr="0069681E">
        <w:rPr>
          <w:rFonts w:ascii="Times New Roman" w:hAnsi="Times New Roman" w:cs="Times New Roman"/>
        </w:rPr>
        <w:t xml:space="preserve"> children under the age of five has also been observed to be </w:t>
      </w:r>
      <w:r w:rsidRPr="0069681E">
        <w:rPr>
          <w:rFonts w:ascii="Times New Roman" w:hAnsi="Times New Roman" w:cs="Times New Roman"/>
          <w:b/>
          <w:bCs/>
        </w:rPr>
        <w:t>exceptionally </w:t>
      </w:r>
      <w:r w:rsidRPr="0069681E">
        <w:rPr>
          <w:rFonts w:ascii="Times New Roman" w:hAnsi="Times New Roman" w:cs="Times New Roman"/>
        </w:rPr>
        <w:t>high. The newly released National Family Health Survey (NFHS)-4 report confirms what many people already knew: despite advances. The level of malnutrition among STs has remained high, significantly higher than the sum of all groups. </w:t>
      </w:r>
      <w:r w:rsidRPr="0069681E">
        <w:rPr>
          <w:rFonts w:ascii="Times New Roman" w:hAnsi="Times New Roman" w:cs="Times New Roman"/>
          <w:b/>
          <w:bCs/>
        </w:rPr>
        <w:t>According to the survey, 44 % of children in tribal below the age of five in India have a low height for their age or are stunted, 45 % have a low weight for their age or are underweight, and 27 per cent are wasted (low weight for height) </w:t>
      </w:r>
      <w:r w:rsidRPr="0069681E">
        <w:rPr>
          <w:rFonts w:ascii="Times New Roman" w:hAnsi="Times New Roman" w:cs="Times New Roman"/>
        </w:rPr>
        <w:t>(Shrivastava, 2018).</w:t>
      </w:r>
      <w:r w:rsidRPr="0069681E">
        <w:rPr>
          <w:rFonts w:ascii="Times New Roman" w:hAnsi="Times New Roman" w:cs="Times New Roman"/>
          <w:b/>
          <w:bCs/>
        </w:rPr>
        <w:t xml:space="preserve"> Nutritional deficiencies cause diseases such as endemic </w:t>
      </w:r>
      <w:proofErr w:type="spellStart"/>
      <w:r w:rsidRPr="0069681E">
        <w:rPr>
          <w:rFonts w:ascii="Times New Roman" w:hAnsi="Times New Roman" w:cs="Times New Roman"/>
          <w:b/>
          <w:bCs/>
        </w:rPr>
        <w:t>goitre</w:t>
      </w:r>
      <w:proofErr w:type="spellEnd"/>
      <w:r w:rsidRPr="0069681E">
        <w:rPr>
          <w:rFonts w:ascii="Times New Roman" w:hAnsi="Times New Roman" w:cs="Times New Roman"/>
          <w:b/>
          <w:bCs/>
        </w:rPr>
        <w:t xml:space="preserve">, </w:t>
      </w:r>
      <w:proofErr w:type="spellStart"/>
      <w:r w:rsidRPr="0069681E">
        <w:rPr>
          <w:rFonts w:ascii="Times New Roman" w:hAnsi="Times New Roman" w:cs="Times New Roman"/>
          <w:b/>
          <w:bCs/>
        </w:rPr>
        <w:t>anaemia</w:t>
      </w:r>
      <w:proofErr w:type="spellEnd"/>
      <w:r w:rsidRPr="0069681E">
        <w:rPr>
          <w:rFonts w:ascii="Times New Roman" w:hAnsi="Times New Roman" w:cs="Times New Roman"/>
          <w:b/>
          <w:bCs/>
        </w:rPr>
        <w:t xml:space="preserve">, pellagra, and beriberi. </w:t>
      </w:r>
      <w:r w:rsidRPr="0069681E">
        <w:rPr>
          <w:rFonts w:ascii="Times New Roman" w:hAnsi="Times New Roman" w:cs="Times New Roman"/>
          <w:b/>
          <w:bCs/>
        </w:rPr>
        <w:lastRenderedPageBreak/>
        <w:t>Tribals' health is affected by unsanitary food supply, contaminated water, and inadequate nutrition (Murthy, 2011).</w:t>
      </w:r>
      <w:r w:rsidRPr="0069681E">
        <w:rPr>
          <w:rFonts w:ascii="Times New Roman" w:hAnsi="Times New Roman" w:cs="Times New Roman"/>
        </w:rPr>
        <w:t> One of the most significant barriers to tribal populations receiving health care is their poor economic conditions, low income, and financial restraints, which have an impact on the care they get, leaving them in a perpetual condition of disease and unattended, leading to </w:t>
      </w:r>
      <w:r w:rsidRPr="0069681E">
        <w:rPr>
          <w:rFonts w:ascii="Times New Roman" w:hAnsi="Times New Roman" w:cs="Times New Roman"/>
          <w:b/>
          <w:bCs/>
        </w:rPr>
        <w:t>an </w:t>
      </w:r>
      <w:r w:rsidRPr="0069681E">
        <w:rPr>
          <w:rFonts w:ascii="Times New Roman" w:hAnsi="Times New Roman" w:cs="Times New Roman"/>
        </w:rPr>
        <w:t>increased number of deaths (Tribal Health Report, 2024; www.nhm.gov.in, 2011).</w:t>
      </w:r>
    </w:p>
    <w:p w14:paraId="657F42B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 xml:space="preserve">In particular, the traditional health care system is in jeopardy among native groups' health care and </w:t>
      </w:r>
      <w:proofErr w:type="spellStart"/>
      <w:r w:rsidRPr="0069681E">
        <w:rPr>
          <w:rFonts w:ascii="Times New Roman" w:hAnsi="Times New Roman" w:cs="Times New Roman"/>
          <w:b/>
          <w:bCs/>
        </w:rPr>
        <w:t>practises</w:t>
      </w:r>
      <w:proofErr w:type="spellEnd"/>
      <w:r w:rsidRPr="0069681E">
        <w:rPr>
          <w:rFonts w:ascii="Times New Roman" w:hAnsi="Times New Roman" w:cs="Times New Roman"/>
        </w:rPr>
        <w:t>. Indigenous and cultural wisdom that tribes have with them is likewise in a constant state of flux and transformation. As a result, earnest attempts should be made to mainstream tribal</w:t>
      </w:r>
      <w:r w:rsidRPr="0069681E">
        <w:rPr>
          <w:rFonts w:ascii="Times New Roman" w:hAnsi="Times New Roman" w:cs="Times New Roman"/>
          <w:b/>
          <w:bCs/>
        </w:rPr>
        <w:t> health, medicine</w:t>
      </w:r>
      <w:r w:rsidRPr="0069681E">
        <w:rPr>
          <w:rFonts w:ascii="Times New Roman" w:hAnsi="Times New Roman" w:cs="Times New Roman"/>
        </w:rPr>
        <w:t> </w:t>
      </w:r>
      <w:r w:rsidRPr="0069681E">
        <w:rPr>
          <w:rFonts w:ascii="Times New Roman" w:hAnsi="Times New Roman" w:cs="Times New Roman"/>
          <w:b/>
          <w:bCs/>
        </w:rPr>
        <w:t>and </w:t>
      </w:r>
      <w:proofErr w:type="spellStart"/>
      <w:r w:rsidRPr="0069681E">
        <w:rPr>
          <w:rFonts w:ascii="Times New Roman" w:hAnsi="Times New Roman" w:cs="Times New Roman"/>
        </w:rPr>
        <w:t>practises</w:t>
      </w:r>
      <w:proofErr w:type="spellEnd"/>
      <w:r w:rsidRPr="0069681E">
        <w:rPr>
          <w:rFonts w:ascii="Times New Roman" w:hAnsi="Times New Roman" w:cs="Times New Roman"/>
        </w:rPr>
        <w:t>. To mainstream them with modern ways of living, bold measures and steps must be taken. The well-being and health of the tribal population should be everyone's obligation, including all stakeholders and members of society. On the national health policy's model, a national tribal health policy should be developed and executed. </w:t>
      </w:r>
      <w:r w:rsidRPr="0069681E">
        <w:rPr>
          <w:rFonts w:ascii="Times New Roman" w:hAnsi="Times New Roman" w:cs="Times New Roman"/>
          <w:b/>
          <w:bCs/>
        </w:rPr>
        <w:t xml:space="preserve">It should catalyze change in human </w:t>
      </w:r>
      <w:proofErr w:type="spellStart"/>
      <w:r w:rsidRPr="0069681E">
        <w:rPr>
          <w:rFonts w:ascii="Times New Roman" w:hAnsi="Times New Roman" w:cs="Times New Roman"/>
          <w:b/>
          <w:bCs/>
        </w:rPr>
        <w:t>behaviour</w:t>
      </w:r>
      <w:proofErr w:type="spellEnd"/>
      <w:r w:rsidRPr="0069681E">
        <w:rPr>
          <w:rFonts w:ascii="Times New Roman" w:hAnsi="Times New Roman" w:cs="Times New Roman"/>
          <w:b/>
          <w:bCs/>
        </w:rPr>
        <w:t xml:space="preserve"> and lifestyle (Tribal Health Report, 2024; www.nhm.gov.in, 2011).</w:t>
      </w:r>
    </w:p>
    <w:p w14:paraId="5E2EEBB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GLITCHES IN INDIAN TRIBAL EDUCATION:</w:t>
      </w:r>
    </w:p>
    <w:p w14:paraId="49160D7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Tribes are considered </w:t>
      </w:r>
      <w:r w:rsidRPr="0069681E">
        <w:rPr>
          <w:rFonts w:ascii="Times New Roman" w:hAnsi="Times New Roman" w:cs="Times New Roman"/>
          <w:b/>
          <w:bCs/>
        </w:rPr>
        <w:t>a </w:t>
      </w:r>
      <w:r w:rsidRPr="0069681E">
        <w:rPr>
          <w:rFonts w:ascii="Times New Roman" w:hAnsi="Times New Roman" w:cs="Times New Roman"/>
        </w:rPr>
        <w:t>minority in their communities, and due to a lack of educational and technical skills, they</w:t>
      </w:r>
      <w:r w:rsidRPr="0069681E">
        <w:rPr>
          <w:rFonts w:ascii="Times New Roman" w:hAnsi="Times New Roman" w:cs="Times New Roman"/>
          <w:b/>
          <w:bCs/>
        </w:rPr>
        <w:t> cannot </w:t>
      </w:r>
      <w:r w:rsidRPr="0069681E">
        <w:rPr>
          <w:rFonts w:ascii="Times New Roman" w:hAnsi="Times New Roman" w:cs="Times New Roman"/>
        </w:rPr>
        <w:t>obtain suitable employment possibilities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2014; Vyas and Mann, 1980). External (problems and difficulties at implementation, strategy, policy and administration levels), internal (</w:t>
      </w:r>
      <w:r w:rsidRPr="0069681E">
        <w:rPr>
          <w:rFonts w:ascii="Times New Roman" w:hAnsi="Times New Roman" w:cs="Times New Roman"/>
          <w:b/>
          <w:bCs/>
        </w:rPr>
        <w:t>issues </w:t>
      </w:r>
      <w:r w:rsidRPr="0069681E">
        <w:rPr>
          <w:rFonts w:ascii="Times New Roman" w:hAnsi="Times New Roman" w:cs="Times New Roman"/>
        </w:rPr>
        <w:t>with the system of school, curriculum, content, instruction medium, pedagogy, supervision of academics, monitoring, and problems related to</w:t>
      </w:r>
      <w:r w:rsidRPr="0069681E">
        <w:rPr>
          <w:rFonts w:ascii="Times New Roman" w:hAnsi="Times New Roman" w:cs="Times New Roman"/>
          <w:b/>
          <w:bCs/>
        </w:rPr>
        <w:t> teachers</w:t>
      </w:r>
      <w:r w:rsidRPr="0069681E">
        <w:rPr>
          <w:rFonts w:ascii="Times New Roman" w:hAnsi="Times New Roman" w:cs="Times New Roman"/>
        </w:rPr>
        <w:t>), and socioeconomic (relates to social, economic, and cultural issues) are some of the reasons why tribal groups are lagging behind the population in general in terms of education (related with first-generation learners) (Sujatha, 2008).</w:t>
      </w:r>
    </w:p>
    <w:p w14:paraId="6E0F98B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According to government planners, education is critical in assisting tribal people in coping with national integration. Their education also determines their future riches, success, and security. Tribes that are either deprived of or neglectful of education suffer. </w:t>
      </w:r>
      <w:r w:rsidRPr="0069681E">
        <w:rPr>
          <w:rFonts w:ascii="Times New Roman" w:hAnsi="Times New Roman" w:cs="Times New Roman"/>
        </w:rPr>
        <w:t>In comparison to the overall population's literacy rate of 29.34 per cent, tribal peoples in India have a literacy rate of only 6%. </w:t>
      </w:r>
      <w:r w:rsidRPr="0069681E">
        <w:rPr>
          <w:rFonts w:ascii="Times New Roman" w:hAnsi="Times New Roman" w:cs="Times New Roman"/>
          <w:b/>
          <w:bCs/>
        </w:rPr>
        <w:t xml:space="preserve">The federal and state governments have spent much money on tribal youngsters' education, but the outcomes have been </w:t>
      </w:r>
      <w:r w:rsidRPr="0069681E">
        <w:rPr>
          <w:rFonts w:ascii="Times New Roman" w:hAnsi="Times New Roman" w:cs="Times New Roman"/>
          <w:b/>
          <w:bCs/>
        </w:rPr>
        <w:lastRenderedPageBreak/>
        <w:t>disappointing. </w:t>
      </w:r>
      <w:r w:rsidRPr="0069681E">
        <w:rPr>
          <w:rFonts w:ascii="Times New Roman" w:hAnsi="Times New Roman" w:cs="Times New Roman"/>
        </w:rPr>
        <w:t xml:space="preserve">According to the Scheduled Castes and Scheduled Tribes Commissioner, there will be no change in tribal welfare unless exploitation is combated and abolished via education. Education can serve as a foundation for integrated development in tribal territories. According to government reports, there is no shortage of schools, other facilities, or scholarships to execute tribal education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These incentives, on the other hand, are unappealing to </w:t>
      </w:r>
      <w:proofErr w:type="gramStart"/>
      <w:r w:rsidRPr="0069681E">
        <w:rPr>
          <w:rFonts w:ascii="Times New Roman" w:hAnsi="Times New Roman" w:cs="Times New Roman"/>
        </w:rPr>
        <w:t>the majority of</w:t>
      </w:r>
      <w:proofErr w:type="gramEnd"/>
      <w:r w:rsidRPr="0069681E">
        <w:rPr>
          <w:rFonts w:ascii="Times New Roman" w:hAnsi="Times New Roman" w:cs="Times New Roman"/>
        </w:rPr>
        <w:t xml:space="preserve"> tribal members. As a result, the Government's ambition of assimilation of the tribes remains unrealized, raising fundamental problems regarding how such policies and tactics should be implemented (</w:t>
      </w:r>
      <w:proofErr w:type="spellStart"/>
      <w:r w:rsidRPr="0069681E">
        <w:rPr>
          <w:rFonts w:ascii="Times New Roman" w:hAnsi="Times New Roman" w:cs="Times New Roman"/>
        </w:rPr>
        <w:t>Mahipal</w:t>
      </w:r>
      <w:proofErr w:type="spellEnd"/>
      <w:r w:rsidRPr="0069681E">
        <w:rPr>
          <w:rFonts w:ascii="Times New Roman" w:hAnsi="Times New Roman" w:cs="Times New Roman"/>
        </w:rPr>
        <w:t>, 2021).</w:t>
      </w:r>
    </w:p>
    <w:p w14:paraId="6761D84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EDUCATION SCHEMES AND PROGRAMS FOR SCHEDULED TRIBES</w:t>
      </w:r>
    </w:p>
    <w:p w14:paraId="2FB3002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Pre-Matric Scholarship Scheme</w:t>
      </w:r>
    </w:p>
    <w:p w14:paraId="0118876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This scheme was launched on July 1, 2012, for children from Scheduled Tribes in classes IX and X who are in need. Its twin goals are to help guardians of Scheduled Tribe students with their children's education in grades IX and X </w:t>
      </w:r>
      <w:proofErr w:type="gramStart"/>
      <w:r w:rsidRPr="0069681E">
        <w:rPr>
          <w:rFonts w:ascii="Times New Roman" w:hAnsi="Times New Roman" w:cs="Times New Roman"/>
        </w:rPr>
        <w:t>in order to</w:t>
      </w:r>
      <w:proofErr w:type="gramEnd"/>
      <w:r w:rsidRPr="0069681E">
        <w:rPr>
          <w:rFonts w:ascii="Times New Roman" w:hAnsi="Times New Roman" w:cs="Times New Roman"/>
        </w:rPr>
        <w:t xml:space="preserve"> lower the dropout rates, particularly during Primary to secondary school transition and during elementary school, and to improve students' participation in grades IX and X of the Pre-Matric level for their better performance. The scheme's other requirements included things like:</w:t>
      </w:r>
    </w:p>
    <w:p w14:paraId="250FEBC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The </w:t>
      </w:r>
      <w:r w:rsidRPr="0069681E">
        <w:rPr>
          <w:rFonts w:ascii="Times New Roman" w:hAnsi="Times New Roman" w:cs="Times New Roman"/>
        </w:rPr>
        <w:t>income of Parents from any source should not be more than Rs. 2.00 lakhs per year, with the suggested revision to Rs. 2.50 lakhs every year. </w:t>
      </w:r>
    </w:p>
    <w:p w14:paraId="6ED4742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Scholarships are given at Rs. 150 every month for Day Scholars and Rs. 350 every month for Hostellers for a specific period of ten months annually. It is suggested that Day Scholars' fees should be raised from Rs.150 to Rs.225 monthly, and Hostellers' fees be raised from Rs.350 to Rs.525 monthly. </w:t>
      </w:r>
    </w:p>
    <w:p w14:paraId="6778D91D"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India's Government will provide State/UT Administrations with 75:25 (90:10 for the Northeast Region and Hilly areas) central assistance.</w:t>
      </w:r>
    </w:p>
    <w:p w14:paraId="222E26F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The state government or UT administration should award scholarships.</w:t>
      </w:r>
    </w:p>
    <w:p w14:paraId="5F9AC8F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For the financial year (FY) 2021-22, the total funds released for Pre-Matric Scholarship was 320.63 crore. For the fiscal year 2021-22, the largest amount of money was allocated to Madhya Pradesh, whereas no money was allocated to Uttar Pradesh</w:t>
      </w:r>
      <w:r w:rsidRPr="0069681E">
        <w:rPr>
          <w:rFonts w:ascii="Times New Roman" w:hAnsi="Times New Roman" w:cs="Times New Roman"/>
        </w:rPr>
        <w:t xml:space="preserve">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501CC51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Post-Matric Scholarship (PMS) Scheme</w:t>
      </w:r>
    </w:p>
    <w:p w14:paraId="7AC2960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This scheme applies to students enrolled in any recognized course at a recognized institution with a Matriculation or higher qualification. </w:t>
      </w:r>
      <w:r w:rsidRPr="0069681E">
        <w:rPr>
          <w:rFonts w:ascii="Times New Roman" w:hAnsi="Times New Roman" w:cs="Times New Roman"/>
          <w:b/>
          <w:bCs/>
        </w:rPr>
        <w:t>Parents' annual Income</w:t>
      </w:r>
      <w:r w:rsidRPr="0069681E">
        <w:rPr>
          <w:rFonts w:ascii="Times New Roman" w:hAnsi="Times New Roman" w:cs="Times New Roman"/>
        </w:rPr>
        <w:t> should not be more than Rs. 2.50 lakhs from all sources. </w:t>
      </w:r>
      <w:r w:rsidRPr="0069681E">
        <w:rPr>
          <w:rFonts w:ascii="Times New Roman" w:hAnsi="Times New Roman" w:cs="Times New Roman"/>
          <w:b/>
          <w:bCs/>
        </w:rPr>
        <w:t>Fees must</w:t>
      </w:r>
      <w:r w:rsidRPr="0069681E">
        <w:rPr>
          <w:rFonts w:ascii="Times New Roman" w:hAnsi="Times New Roman" w:cs="Times New Roman"/>
        </w:rPr>
        <w:t> be paid compulsorily and collected by institutions of education, according to the State Fee Fixation Committee's ceiling and </w:t>
      </w:r>
      <w:r w:rsidRPr="0069681E">
        <w:rPr>
          <w:rFonts w:ascii="Times New Roman" w:hAnsi="Times New Roman" w:cs="Times New Roman"/>
          <w:b/>
          <w:bCs/>
        </w:rPr>
        <w:t>scholarship amount</w:t>
      </w:r>
      <w:r w:rsidRPr="0069681E">
        <w:rPr>
          <w:rFonts w:ascii="Times New Roman" w:hAnsi="Times New Roman" w:cs="Times New Roman"/>
        </w:rPr>
        <w:t> (Rs. 230 to Rs. 1200 monthly, </w:t>
      </w:r>
      <w:r w:rsidRPr="0069681E">
        <w:rPr>
          <w:rFonts w:ascii="Times New Roman" w:hAnsi="Times New Roman" w:cs="Times New Roman"/>
          <w:b/>
          <w:bCs/>
        </w:rPr>
        <w:t>according to the study duration</w:t>
      </w:r>
      <w:r w:rsidRPr="0069681E">
        <w:rPr>
          <w:rFonts w:ascii="Times New Roman" w:hAnsi="Times New Roman" w:cs="Times New Roman"/>
        </w:rPr>
        <w:t>). The Government of India provides central aid to State Governments/UT Administrations in 75:25 proportion (90:10 for NER and Hilly areas). The State Government/UT Administration distributes scholarships. Out of a total budget of 1993 crores, the total money released for Post-Matric Scholarships is 1338.31 crores, covering 15 states (FY 2021-22). Madhya Pradesh received the most funds under the respective scheme for </w:t>
      </w:r>
      <w:r w:rsidRPr="0069681E">
        <w:rPr>
          <w:rFonts w:ascii="Times New Roman" w:hAnsi="Times New Roman" w:cs="Times New Roman"/>
          <w:b/>
          <w:bCs/>
        </w:rPr>
        <w:t>2021-22. </w:t>
      </w:r>
      <w:r w:rsidRPr="0069681E">
        <w:rPr>
          <w:rFonts w:ascii="Times New Roman" w:hAnsi="Times New Roman" w:cs="Times New Roman"/>
        </w:rPr>
        <w:t xml:space="preserve">(93.90 </w:t>
      </w:r>
      <w:proofErr w:type="spellStart"/>
      <w:r w:rsidRPr="0069681E">
        <w:rPr>
          <w:rFonts w:ascii="Times New Roman" w:hAnsi="Times New Roman" w:cs="Times New Roman"/>
        </w:rPr>
        <w:t>cr</w:t>
      </w:r>
      <w:proofErr w:type="spellEnd"/>
      <w:r w:rsidRPr="0069681E">
        <w:rPr>
          <w:rFonts w:ascii="Times New Roman" w:hAnsi="Times New Roman" w:cs="Times New Roman"/>
        </w:rPr>
        <w:t xml:space="preserve">)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1602F9CB"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Scholarship for Higher Education of ST Students (previously known as Top Class Education)</w:t>
      </w:r>
    </w:p>
    <w:p w14:paraId="0B35937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This scholarship is awarded to students belonging to </w:t>
      </w:r>
      <w:r w:rsidRPr="0069681E">
        <w:rPr>
          <w:rFonts w:ascii="Times New Roman" w:hAnsi="Times New Roman" w:cs="Times New Roman"/>
          <w:b/>
          <w:bCs/>
        </w:rPr>
        <w:t>the</w:t>
      </w:r>
      <w:r w:rsidRPr="0069681E">
        <w:rPr>
          <w:rFonts w:ascii="Times New Roman" w:hAnsi="Times New Roman" w:cs="Times New Roman"/>
        </w:rPr>
        <w:t> Scheduled tribe who wish to pursue studies in prescribed disciplines at any of the 246 institutes of excellence recognized by the country's Ministry, such as NIITs, AIIMS, IITs, IIMs, and so on. A total of 1000 scholarships are awarded each year. The total annual Income of a family should not exceed Rs. 6.00 lakhs. Tuition, living expenses, and book and computer allowances are all included in the scholarship sum. </w:t>
      </w:r>
      <w:r w:rsidRPr="0069681E">
        <w:rPr>
          <w:rFonts w:ascii="Times New Roman" w:hAnsi="Times New Roman" w:cs="Times New Roman"/>
          <w:b/>
          <w:bCs/>
        </w:rPr>
        <w:t>One thousand one hundred forty-three people benefited from the</w:t>
      </w:r>
      <w:r w:rsidRPr="0069681E">
        <w:rPr>
          <w:rFonts w:ascii="Times New Roman" w:hAnsi="Times New Roman" w:cs="Times New Roman"/>
        </w:rPr>
        <w:t> </w:t>
      </w:r>
      <w:proofErr w:type="gramStart"/>
      <w:r w:rsidRPr="0069681E">
        <w:rPr>
          <w:rFonts w:ascii="Times New Roman" w:hAnsi="Times New Roman" w:cs="Times New Roman"/>
        </w:rPr>
        <w:t>Top Class</w:t>
      </w:r>
      <w:proofErr w:type="gramEnd"/>
      <w:r w:rsidRPr="0069681E">
        <w:rPr>
          <w:rFonts w:ascii="Times New Roman" w:hAnsi="Times New Roman" w:cs="Times New Roman"/>
        </w:rPr>
        <w:t xml:space="preserve"> Scholarship, which cost 7.59 crores out of a total budget of 30 crores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216761AD"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National Fellowship Scheme</w:t>
      </w:r>
    </w:p>
    <w:p w14:paraId="161ADFB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Each year, 750 fellowships are awarded to students belonging to Scheduled </w:t>
      </w:r>
      <w:r w:rsidRPr="0069681E">
        <w:rPr>
          <w:rFonts w:ascii="Times New Roman" w:hAnsi="Times New Roman" w:cs="Times New Roman"/>
          <w:b/>
          <w:bCs/>
        </w:rPr>
        <w:t>tribes</w:t>
      </w:r>
      <w:r w:rsidRPr="0069681E">
        <w:rPr>
          <w:rFonts w:ascii="Times New Roman" w:hAnsi="Times New Roman" w:cs="Times New Roman"/>
        </w:rPr>
        <w:t> to pursue Ph. D. and M. Phil. studies in India. </w:t>
      </w:r>
      <w:r w:rsidRPr="0069681E">
        <w:rPr>
          <w:rFonts w:ascii="Times New Roman" w:hAnsi="Times New Roman" w:cs="Times New Roman"/>
          <w:b/>
          <w:bCs/>
        </w:rPr>
        <w:t xml:space="preserve">UGC guidelines award fellowships, JRFs will be paid Rs. 25,000, and SRFs will be paid Rs. 28,000. A total of 1884 fellowship scholars have benefited from this scheme, funded with 34.59 crores from a budget of 120 crores. Most of those who benefit from it are pursuing higher education, like doctoral </w:t>
      </w:r>
      <w:proofErr w:type="spellStart"/>
      <w:r w:rsidRPr="0069681E">
        <w:rPr>
          <w:rFonts w:ascii="Times New Roman" w:hAnsi="Times New Roman" w:cs="Times New Roman"/>
          <w:b/>
          <w:bCs/>
        </w:rPr>
        <w:t>programmes</w:t>
      </w:r>
      <w:proofErr w:type="spellEnd"/>
      <w:r w:rsidRPr="0069681E">
        <w:rPr>
          <w:rFonts w:ascii="Times New Roman" w:hAnsi="Times New Roman" w:cs="Times New Roman"/>
          <w:b/>
          <w:bCs/>
        </w:rPr>
        <w:t xml:space="preserve"> like Ph. D. (Annual report, </w:t>
      </w:r>
      <w:proofErr w:type="spellStart"/>
      <w:r w:rsidRPr="0069681E">
        <w:rPr>
          <w:rFonts w:ascii="Times New Roman" w:hAnsi="Times New Roman" w:cs="Times New Roman"/>
          <w:b/>
          <w:bCs/>
        </w:rPr>
        <w:t>MoTA</w:t>
      </w:r>
      <w:proofErr w:type="spellEnd"/>
      <w:r w:rsidRPr="0069681E">
        <w:rPr>
          <w:rFonts w:ascii="Times New Roman" w:hAnsi="Times New Roman" w:cs="Times New Roman"/>
          <w:b/>
          <w:bCs/>
        </w:rPr>
        <w:t>, 2021, 2024).</w:t>
      </w:r>
    </w:p>
    <w:p w14:paraId="200586B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National Overseas Scholarship Scheme for Higher Studies Abroad</w:t>
      </w:r>
    </w:p>
    <w:p w14:paraId="0F0CD68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This </w:t>
      </w:r>
      <w:proofErr w:type="spellStart"/>
      <w:r w:rsidRPr="0069681E">
        <w:rPr>
          <w:rFonts w:ascii="Times New Roman" w:hAnsi="Times New Roman" w:cs="Times New Roman"/>
        </w:rPr>
        <w:t>programme</w:t>
      </w:r>
      <w:proofErr w:type="spellEnd"/>
      <w:r w:rsidRPr="0069681E">
        <w:rPr>
          <w:rFonts w:ascii="Times New Roman" w:hAnsi="Times New Roman" w:cs="Times New Roman"/>
        </w:rPr>
        <w:t xml:space="preserve"> gives financial help to chosen students who wish to pursue post-graduate, doctoral, or post-doctoral studies in another country. Every year, a total of 20 scholarships </w:t>
      </w:r>
      <w:r w:rsidRPr="0069681E">
        <w:rPr>
          <w:rFonts w:ascii="Times New Roman" w:hAnsi="Times New Roman" w:cs="Times New Roman"/>
        </w:rPr>
        <w:lastRenderedPageBreak/>
        <w:t>are given out. </w:t>
      </w:r>
      <w:r w:rsidRPr="0069681E">
        <w:rPr>
          <w:rFonts w:ascii="Times New Roman" w:hAnsi="Times New Roman" w:cs="Times New Roman"/>
          <w:b/>
          <w:bCs/>
        </w:rPr>
        <w:t>There are 17 ST awards and three student awards that belong to VTG, i.e., Vulnerable Tribal Groups. Total Income of parents or family should be Rs. 6.00 lakhs per year or below that.</w:t>
      </w:r>
      <w:r w:rsidRPr="0069681E">
        <w:rPr>
          <w:rFonts w:ascii="Times New Roman" w:hAnsi="Times New Roman" w:cs="Times New Roman"/>
        </w:rPr>
        <w:t> For candidates in the United Kingdom, a yearly maintenance allowance of £9900/-, an annual contingency and equipment allowance of £1116/-, tuition costs as per actuals, and other acceptable fees are supplied. Maintenance allowance of $15400/- per year, contingency &amp; equipment allowance of $1532/- per year, tuition costs </w:t>
      </w:r>
      <w:r w:rsidRPr="0069681E">
        <w:rPr>
          <w:rFonts w:ascii="Times New Roman" w:hAnsi="Times New Roman" w:cs="Times New Roman"/>
          <w:b/>
          <w:bCs/>
        </w:rPr>
        <w:t>about</w:t>
      </w:r>
      <w:r w:rsidRPr="0069681E">
        <w:rPr>
          <w:rFonts w:ascii="Times New Roman" w:hAnsi="Times New Roman" w:cs="Times New Roman"/>
        </w:rPr>
        <w:t> actuals, and other permissible fees are granted to students in the United States. Candidates from other countries will be charged in US dollars or equivalent currency. Scholarships are distributed by the Ministry of External Affairs/Indian Missions in </w:t>
      </w:r>
      <w:r w:rsidRPr="0069681E">
        <w:rPr>
          <w:rFonts w:ascii="Times New Roman" w:hAnsi="Times New Roman" w:cs="Times New Roman"/>
          <w:b/>
          <w:bCs/>
        </w:rPr>
        <w:t>differen</w:t>
      </w:r>
      <w:r w:rsidRPr="0069681E">
        <w:rPr>
          <w:rFonts w:ascii="Times New Roman" w:hAnsi="Times New Roman" w:cs="Times New Roman"/>
        </w:rPr>
        <w:t xml:space="preserve">t countries. The beneficiaries of the National Overseas Scholarship total 29 (18 males and 11 females) from 13 states. 17 are for PhD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w:t>
      </w:r>
      <w:r w:rsidRPr="0069681E">
        <w:rPr>
          <w:rFonts w:ascii="Times New Roman" w:hAnsi="Times New Roman" w:cs="Times New Roman"/>
          <w:b/>
          <w:bCs/>
        </w:rPr>
        <w:t>two</w:t>
      </w:r>
      <w:r w:rsidRPr="0069681E">
        <w:rPr>
          <w:rFonts w:ascii="Times New Roman" w:hAnsi="Times New Roman" w:cs="Times New Roman"/>
        </w:rPr>
        <w:t xml:space="preserve"> are for post-doctoral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and the rest are for Masters and Post-graduation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from seven nations. From the total budget of 3 crores for the fiscal year (FY) 2021-22, 2.4 crores have been disbursed.</w:t>
      </w:r>
    </w:p>
    <w:p w14:paraId="7A8F6CB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The </w:t>
      </w:r>
      <w:proofErr w:type="spellStart"/>
      <w:r w:rsidRPr="0069681E">
        <w:rPr>
          <w:rFonts w:ascii="Times New Roman" w:hAnsi="Times New Roman" w:cs="Times New Roman"/>
        </w:rPr>
        <w:t>MoTA</w:t>
      </w:r>
      <w:proofErr w:type="spellEnd"/>
      <w:r w:rsidRPr="0069681E">
        <w:rPr>
          <w:rFonts w:ascii="Times New Roman" w:hAnsi="Times New Roman" w:cs="Times New Roman"/>
        </w:rPr>
        <w:t xml:space="preserve"> web has </w:t>
      </w:r>
      <w:proofErr w:type="gramStart"/>
      <w:r w:rsidRPr="0069681E">
        <w:rPr>
          <w:rFonts w:ascii="Times New Roman" w:hAnsi="Times New Roman" w:cs="Times New Roman"/>
        </w:rPr>
        <w:t>been connected with</w:t>
      </w:r>
      <w:proofErr w:type="gramEnd"/>
      <w:r w:rsidRPr="0069681E">
        <w:rPr>
          <w:rFonts w:ascii="Times New Roman" w:hAnsi="Times New Roman" w:cs="Times New Roman"/>
        </w:rPr>
        <w:t xml:space="preserve"> Digi Locker for Fellowship and Overseas Scholarship applications, allowing documents stored in Digi Locker to be instantly collected and shown on the application form. Furthermore, the Fellowship portal has been integrated with all 331 Universities where 4794 Scholars are pursuing fellowship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through the "Verification Module," where the University's Nodal officer who is registered can view documents uploaded by Scholar and documents available on Digi-locker and approve or reject the application digitally. It has saved time and verified fraud. </w:t>
      </w:r>
      <w:r w:rsidRPr="0069681E">
        <w:rPr>
          <w:rFonts w:ascii="Times New Roman" w:hAnsi="Times New Roman" w:cs="Times New Roman"/>
          <w:b/>
          <w:bCs/>
        </w:rPr>
        <w:t>These e-initiatives have resulted in a paradigm change from manual paper-based UC monitoring to data-driven online tracking. On the Performance Dashboard </w:t>
      </w:r>
      <w:r w:rsidRPr="0069681E">
        <w:rPr>
          <w:rFonts w:ascii="Times New Roman" w:hAnsi="Times New Roman" w:cs="Times New Roman"/>
        </w:rPr>
        <w:t xml:space="preserve">and the </w:t>
      </w:r>
      <w:proofErr w:type="spellStart"/>
      <w:r w:rsidRPr="0069681E">
        <w:rPr>
          <w:rFonts w:ascii="Times New Roman" w:hAnsi="Times New Roman" w:cs="Times New Roman"/>
        </w:rPr>
        <w:t>Prayas</w:t>
      </w:r>
      <w:proofErr w:type="spellEnd"/>
      <w:r w:rsidRPr="0069681E">
        <w:rPr>
          <w:rFonts w:ascii="Times New Roman" w:hAnsi="Times New Roman" w:cs="Times New Roman"/>
        </w:rPr>
        <w:t xml:space="preserve"> Dashboard, district-level data on beneficiaries and funds released for all five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are available. For "Empowerment of Tribals through IT-enabled Scholarship Schemes," </w:t>
      </w:r>
      <w:proofErr w:type="spellStart"/>
      <w:r w:rsidRPr="0069681E">
        <w:rPr>
          <w:rFonts w:ascii="Times New Roman" w:hAnsi="Times New Roman" w:cs="Times New Roman"/>
        </w:rPr>
        <w:t>MoTA</w:t>
      </w:r>
      <w:proofErr w:type="spellEnd"/>
      <w:r w:rsidRPr="0069681E">
        <w:rPr>
          <w:rFonts w:ascii="Times New Roman" w:hAnsi="Times New Roman" w:cs="Times New Roman"/>
        </w:rPr>
        <w:t xml:space="preserve"> received the 66th SKOCH Gold Award. In a national evaluation study conducted by KPMG, the NITI Aayog recognized the Ministry of Tribal Affairs' Direct Benefit Transfer (DBT) Portal as a best </w:t>
      </w:r>
      <w:r w:rsidRPr="0069681E">
        <w:rPr>
          <w:rFonts w:ascii="Times New Roman" w:hAnsi="Times New Roman" w:cs="Times New Roman"/>
          <w:b/>
          <w:bCs/>
        </w:rPr>
        <w:t>practice</w:t>
      </w:r>
      <w:r w:rsidRPr="0069681E">
        <w:rPr>
          <w:rFonts w:ascii="Times New Roman" w:hAnsi="Times New Roman" w:cs="Times New Roman"/>
        </w:rPr>
        <w:t> in e-governance that has resulted in greater transparency, </w:t>
      </w:r>
      <w:r w:rsidRPr="0069681E">
        <w:rPr>
          <w:rFonts w:ascii="Times New Roman" w:hAnsi="Times New Roman" w:cs="Times New Roman"/>
          <w:b/>
          <w:bCs/>
        </w:rPr>
        <w:t>accountability</w:t>
      </w:r>
      <w:r w:rsidRPr="0069681E">
        <w:rPr>
          <w:rFonts w:ascii="Times New Roman" w:hAnsi="Times New Roman" w:cs="Times New Roman"/>
        </w:rPr>
        <w:t xml:space="preserve"> and radical improvement in service delivery to Scheduled Tribe students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 A brief overview of educational schemes for STs is represented in Figure 2. </w:t>
      </w:r>
    </w:p>
    <w:p w14:paraId="6B4A504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2: Educational Schemes for Scheduled Tribes by Government of India.</w:t>
      </w:r>
    </w:p>
    <w:p w14:paraId="1CF62BE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GOVERNMENT INITIATIVES IN COLLABORATION WITH NGOS FOR TRIBAL EDUCATION </w:t>
      </w:r>
    </w:p>
    <w:p w14:paraId="2AFFFA3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Residential Schools:  </w:t>
      </w:r>
      <w:r w:rsidRPr="0069681E">
        <w:rPr>
          <w:rFonts w:ascii="Times New Roman" w:hAnsi="Times New Roman" w:cs="Times New Roman"/>
          <w:b/>
          <w:bCs/>
        </w:rPr>
        <w:t>This project attempts to provide educational opportunities to underprivileged tribal children who cannot receive a good education due to the lack of a school in their area and the high expense of life and schooling in regions outside their immediate vicinity.</w:t>
      </w:r>
      <w:r w:rsidRPr="0069681E">
        <w:rPr>
          <w:rFonts w:ascii="Times New Roman" w:hAnsi="Times New Roman" w:cs="Times New Roman"/>
        </w:rPr>
        <w:t> </w:t>
      </w:r>
      <w:r w:rsidRPr="0069681E">
        <w:rPr>
          <w:rFonts w:ascii="Times New Roman" w:hAnsi="Times New Roman" w:cs="Times New Roman"/>
          <w:b/>
          <w:bCs/>
        </w:rPr>
        <w:t>The Ministry of Education releases funds under the EMRS scheme (Fig. 3) for school construction, upgrades, and ongoing expenses for all grades VI through XII students.</w:t>
      </w:r>
      <w:r w:rsidRPr="0069681E">
        <w:rPr>
          <w:rFonts w:ascii="Times New Roman" w:hAnsi="Times New Roman" w:cs="Times New Roman"/>
        </w:rPr>
        <w:t> The Government is committed to providing tribal youngsters with a high-quality education. </w:t>
      </w:r>
      <w:r w:rsidRPr="0069681E">
        <w:rPr>
          <w:rFonts w:ascii="Times New Roman" w:hAnsi="Times New Roman" w:cs="Times New Roman"/>
          <w:b/>
          <w:bCs/>
        </w:rPr>
        <w:t>To</w:t>
      </w:r>
      <w:r w:rsidRPr="0069681E">
        <w:rPr>
          <w:rFonts w:ascii="Times New Roman" w:hAnsi="Times New Roman" w:cs="Times New Roman"/>
        </w:rPr>
        <w:t> provide the finest quality facilities, the recurrent expenditures per student per annum </w:t>
      </w:r>
      <w:r w:rsidRPr="0069681E">
        <w:rPr>
          <w:rFonts w:ascii="Times New Roman" w:hAnsi="Times New Roman" w:cs="Times New Roman"/>
          <w:b/>
          <w:bCs/>
        </w:rPr>
        <w:t>have significantly</w:t>
      </w:r>
      <w:r w:rsidRPr="0069681E">
        <w:rPr>
          <w:rFonts w:ascii="Times New Roman" w:hAnsi="Times New Roman" w:cs="Times New Roman"/>
        </w:rPr>
        <w:t> increased from Rs. 42,000 in 2017-18 to Rs. 61,500 in 2018-19 and then to Rs. 1,09,000 in 2019-20. According to census 2011 data, there are 564 such sub-districts across the country, with an EMRS in only </w:t>
      </w:r>
      <w:r w:rsidRPr="0069681E">
        <w:rPr>
          <w:rFonts w:ascii="Times New Roman" w:hAnsi="Times New Roman" w:cs="Times New Roman"/>
          <w:b/>
          <w:bCs/>
        </w:rPr>
        <w:t>102. As </w:t>
      </w:r>
      <w:r w:rsidRPr="0069681E">
        <w:rPr>
          <w:rFonts w:ascii="Times New Roman" w:hAnsi="Times New Roman" w:cs="Times New Roman"/>
        </w:rPr>
        <w:t xml:space="preserve">a result, by 2022, 462 more schools will have to be built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392FD98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3: A brief overview of Residential Schools</w:t>
      </w:r>
    </w:p>
    <w:p w14:paraId="7BB8713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Non- Residential Schools: The school provides free teaching and mid-day meals to the students. The scheme also covers the costs of clothing, books, stationery, medical aid, and other incidental expenses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6DDD64F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Hostels: The goal of this initiative is to provide dormitory facilities to tribal students who have completed their </w:t>
      </w:r>
      <w:r w:rsidRPr="0069681E">
        <w:rPr>
          <w:rFonts w:ascii="Times New Roman" w:hAnsi="Times New Roman" w:cs="Times New Roman"/>
          <w:b/>
          <w:bCs/>
        </w:rPr>
        <w:t>primary</w:t>
      </w:r>
      <w:r w:rsidRPr="0069681E">
        <w:rPr>
          <w:rFonts w:ascii="Times New Roman" w:hAnsi="Times New Roman" w:cs="Times New Roman"/>
        </w:rPr>
        <w:t> or secondary education at schools near their villages but are unable to continue their</w:t>
      </w:r>
      <w:r w:rsidRPr="0069681E">
        <w:rPr>
          <w:rFonts w:ascii="Times New Roman" w:hAnsi="Times New Roman" w:cs="Times New Roman"/>
          <w:b/>
          <w:bCs/>
        </w:rPr>
        <w:t> studies </w:t>
      </w:r>
      <w:r w:rsidRPr="0069681E">
        <w:rPr>
          <w:rFonts w:ascii="Times New Roman" w:hAnsi="Times New Roman" w:cs="Times New Roman"/>
        </w:rPr>
        <w:t xml:space="preserve">due to the lack of institutions in the area and the high expense of living in cities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6178155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Strengthening Education among Scheduled Tribe (ST): The "Strengthening Education among Scheduled Tribe (ST) girls in Low Literacy Districts" scheme is a gender-specific </w:t>
      </w:r>
      <w:proofErr w:type="spellStart"/>
      <w:r w:rsidRPr="0069681E">
        <w:rPr>
          <w:rFonts w:ascii="Times New Roman" w:hAnsi="Times New Roman" w:cs="Times New Roman"/>
        </w:rPr>
        <w:t>programme</w:t>
      </w:r>
      <w:proofErr w:type="spellEnd"/>
      <w:r w:rsidRPr="0069681E">
        <w:rPr>
          <w:rFonts w:ascii="Times New Roman" w:hAnsi="Times New Roman" w:cs="Times New Roman"/>
        </w:rPr>
        <w:t xml:space="preserve"> that began in 1993-94 for ST girls living in low literacy areas. The plan was amended in 2008-09 and went into force on April 1, 2008 (Annual report, </w:t>
      </w:r>
      <w:proofErr w:type="spellStart"/>
      <w:r w:rsidRPr="0069681E">
        <w:rPr>
          <w:rFonts w:ascii="Times New Roman" w:hAnsi="Times New Roman" w:cs="Times New Roman"/>
        </w:rPr>
        <w:t>MoTA</w:t>
      </w:r>
      <w:proofErr w:type="spellEnd"/>
      <w:r w:rsidRPr="0069681E">
        <w:rPr>
          <w:rFonts w:ascii="Times New Roman" w:hAnsi="Times New Roman" w:cs="Times New Roman"/>
        </w:rPr>
        <w:t>, 2021, 2024).</w:t>
      </w:r>
    </w:p>
    <w:p w14:paraId="56D7F6A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LITERACY RATES GAPS </w:t>
      </w:r>
    </w:p>
    <w:p w14:paraId="361D95F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 xml:space="preserve">According to Census data, India's literacy rate among STs increased from 47.1 per cent in 2001 to 59 per cent in 2011. During the same period, the literacy rate among ST males climbed from 59.2 per cent to 68.5 per cent, while the literacy rate among ST girls increased from 34.8 per cent to 49.4 per cent. The overall literacy rate has risen </w:t>
      </w:r>
      <w:r w:rsidRPr="0069681E">
        <w:rPr>
          <w:rFonts w:ascii="Times New Roman" w:hAnsi="Times New Roman" w:cs="Times New Roman"/>
          <w:b/>
          <w:bCs/>
        </w:rPr>
        <w:lastRenderedPageBreak/>
        <w:t>from 64.8 per cent in 2001 to 73 per cent in 2011. The literacy rate of STs is around 14 percentage points lower than the overall literacy rate in India. Gaps in literacy rates of STs as opposed to the rest of India in terms of persons, men, and females for 1991, 2001, and 2011 show a steady drop. Figure 4 depicts a list of literacy rates based on Census data from 1961 onwards (</w:t>
      </w:r>
      <w:proofErr w:type="spellStart"/>
      <w:r w:rsidRPr="0069681E">
        <w:rPr>
          <w:rFonts w:ascii="Times New Roman" w:hAnsi="Times New Roman" w:cs="Times New Roman"/>
          <w:b/>
          <w:bCs/>
        </w:rPr>
        <w:t>MoTA</w:t>
      </w:r>
      <w:proofErr w:type="spellEnd"/>
      <w:r w:rsidRPr="0069681E">
        <w:rPr>
          <w:rFonts w:ascii="Times New Roman" w:hAnsi="Times New Roman" w:cs="Times New Roman"/>
          <w:b/>
          <w:bCs/>
        </w:rPr>
        <w:t>, Annual report, 2021, 2024).</w:t>
      </w:r>
    </w:p>
    <w:p w14:paraId="281015C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Data Source: Annual Report 2020-21, 2024 (</w:t>
      </w:r>
      <w:proofErr w:type="spellStart"/>
      <w:r w:rsidRPr="0069681E">
        <w:rPr>
          <w:rFonts w:ascii="Times New Roman" w:hAnsi="Times New Roman" w:cs="Times New Roman"/>
        </w:rPr>
        <w:t>MoTA</w:t>
      </w:r>
      <w:proofErr w:type="spellEnd"/>
      <w:r w:rsidRPr="0069681E">
        <w:rPr>
          <w:rFonts w:ascii="Times New Roman" w:hAnsi="Times New Roman" w:cs="Times New Roman"/>
        </w:rPr>
        <w:t>)</w:t>
      </w:r>
    </w:p>
    <w:p w14:paraId="0C1F56D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4: Literacy Rates Gaps (Census data from 1961 onwards).</w:t>
      </w:r>
    </w:p>
    <w:p w14:paraId="29536C1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TRIBAL HEALTH IN INDIA: ENCUMBRANCES</w:t>
      </w:r>
    </w:p>
    <w:p w14:paraId="006797F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Communicable diseases, maternity and child health issues, and malnutrition are still prevalent.</w:t>
      </w:r>
    </w:p>
    <w:p w14:paraId="213D82C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Non-communicable disorders, such as mental stress and addiction, are on the rise.</w:t>
      </w:r>
    </w:p>
    <w:p w14:paraId="4FCEA79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Accidental injuries, snake and animal bites, and conflict-related violence.</w:t>
      </w:r>
    </w:p>
    <w:p w14:paraId="45FF526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Difficult natural conditions </w:t>
      </w:r>
      <w:r w:rsidRPr="0069681E">
        <w:rPr>
          <w:rFonts w:ascii="Times New Roman" w:hAnsi="Times New Roman" w:cs="Times New Roman"/>
          <w:b/>
          <w:bCs/>
        </w:rPr>
        <w:t>result </w:t>
      </w:r>
      <w:r w:rsidRPr="0069681E">
        <w:rPr>
          <w:rFonts w:ascii="Times New Roman" w:hAnsi="Times New Roman" w:cs="Times New Roman"/>
        </w:rPr>
        <w:t>from physical terrain, distances, and harsh environments.</w:t>
      </w:r>
    </w:p>
    <w:p w14:paraId="6F08DC0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Worse social-economic drivers, including water and sanitation.</w:t>
      </w:r>
    </w:p>
    <w:p w14:paraId="41EE1BF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Inadequate and low-quality healthcare services with limited access and coverage, as well as low outputs and results.</w:t>
      </w:r>
    </w:p>
    <w:p w14:paraId="66B38C5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There are severe shortages of health human resources at all levels. Foreign specialists are unwilling to serve in tribal communities, and the health system fails to train and employ local potential human resources.</w:t>
      </w:r>
    </w:p>
    <w:p w14:paraId="111C2653"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Most states do not allocate or use the legitimate and necessary financial share for most tribal health. The actual expenditure on tribal health is not transparently accounted for.</w:t>
      </w:r>
    </w:p>
    <w:p w14:paraId="7FF6F88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 xml:space="preserve">Inadequate data, monitoring, and evolution obscure </w:t>
      </w:r>
      <w:proofErr w:type="gramStart"/>
      <w:r w:rsidRPr="0069681E">
        <w:rPr>
          <w:rFonts w:ascii="Times New Roman" w:hAnsi="Times New Roman" w:cs="Times New Roman"/>
          <w:b/>
          <w:bCs/>
        </w:rPr>
        <w:t>all of</w:t>
      </w:r>
      <w:proofErr w:type="gramEnd"/>
      <w:r w:rsidRPr="0069681E">
        <w:rPr>
          <w:rFonts w:ascii="Times New Roman" w:hAnsi="Times New Roman" w:cs="Times New Roman"/>
          <w:b/>
          <w:bCs/>
        </w:rPr>
        <w:t xml:space="preserve"> the issues above.</w:t>
      </w:r>
    </w:p>
    <w:p w14:paraId="40A8F343"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Political disempowerment of tribal people at all levels, from the individual to the national, exacerbates these issues (www.nhm.gov.in, 2011).</w:t>
      </w:r>
    </w:p>
    <w:p w14:paraId="2C892F3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TRIBAL HEALTH STATUS</w:t>
      </w:r>
    </w:p>
    <w:p w14:paraId="25E58E6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The status of Infant Mortality Rate (IMR), Under Five Mortality Rate (U5MR), and </w:t>
      </w:r>
      <w:proofErr w:type="spellStart"/>
      <w:r w:rsidRPr="0069681E">
        <w:rPr>
          <w:rFonts w:ascii="Times New Roman" w:hAnsi="Times New Roman" w:cs="Times New Roman"/>
        </w:rPr>
        <w:t>anaemia</w:t>
      </w:r>
      <w:proofErr w:type="spellEnd"/>
      <w:r w:rsidRPr="0069681E">
        <w:rPr>
          <w:rFonts w:ascii="Times New Roman" w:hAnsi="Times New Roman" w:cs="Times New Roman"/>
        </w:rPr>
        <w:t xml:space="preserve"> in women for STs and All categories is revealed in the National Family Health Survey (NFHS)-4, which was done by the Ministry of Health &amp; Family Welfare during 2015-16.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2024). Figure 5 displays the tribal health status based on NFHS -4.</w:t>
      </w:r>
    </w:p>
    <w:p w14:paraId="7294C01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Data Source: Annual Report 2020-21, 2024 (</w:t>
      </w:r>
      <w:proofErr w:type="spellStart"/>
      <w:r w:rsidRPr="0069681E">
        <w:rPr>
          <w:rFonts w:ascii="Times New Roman" w:hAnsi="Times New Roman" w:cs="Times New Roman"/>
        </w:rPr>
        <w:t>MoTA</w:t>
      </w:r>
      <w:proofErr w:type="spellEnd"/>
      <w:r w:rsidRPr="0069681E">
        <w:rPr>
          <w:rFonts w:ascii="Times New Roman" w:hAnsi="Times New Roman" w:cs="Times New Roman"/>
        </w:rPr>
        <w:t>)</w:t>
      </w:r>
    </w:p>
    <w:p w14:paraId="4F99EE73"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Figure 5: Tribal health status.</w:t>
      </w:r>
    </w:p>
    <w:p w14:paraId="5F5D7F2D"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Nutritional Status of Children under the age of 5 years </w:t>
      </w:r>
    </w:p>
    <w:p w14:paraId="20E4D38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6 shows the percentage of children under the age of five years classified as malnourished according to nutritional status: stunted (height-for-age), wasted (weight-for-height), and underweight (weight-for-age) based on data from the National Family Health Survey (NFHS)-3 and 4 conducted by the Ministry of Health and Family Welfare in 2005-06 and 2015-16, respectively. Although data show that the nutritional health of ST children has improved throughout the year, there are still considerable gaps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2024).</w:t>
      </w:r>
    </w:p>
    <w:p w14:paraId="0594281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Data Source: Annual Report 2020-21, 2024 (</w:t>
      </w:r>
      <w:proofErr w:type="spellStart"/>
      <w:r w:rsidRPr="0069681E">
        <w:rPr>
          <w:rFonts w:ascii="Times New Roman" w:hAnsi="Times New Roman" w:cs="Times New Roman"/>
        </w:rPr>
        <w:t>MoTA</w:t>
      </w:r>
      <w:proofErr w:type="spellEnd"/>
      <w:r w:rsidRPr="0069681E">
        <w:rPr>
          <w:rFonts w:ascii="Times New Roman" w:hAnsi="Times New Roman" w:cs="Times New Roman"/>
        </w:rPr>
        <w:t>)</w:t>
      </w:r>
    </w:p>
    <w:p w14:paraId="1FD2640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Figure 6: Comparison of prevalence of nutritional status.</w:t>
      </w:r>
    </w:p>
    <w:p w14:paraId="6554356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CHILDREN'S IMMUNIZATION STATUS</w:t>
      </w:r>
    </w:p>
    <w:p w14:paraId="6A92DBC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Table 1 shows the vaccination status of </w:t>
      </w:r>
      <w:proofErr w:type="gramStart"/>
      <w:r w:rsidRPr="0069681E">
        <w:rPr>
          <w:rFonts w:ascii="Times New Roman" w:hAnsi="Times New Roman" w:cs="Times New Roman"/>
        </w:rPr>
        <w:t>ST</w:t>
      </w:r>
      <w:proofErr w:type="gramEnd"/>
      <w:r w:rsidRPr="0069681E">
        <w:rPr>
          <w:rFonts w:ascii="Times New Roman" w:hAnsi="Times New Roman" w:cs="Times New Roman"/>
        </w:rPr>
        <w:t xml:space="preserve"> and all category children aged 12-23 months who received full immunization and no vaccination. By the age of 12 months, children are considered fully vaccinated if they have received</w:t>
      </w:r>
      <w:r w:rsidRPr="0069681E">
        <w:rPr>
          <w:rFonts w:ascii="Times New Roman" w:hAnsi="Times New Roman" w:cs="Times New Roman"/>
          <w:b/>
          <w:bCs/>
        </w:rPr>
        <w:t> tuberculosis </w:t>
      </w:r>
      <w:r w:rsidRPr="0069681E">
        <w:rPr>
          <w:rFonts w:ascii="Times New Roman" w:hAnsi="Times New Roman" w:cs="Times New Roman"/>
        </w:rPr>
        <w:t>(BCG) vaccine, three doses of the diphtheria, whooping cough (pertussis), and tetanus (DPT) vaccine, three doses of the poliomyelitis (polio) vaccine (excluding the polio vaccine given at birth), and one dose of the measles vaccine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2024).</w:t>
      </w:r>
    </w:p>
    <w:p w14:paraId="1F07710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Table 1. Vaccination status of ST and all category children.</w:t>
      </w:r>
    </w:p>
    <w:p w14:paraId="7B88422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Source</w:t>
      </w:r>
    </w:p>
    <w:p w14:paraId="355DE05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Full Immunization</w:t>
      </w:r>
    </w:p>
    <w:p w14:paraId="6D74B9FB"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No Vaccination</w:t>
      </w:r>
    </w:p>
    <w:p w14:paraId="320FB17E"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ALL</w:t>
      </w:r>
    </w:p>
    <w:p w14:paraId="1F190A6A"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ST</w:t>
      </w:r>
    </w:p>
    <w:p w14:paraId="1EB13D9B"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ALL</w:t>
      </w:r>
    </w:p>
    <w:p w14:paraId="1095268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ST</w:t>
      </w:r>
    </w:p>
    <w:p w14:paraId="44F3938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NFHS-3 (2005-06)</w:t>
      </w:r>
    </w:p>
    <w:p w14:paraId="4F6FB2BB"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43.5</w:t>
      </w:r>
    </w:p>
    <w:p w14:paraId="0B28801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31.3</w:t>
      </w:r>
    </w:p>
    <w:p w14:paraId="2BC7734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5.1</w:t>
      </w:r>
    </w:p>
    <w:p w14:paraId="1D9E8B7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11.5</w:t>
      </w:r>
    </w:p>
    <w:p w14:paraId="6658324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NFHS-4 (2015-16)</w:t>
      </w:r>
    </w:p>
    <w:p w14:paraId="608EECB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62</w:t>
      </w:r>
    </w:p>
    <w:p w14:paraId="661D326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55.8</w:t>
      </w:r>
    </w:p>
    <w:p w14:paraId="092288A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6</w:t>
      </w:r>
    </w:p>
    <w:p w14:paraId="0CE1719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9.2</w:t>
      </w:r>
    </w:p>
    <w:p w14:paraId="3FCEAE0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Source: National Family Health Survey (NFHS), M/o H&amp;FW</w:t>
      </w:r>
    </w:p>
    <w:p w14:paraId="76F7210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HEALTH INFRASTRUCTURAL DEVELOPMENT IN TRIBAL AREAS</w:t>
      </w:r>
    </w:p>
    <w:p w14:paraId="01BAE54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According to the figures published by the Ministry of Health and Family Welfare on the Rural Health Infrastructure in Tribal Areas, there are 28682 Sub </w:t>
      </w:r>
      <w:proofErr w:type="spellStart"/>
      <w:r w:rsidRPr="0069681E">
        <w:rPr>
          <w:rFonts w:ascii="Times New Roman" w:hAnsi="Times New Roman" w:cs="Times New Roman"/>
        </w:rPr>
        <w:t>Centres</w:t>
      </w:r>
      <w:proofErr w:type="spellEnd"/>
      <w:r w:rsidRPr="0069681E">
        <w:rPr>
          <w:rFonts w:ascii="Times New Roman" w:hAnsi="Times New Roman" w:cs="Times New Roman"/>
        </w:rPr>
        <w:t xml:space="preserve"> (SCs), 4211 Primary Health </w:t>
      </w:r>
      <w:proofErr w:type="spellStart"/>
      <w:r w:rsidRPr="0069681E">
        <w:rPr>
          <w:rFonts w:ascii="Times New Roman" w:hAnsi="Times New Roman" w:cs="Times New Roman"/>
        </w:rPr>
        <w:t>Centres</w:t>
      </w:r>
      <w:proofErr w:type="spellEnd"/>
      <w:r w:rsidRPr="0069681E">
        <w:rPr>
          <w:rFonts w:ascii="Times New Roman" w:hAnsi="Times New Roman" w:cs="Times New Roman"/>
        </w:rPr>
        <w:t xml:space="preserve"> (PHCs), and 1022 Community Health </w:t>
      </w:r>
      <w:proofErr w:type="spellStart"/>
      <w:r w:rsidRPr="0069681E">
        <w:rPr>
          <w:rFonts w:ascii="Times New Roman" w:hAnsi="Times New Roman" w:cs="Times New Roman"/>
        </w:rPr>
        <w:t>Centres</w:t>
      </w:r>
      <w:proofErr w:type="spellEnd"/>
      <w:r w:rsidRPr="0069681E">
        <w:rPr>
          <w:rFonts w:ascii="Times New Roman" w:hAnsi="Times New Roman" w:cs="Times New Roman"/>
        </w:rPr>
        <w:t xml:space="preserve"> (CHCs) in operation as of March 31, 2019. In 2019, the number of existing Sub </w:t>
      </w:r>
      <w:proofErr w:type="spellStart"/>
      <w:r w:rsidRPr="0069681E">
        <w:rPr>
          <w:rFonts w:ascii="Times New Roman" w:hAnsi="Times New Roman" w:cs="Times New Roman"/>
        </w:rPr>
        <w:t>Centres</w:t>
      </w:r>
      <w:proofErr w:type="spellEnd"/>
      <w:r w:rsidRPr="0069681E">
        <w:rPr>
          <w:rFonts w:ascii="Times New Roman" w:hAnsi="Times New Roman" w:cs="Times New Roman"/>
        </w:rPr>
        <w:t xml:space="preserve"> increased by 591, PHCs by 240, and CHCs by 5. As of March 31, 2019, there was a deficiency of 7054 SCs, 1204 PHCs, and 326 CHCs in tribal communities in India compared to the required. There is also a significant shortage of Sub-</w:t>
      </w:r>
      <w:proofErr w:type="spellStart"/>
      <w:r w:rsidRPr="0069681E">
        <w:rPr>
          <w:rFonts w:ascii="Times New Roman" w:hAnsi="Times New Roman" w:cs="Times New Roman"/>
        </w:rPr>
        <w:t>Centres</w:t>
      </w:r>
      <w:proofErr w:type="spellEnd"/>
      <w:r w:rsidRPr="0069681E">
        <w:rPr>
          <w:rFonts w:ascii="Times New Roman" w:hAnsi="Times New Roman" w:cs="Times New Roman"/>
        </w:rPr>
        <w:t xml:space="preserve"> in Madhya Pradesh (2067), Rajasthan (1653), and Karnataka (833). Madhya Pradesh has 463 PHCs in need, followed by Rajasthan with 251 and Jharkhand with 247. Madhya Pradesh has the most CHC shortfalls (101), followed by Rajasthan (54) and Maharashtra (50) (MOTA, Annual report, 2021, 2024). Table 2 shows the required infrastructure for rural health care.</w:t>
      </w:r>
    </w:p>
    <w:p w14:paraId="79F9D50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Centre</w:t>
      </w:r>
    </w:p>
    <w:p w14:paraId="006EC61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Population Norms</w:t>
      </w:r>
    </w:p>
    <w:p w14:paraId="34B22883"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Plain Area</w:t>
      </w:r>
    </w:p>
    <w:p w14:paraId="31C9005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Hilly/ Tribal/ Difficult Area</w:t>
      </w:r>
    </w:p>
    <w:p w14:paraId="071F957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Sub- </w:t>
      </w:r>
      <w:proofErr w:type="spellStart"/>
      <w:r w:rsidRPr="0069681E">
        <w:rPr>
          <w:rFonts w:ascii="Times New Roman" w:hAnsi="Times New Roman" w:cs="Times New Roman"/>
        </w:rPr>
        <w:t>Centres</w:t>
      </w:r>
      <w:proofErr w:type="spellEnd"/>
    </w:p>
    <w:p w14:paraId="61B4BAD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5000</w:t>
      </w:r>
    </w:p>
    <w:p w14:paraId="6D71E2A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3000</w:t>
      </w:r>
    </w:p>
    <w:p w14:paraId="4510F68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Primary Health Centre</w:t>
      </w:r>
    </w:p>
    <w:p w14:paraId="36CEC5C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30,000</w:t>
      </w:r>
    </w:p>
    <w:p w14:paraId="35854ABD"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20,000</w:t>
      </w:r>
    </w:p>
    <w:p w14:paraId="5591156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Community Health Centre </w:t>
      </w:r>
    </w:p>
    <w:p w14:paraId="39EE8A4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1,20,000</w:t>
      </w:r>
    </w:p>
    <w:p w14:paraId="0F3B7D5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80,000</w:t>
      </w:r>
    </w:p>
    <w:p w14:paraId="784356C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Table 2. Required infrastructure for rural health care.</w:t>
      </w:r>
    </w:p>
    <w:p w14:paraId="4A640B2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Some government measures have been seen to help tribals overcome the </w:t>
      </w:r>
      <w:proofErr w:type="gramStart"/>
      <w:r w:rsidRPr="0069681E">
        <w:rPr>
          <w:rFonts w:ascii="Times New Roman" w:hAnsi="Times New Roman" w:cs="Times New Roman"/>
        </w:rPr>
        <w:t>aforementioned difficulties</w:t>
      </w:r>
      <w:proofErr w:type="gramEnd"/>
      <w:r w:rsidRPr="0069681E">
        <w:rPr>
          <w:rFonts w:ascii="Times New Roman" w:hAnsi="Times New Roman" w:cs="Times New Roman"/>
        </w:rPr>
        <w:t>. The health outcomes of </w:t>
      </w:r>
      <w:r w:rsidRPr="0069681E">
        <w:rPr>
          <w:rFonts w:ascii="Times New Roman" w:hAnsi="Times New Roman" w:cs="Times New Roman"/>
          <w:b/>
          <w:bCs/>
        </w:rPr>
        <w:t>India's tribal and non-tribal populations</w:t>
      </w:r>
      <w:r w:rsidRPr="0069681E">
        <w:rPr>
          <w:rFonts w:ascii="Times New Roman" w:hAnsi="Times New Roman" w:cs="Times New Roman"/>
        </w:rPr>
        <w:t> are vastly different. The near complete lack of statistics and information on the health and nutrition status of various tribal tribes exacerbates the problem. This is frequently the main bottleneck for decision-makers when </w:t>
      </w:r>
      <w:r w:rsidRPr="0069681E">
        <w:rPr>
          <w:rFonts w:ascii="Times New Roman" w:hAnsi="Times New Roman" w:cs="Times New Roman"/>
          <w:b/>
          <w:bCs/>
        </w:rPr>
        <w:t>designing policies</w:t>
      </w:r>
      <w:r w:rsidRPr="0069681E">
        <w:rPr>
          <w:rFonts w:ascii="Times New Roman" w:hAnsi="Times New Roman" w:cs="Times New Roman"/>
        </w:rPr>
        <w:t> and initiatives to close these gaps. </w:t>
      </w:r>
      <w:r w:rsidRPr="0069681E">
        <w:rPr>
          <w:rFonts w:ascii="Times New Roman" w:hAnsi="Times New Roman" w:cs="Times New Roman"/>
          <w:b/>
          <w:bCs/>
        </w:rPr>
        <w:t>The Knowledge Management (KM) Centre of Excellence intends to fill knowledge gaps in tribal health and nutrition. It collects data, information, lessons learned, and best practices from various sources, including partner ministries, tribal research institutes (TRIs), and non-governmental organizations (NGOs) working in tribal areas. </w:t>
      </w:r>
      <w:r w:rsidRPr="0069681E">
        <w:rPr>
          <w:rFonts w:ascii="Times New Roman" w:hAnsi="Times New Roman" w:cs="Times New Roman"/>
        </w:rPr>
        <w:t xml:space="preserve">It has developed </w:t>
      </w:r>
      <w:proofErr w:type="spellStart"/>
      <w:r w:rsidRPr="0069681E">
        <w:rPr>
          <w:rFonts w:ascii="Times New Roman" w:hAnsi="Times New Roman" w:cs="Times New Roman"/>
        </w:rPr>
        <w:t>Swasthya</w:t>
      </w:r>
      <w:proofErr w:type="spellEnd"/>
      <w:r w:rsidRPr="0069681E">
        <w:rPr>
          <w:rFonts w:ascii="Times New Roman" w:hAnsi="Times New Roman" w:cs="Times New Roman"/>
        </w:rPr>
        <w:t xml:space="preserve">: National Tribal Health Portal as a one-stop solution to enhance the sharing of ideas, information, and learnings across stakeholders, resulting in evidence-based and data-driven decision-making (Ministry of Tribal affair, </w:t>
      </w:r>
      <w:proofErr w:type="spellStart"/>
      <w:r w:rsidRPr="0069681E">
        <w:rPr>
          <w:rFonts w:ascii="Times New Roman" w:hAnsi="Times New Roman" w:cs="Times New Roman"/>
        </w:rPr>
        <w:t>Swathya</w:t>
      </w:r>
      <w:proofErr w:type="spellEnd"/>
      <w:r w:rsidRPr="0069681E">
        <w:rPr>
          <w:rFonts w:ascii="Times New Roman" w:hAnsi="Times New Roman" w:cs="Times New Roman"/>
        </w:rPr>
        <w:t xml:space="preserve"> Portal, 2021, 2024).</w:t>
      </w:r>
    </w:p>
    <w:p w14:paraId="7B0C6CF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GOVERNMENT INITIATIVES FOR HEALTHCARE OF SCHEDULED TRIBES</w:t>
      </w:r>
    </w:p>
    <w:p w14:paraId="26BD60D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The</w:t>
      </w:r>
      <w:r w:rsidRPr="0069681E">
        <w:rPr>
          <w:rFonts w:ascii="Times New Roman" w:hAnsi="Times New Roman" w:cs="Times New Roman"/>
        </w:rPr>
        <w:t> government have taken numerous initiatives </w:t>
      </w:r>
      <w:r w:rsidRPr="0069681E">
        <w:rPr>
          <w:rFonts w:ascii="Times New Roman" w:hAnsi="Times New Roman" w:cs="Times New Roman"/>
          <w:b/>
          <w:bCs/>
        </w:rPr>
        <w:t>to improve</w:t>
      </w:r>
      <w:r w:rsidRPr="0069681E">
        <w:rPr>
          <w:rFonts w:ascii="Times New Roman" w:hAnsi="Times New Roman" w:cs="Times New Roman"/>
        </w:rPr>
        <w:t> </w:t>
      </w:r>
      <w:r w:rsidRPr="0069681E">
        <w:rPr>
          <w:rFonts w:ascii="Times New Roman" w:hAnsi="Times New Roman" w:cs="Times New Roman"/>
          <w:b/>
          <w:bCs/>
        </w:rPr>
        <w:t>the</w:t>
      </w:r>
      <w:r w:rsidRPr="0069681E">
        <w:rPr>
          <w:rFonts w:ascii="Times New Roman" w:hAnsi="Times New Roman" w:cs="Times New Roman"/>
        </w:rPr>
        <w:t> healthcare of Scheduled Tribes in India, as shown in Figure 6. The Centre of Excellence (</w:t>
      </w:r>
      <w:proofErr w:type="spellStart"/>
      <w:r w:rsidRPr="0069681E">
        <w:rPr>
          <w:rFonts w:ascii="Times New Roman" w:hAnsi="Times New Roman" w:cs="Times New Roman"/>
        </w:rPr>
        <w:t>CoE</w:t>
      </w:r>
      <w:proofErr w:type="spellEnd"/>
      <w:r w:rsidRPr="0069681E">
        <w:rPr>
          <w:rFonts w:ascii="Times New Roman" w:hAnsi="Times New Roman" w:cs="Times New Roman"/>
        </w:rPr>
        <w:t>) was able to </w:t>
      </w:r>
      <w:r w:rsidRPr="0069681E">
        <w:rPr>
          <w:rFonts w:ascii="Times New Roman" w:hAnsi="Times New Roman" w:cs="Times New Roman"/>
          <w:b/>
          <w:bCs/>
        </w:rPr>
        <w:t>analyze</w:t>
      </w:r>
      <w:r w:rsidRPr="0069681E">
        <w:rPr>
          <w:rFonts w:ascii="Times New Roman" w:hAnsi="Times New Roman" w:cs="Times New Roman"/>
        </w:rPr>
        <w:t> the landscape of information </w:t>
      </w:r>
      <w:r w:rsidRPr="0069681E">
        <w:rPr>
          <w:rFonts w:ascii="Times New Roman" w:hAnsi="Times New Roman" w:cs="Times New Roman"/>
          <w:b/>
          <w:bCs/>
        </w:rPr>
        <w:t>available on tribal health and identify organizations operating in this field quickly. The Centre of Excellence (</w:t>
      </w:r>
      <w:proofErr w:type="spellStart"/>
      <w:r w:rsidRPr="0069681E">
        <w:rPr>
          <w:rFonts w:ascii="Times New Roman" w:hAnsi="Times New Roman" w:cs="Times New Roman"/>
          <w:b/>
          <w:bCs/>
        </w:rPr>
        <w:t>CoE</w:t>
      </w:r>
      <w:proofErr w:type="spellEnd"/>
      <w:r w:rsidRPr="0069681E">
        <w:rPr>
          <w:rFonts w:ascii="Times New Roman" w:hAnsi="Times New Roman" w:cs="Times New Roman"/>
          <w:b/>
          <w:bCs/>
        </w:rPr>
        <w:t xml:space="preserve">) has reached several significant milestones, including the launch of </w:t>
      </w:r>
      <w:proofErr w:type="spellStart"/>
      <w:r w:rsidRPr="0069681E">
        <w:rPr>
          <w:rFonts w:ascii="Times New Roman" w:hAnsi="Times New Roman" w:cs="Times New Roman"/>
          <w:b/>
          <w:bCs/>
        </w:rPr>
        <w:t>Swasthya</w:t>
      </w:r>
      <w:proofErr w:type="spellEnd"/>
      <w:r w:rsidRPr="0069681E">
        <w:rPr>
          <w:rFonts w:ascii="Times New Roman" w:hAnsi="Times New Roman" w:cs="Times New Roman"/>
          <w:b/>
          <w:bCs/>
        </w:rPr>
        <w:t>: National Tribal Health Portal, a one-stop destination for tribal health and nutrition information in India.</w:t>
      </w:r>
    </w:p>
    <w:p w14:paraId="4A386CB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Establishment of Sickle Cell Disease Support (SCD) Corner - </w:t>
      </w:r>
      <w:r w:rsidRPr="0069681E">
        <w:rPr>
          <w:rFonts w:ascii="Times New Roman" w:hAnsi="Times New Roman" w:cs="Times New Roman"/>
          <w:b/>
          <w:bCs/>
        </w:rPr>
        <w:t>a </w:t>
      </w:r>
      <w:r w:rsidRPr="0069681E">
        <w:rPr>
          <w:rFonts w:ascii="Times New Roman" w:hAnsi="Times New Roman" w:cs="Times New Roman"/>
        </w:rPr>
        <w:t>patient-driven web-based registration system that collects all information about Sickle Cell Disease (SCD) among tribal people in India, including providing them with a platform to register themselves if they have the disease or the trait.</w:t>
      </w:r>
    </w:p>
    <w:p w14:paraId="71AFC886"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ALEKH: A Learning Endeavour for Knowledge in Healthcare was founded. </w:t>
      </w:r>
      <w:r w:rsidRPr="0069681E">
        <w:rPr>
          <w:rFonts w:ascii="Times New Roman" w:hAnsi="Times New Roman" w:cs="Times New Roman"/>
          <w:b/>
          <w:bCs/>
        </w:rPr>
        <w:t>It is a quarterly e-newsletter that highlights recent developments in tribal health</w:t>
      </w:r>
      <w:r w:rsidRPr="0069681E">
        <w:rPr>
          <w:rFonts w:ascii="Times New Roman" w:hAnsi="Times New Roman" w:cs="Times New Roman"/>
        </w:rPr>
        <w:t>, with an emphasis on interventions, innovations, case studies, and field champions.</w:t>
      </w:r>
    </w:p>
    <w:p w14:paraId="7FACBC4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Tribal Health Compendium – A compendium that uses the NFHS-4 dataset to present district/cluster level health and nutrition data tailored to the tribal people (Ministry of Tribal </w:t>
      </w:r>
      <w:r w:rsidRPr="0069681E">
        <w:rPr>
          <w:rFonts w:ascii="Times New Roman" w:hAnsi="Times New Roman" w:cs="Times New Roman"/>
          <w:b/>
          <w:bCs/>
        </w:rPr>
        <w:t>Affairs</w:t>
      </w:r>
      <w:r w:rsidRPr="0069681E">
        <w:rPr>
          <w:rFonts w:ascii="Times New Roman" w:hAnsi="Times New Roman" w:cs="Times New Roman"/>
        </w:rPr>
        <w:t xml:space="preserve">, </w:t>
      </w:r>
      <w:proofErr w:type="spellStart"/>
      <w:r w:rsidRPr="0069681E">
        <w:rPr>
          <w:rFonts w:ascii="Times New Roman" w:hAnsi="Times New Roman" w:cs="Times New Roman"/>
        </w:rPr>
        <w:t>Swathya</w:t>
      </w:r>
      <w:proofErr w:type="spellEnd"/>
      <w:r w:rsidRPr="0069681E">
        <w:rPr>
          <w:rFonts w:ascii="Times New Roman" w:hAnsi="Times New Roman" w:cs="Times New Roman"/>
        </w:rPr>
        <w:t xml:space="preserve"> portal, 2021, 2024).</w:t>
      </w:r>
    </w:p>
    <w:p w14:paraId="20BFFCE3"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Figure 6: Government </w:t>
      </w:r>
      <w:r w:rsidRPr="0069681E">
        <w:rPr>
          <w:rFonts w:ascii="Times New Roman" w:hAnsi="Times New Roman" w:cs="Times New Roman"/>
          <w:b/>
          <w:bCs/>
        </w:rPr>
        <w:t>Initiatives</w:t>
      </w:r>
      <w:r w:rsidRPr="0069681E">
        <w:rPr>
          <w:rFonts w:ascii="Times New Roman" w:hAnsi="Times New Roman" w:cs="Times New Roman"/>
        </w:rPr>
        <w:t> for Healthcare of Scheduled Tribes in India.</w:t>
      </w:r>
    </w:p>
    <w:p w14:paraId="0055452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TRIBAL HEALTH AND NUTRITION PROJECTS DEVELOPED IN CONJUNCTION WITH NGOS </w:t>
      </w:r>
    </w:p>
    <w:p w14:paraId="624A442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Mobile Dispensaries: </w:t>
      </w:r>
      <w:r w:rsidRPr="0069681E">
        <w:rPr>
          <w:rFonts w:ascii="Times New Roman" w:hAnsi="Times New Roman" w:cs="Times New Roman"/>
          <w:b/>
          <w:bCs/>
        </w:rPr>
        <w:t>The organization will provide free medical services to tribals living in rural villages/hamlets through a mobile dispensary/clinic. </w:t>
      </w:r>
      <w:r w:rsidRPr="0069681E">
        <w:rPr>
          <w:rFonts w:ascii="Times New Roman" w:hAnsi="Times New Roman" w:cs="Times New Roman"/>
        </w:rPr>
        <w:t>The scheme offers an annual Grant-in-Aid to cover regular expenses such as salaries for doctors and other employees, as well as the price of purchasing a vehicle or jeep and other equipment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2024).</w:t>
      </w:r>
    </w:p>
    <w:p w14:paraId="56257059"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Ten or more Bedded Hospitals: </w:t>
      </w:r>
      <w:r w:rsidRPr="0069681E">
        <w:rPr>
          <w:rFonts w:ascii="Times New Roman" w:hAnsi="Times New Roman" w:cs="Times New Roman"/>
          <w:b/>
          <w:bCs/>
        </w:rPr>
        <w:t>This project aims to assist non-profit organizations in operating hospitals with ten or more beds in tribal villages where government services are lacking. These little hospitals mainly serve outside patients but also provide services for inside patients.</w:t>
      </w:r>
      <w:r w:rsidRPr="0069681E">
        <w:rPr>
          <w:rFonts w:ascii="Times New Roman" w:hAnsi="Times New Roman" w:cs="Times New Roman"/>
        </w:rPr>
        <w:t> Furniture and fittings, hospital equipment, ambulances, and a generator set are among the items purchased with assistance, as are routine expenses such as honoraria to doctors, nurses, and other employees, drug procurement, and building hire charges, among other things (</w:t>
      </w:r>
      <w:proofErr w:type="spellStart"/>
      <w:r w:rsidRPr="0069681E">
        <w:rPr>
          <w:rFonts w:ascii="Times New Roman" w:hAnsi="Times New Roman" w:cs="Times New Roman"/>
        </w:rPr>
        <w:t>MoTA</w:t>
      </w:r>
      <w:proofErr w:type="spellEnd"/>
      <w:r w:rsidRPr="0069681E">
        <w:rPr>
          <w:rFonts w:ascii="Times New Roman" w:hAnsi="Times New Roman" w:cs="Times New Roman"/>
        </w:rPr>
        <w:t>, Annual report 2021, 2024).</w:t>
      </w:r>
    </w:p>
    <w:p w14:paraId="7553E8EF"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CONCLUSION &amp; FUTURE PERSPECTIVES</w:t>
      </w:r>
    </w:p>
    <w:p w14:paraId="2F1C1A8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The </w:t>
      </w:r>
      <w:r w:rsidRPr="0069681E">
        <w:rPr>
          <w:rFonts w:ascii="Times New Roman" w:hAnsi="Times New Roman" w:cs="Times New Roman"/>
          <w:b/>
          <w:bCs/>
        </w:rPr>
        <w:t>leading </w:t>
      </w:r>
      <w:r w:rsidRPr="0069681E">
        <w:rPr>
          <w:rFonts w:ascii="Times New Roman" w:hAnsi="Times New Roman" w:cs="Times New Roman"/>
        </w:rPr>
        <w:t xml:space="preserve">cause of STs' backwardness in our country is illiteracy. STs' engagement in school has been hampered for a variety of reasons. Simply initiating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and schemes would not solve the problem of illiteracy among tribal people. The benefits of these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have only recently reached them. The ST's Education is hampered by a lack of understanding of these schemes among the tribal masses, the distinctive nature of their houses, and administrative authorities' disinterest in implementing these schemes and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w:t>
      </w:r>
      <w:r w:rsidRPr="0069681E">
        <w:rPr>
          <w:rFonts w:ascii="Times New Roman" w:hAnsi="Times New Roman" w:cs="Times New Roman"/>
          <w:b/>
          <w:bCs/>
        </w:rPr>
        <w:t>Issues of social and economic marginalization and deprivation of indigenous knowledge must be addressed using appropriate intervention methods such as systematic and scientific evaluation, </w:t>
      </w:r>
      <w:r w:rsidRPr="0069681E">
        <w:rPr>
          <w:rFonts w:ascii="Times New Roman" w:hAnsi="Times New Roman" w:cs="Times New Roman"/>
        </w:rPr>
        <w:t>planned and phased intervention, policy advocacy, and large-scale resource utilization and mobilization. To enhance the level of education, public awareness </w:t>
      </w:r>
      <w:r w:rsidRPr="0069681E">
        <w:rPr>
          <w:rFonts w:ascii="Times New Roman" w:hAnsi="Times New Roman" w:cs="Times New Roman"/>
          <w:b/>
          <w:bCs/>
        </w:rPr>
        <w:t>campaigns</w:t>
      </w:r>
      <w:r w:rsidRPr="0069681E">
        <w:rPr>
          <w:rFonts w:ascii="Times New Roman" w:hAnsi="Times New Roman" w:cs="Times New Roman"/>
        </w:rPr>
        <w:t xml:space="preserve"> and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xml:space="preserve"> should be carried out with the assistance of community-based organizations (CBOs) and non-governmental organizations (NGOs). Where there is no educational infrastructure and access to it is impossible, </w:t>
      </w:r>
      <w:r w:rsidRPr="0069681E">
        <w:rPr>
          <w:rFonts w:ascii="Times New Roman" w:hAnsi="Times New Roman" w:cs="Times New Roman"/>
          <w:b/>
          <w:bCs/>
        </w:rPr>
        <w:t xml:space="preserve">mobile-based outreach </w:t>
      </w:r>
      <w:proofErr w:type="spellStart"/>
      <w:r w:rsidRPr="0069681E">
        <w:rPr>
          <w:rFonts w:ascii="Times New Roman" w:hAnsi="Times New Roman" w:cs="Times New Roman"/>
          <w:b/>
          <w:bCs/>
        </w:rPr>
        <w:t>programmes</w:t>
      </w:r>
      <w:proofErr w:type="spellEnd"/>
      <w:r w:rsidRPr="0069681E">
        <w:rPr>
          <w:rFonts w:ascii="Times New Roman" w:hAnsi="Times New Roman" w:cs="Times New Roman"/>
          <w:b/>
          <w:bCs/>
        </w:rPr>
        <w:t xml:space="preserve"> should be done at the very least every month</w:t>
      </w:r>
      <w:r w:rsidRPr="0069681E">
        <w:rPr>
          <w:rFonts w:ascii="Times New Roman" w:hAnsi="Times New Roman" w:cs="Times New Roman"/>
        </w:rPr>
        <w:t xml:space="preserve">. A </w:t>
      </w:r>
      <w:r w:rsidRPr="0069681E">
        <w:rPr>
          <w:rFonts w:ascii="Times New Roman" w:hAnsi="Times New Roman" w:cs="Times New Roman"/>
        </w:rPr>
        <w:lastRenderedPageBreak/>
        <w:t>comprehensive plan of strategies should be created at the local governance level to enhance literacy. </w:t>
      </w:r>
    </w:p>
    <w:p w14:paraId="643270B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b/>
          <w:bCs/>
        </w:rPr>
        <w:t xml:space="preserve">Similarly, it is necessary to document local and traditional healthcare knowledge and </w:t>
      </w:r>
      <w:proofErr w:type="spellStart"/>
      <w:r w:rsidRPr="0069681E">
        <w:rPr>
          <w:rFonts w:ascii="Times New Roman" w:hAnsi="Times New Roman" w:cs="Times New Roman"/>
          <w:b/>
          <w:bCs/>
        </w:rPr>
        <w:t>practises</w:t>
      </w:r>
      <w:proofErr w:type="spellEnd"/>
      <w:r w:rsidRPr="0069681E">
        <w:rPr>
          <w:rFonts w:ascii="Times New Roman" w:hAnsi="Times New Roman" w:cs="Times New Roman"/>
          <w:b/>
          <w:bCs/>
        </w:rPr>
        <w:t xml:space="preserve"> and raise awareness about scientific healthcare methods and education. </w:t>
      </w:r>
      <w:r w:rsidRPr="0069681E">
        <w:rPr>
          <w:rFonts w:ascii="Times New Roman" w:hAnsi="Times New Roman" w:cs="Times New Roman"/>
        </w:rPr>
        <w:t xml:space="preserve">The modern health care system, particularly primary health </w:t>
      </w:r>
      <w:proofErr w:type="spellStart"/>
      <w:r w:rsidRPr="0069681E">
        <w:rPr>
          <w:rFonts w:ascii="Times New Roman" w:hAnsi="Times New Roman" w:cs="Times New Roman"/>
        </w:rPr>
        <w:t>centres</w:t>
      </w:r>
      <w:proofErr w:type="spellEnd"/>
      <w:r w:rsidRPr="0069681E">
        <w:rPr>
          <w:rFonts w:ascii="Times New Roman" w:hAnsi="Times New Roman" w:cs="Times New Roman"/>
        </w:rPr>
        <w:t>, should be equipped with all modern facilities, and health staff should be appointed in these areas to the national health policy's minimal standard, with regular services provided. Magico-religious healthcare techniques should be in accord with modern and scientific therapeutic methods. </w:t>
      </w:r>
      <w:r w:rsidRPr="0069681E">
        <w:rPr>
          <w:rFonts w:ascii="Times New Roman" w:hAnsi="Times New Roman" w:cs="Times New Roman"/>
          <w:b/>
          <w:bCs/>
        </w:rPr>
        <w:t>However</w:t>
      </w:r>
      <w:r w:rsidRPr="0069681E">
        <w:rPr>
          <w:rFonts w:ascii="Times New Roman" w:hAnsi="Times New Roman" w:cs="Times New Roman"/>
        </w:rPr>
        <w:t>, among the tribes, magico-religious methods of healing ailments are </w:t>
      </w:r>
      <w:r w:rsidRPr="0069681E">
        <w:rPr>
          <w:rFonts w:ascii="Times New Roman" w:hAnsi="Times New Roman" w:cs="Times New Roman"/>
          <w:b/>
          <w:bCs/>
        </w:rPr>
        <w:t>widespread </w:t>
      </w:r>
      <w:r w:rsidRPr="0069681E">
        <w:rPr>
          <w:rFonts w:ascii="Times New Roman" w:hAnsi="Times New Roman" w:cs="Times New Roman"/>
        </w:rPr>
        <w:t>and popular.</w:t>
      </w:r>
      <w:r w:rsidRPr="0069681E">
        <w:rPr>
          <w:rFonts w:ascii="Times New Roman" w:hAnsi="Times New Roman" w:cs="Times New Roman"/>
          <w:b/>
          <w:bCs/>
        </w:rPr>
        <w:t xml:space="preserve"> It should not be entirely eradicated but instead dealt with more scientifically. Traditional knowledge has its significance in the context of tribal health. In addition, advanced healthcare methods are becoming increasingly important in today's world. As a result, the current healthcare practices and old methods must be integrated into a new medical and healthcare system since the Indigenous community has a high rate of malnutrition. As a result, </w:t>
      </w:r>
      <w:proofErr w:type="spellStart"/>
      <w:r w:rsidRPr="0069681E">
        <w:rPr>
          <w:rFonts w:ascii="Times New Roman" w:hAnsi="Times New Roman" w:cs="Times New Roman"/>
          <w:b/>
          <w:bCs/>
        </w:rPr>
        <w:t>Anganwari</w:t>
      </w:r>
      <w:proofErr w:type="spellEnd"/>
      <w:r w:rsidRPr="0069681E">
        <w:rPr>
          <w:rFonts w:ascii="Times New Roman" w:hAnsi="Times New Roman" w:cs="Times New Roman"/>
          <w:b/>
          <w:bCs/>
        </w:rPr>
        <w:t xml:space="preserve"> Centers should be strengthened to address the issue of child malnutrition. </w:t>
      </w:r>
      <w:r w:rsidRPr="0069681E">
        <w:rPr>
          <w:rFonts w:ascii="Times New Roman" w:hAnsi="Times New Roman" w:cs="Times New Roman"/>
        </w:rPr>
        <w:t>More funding for Anganwadi facilities would undoubtedly be able to address children's health difficulties, particularly the problem of malnutrition. For tribal health and education, more responsive and transparent governance should be encouraged at all levels of Government. As a result, more medical personnel and teachers from the indigenous community should be hired to cope with it. </w:t>
      </w:r>
      <w:r w:rsidRPr="0069681E">
        <w:rPr>
          <w:rFonts w:ascii="Times New Roman" w:hAnsi="Times New Roman" w:cs="Times New Roman"/>
          <w:b/>
          <w:bCs/>
        </w:rPr>
        <w:t xml:space="preserve">It will close the gap between healthcare and educational services for tribes and the tribes themselves. It will also assist them in taking advantage of government </w:t>
      </w:r>
      <w:proofErr w:type="spellStart"/>
      <w:r w:rsidRPr="0069681E">
        <w:rPr>
          <w:rFonts w:ascii="Times New Roman" w:hAnsi="Times New Roman" w:cs="Times New Roman"/>
          <w:b/>
          <w:bCs/>
        </w:rPr>
        <w:t>programmes</w:t>
      </w:r>
      <w:proofErr w:type="spellEnd"/>
      <w:r w:rsidRPr="0069681E">
        <w:rPr>
          <w:rFonts w:ascii="Times New Roman" w:hAnsi="Times New Roman" w:cs="Times New Roman"/>
          <w:b/>
          <w:bCs/>
        </w:rPr>
        <w:t xml:space="preserve"> on education, healthcare, and other issues. </w:t>
      </w:r>
    </w:p>
    <w:p w14:paraId="15C4CB62" w14:textId="77777777" w:rsidR="0069681E" w:rsidRDefault="0069681E" w:rsidP="0069681E">
      <w:pPr>
        <w:spacing w:line="360" w:lineRule="auto"/>
        <w:ind w:left="630"/>
        <w:jc w:val="both"/>
        <w:rPr>
          <w:rFonts w:ascii="Times New Roman" w:hAnsi="Times New Roman" w:cs="Times New Roman"/>
        </w:rPr>
      </w:pPr>
    </w:p>
    <w:p w14:paraId="7E1A840D" w14:textId="257BB468"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REFERENCES</w:t>
      </w:r>
    </w:p>
    <w:p w14:paraId="5A48DEAE"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Bainwad</w:t>
      </w:r>
      <w:proofErr w:type="spellEnd"/>
      <w:r w:rsidRPr="0069681E">
        <w:rPr>
          <w:rFonts w:ascii="Times New Roman" w:hAnsi="Times New Roman" w:cs="Times New Roman"/>
        </w:rPr>
        <w:t>, RR. (2016). Some Tribes in India: In Recent Scenario. Journal of Socio-Educational &amp; Cultural Research, 2(5): 15-18.</w:t>
      </w:r>
    </w:p>
    <w:p w14:paraId="3893B21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Basu, S. (2000). Dimensions of Tribal Health in India. Health and Population perspectives and Issues, 23(2): 61-70. http://medind.nic.in/hab/t00/i2/habt00i2p61.pdf</w:t>
      </w:r>
    </w:p>
    <w:p w14:paraId="152335DB"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lastRenderedPageBreak/>
        <w:t>Bose, NK. (1971). Tribal Life in India. In: India- The land and people. National Book Trust, New Delhi, India.</w:t>
      </w:r>
    </w:p>
    <w:p w14:paraId="02D5D9D2"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Brahmanandam</w:t>
      </w:r>
      <w:proofErr w:type="spellEnd"/>
      <w:r w:rsidRPr="0069681E">
        <w:rPr>
          <w:rFonts w:ascii="Times New Roman" w:hAnsi="Times New Roman" w:cs="Times New Roman"/>
        </w:rPr>
        <w:t>, T., &amp; Bosu, B. (2015). State of Primary Education among Tribals: Issues and Challenges. Artha Journal of Social Sciences, 14(4): 127-127.</w:t>
      </w:r>
    </w:p>
    <w:p w14:paraId="6111F6C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Business Standard. (2024). Socio Economic Upliftment of Tribals. https://www.business-standard.com/article/government-press-release/socio-economic-upliftment-of-tribals-115031600594_1.html</w:t>
      </w:r>
    </w:p>
    <w:p w14:paraId="0935E21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Carsten, J. (2024). Tribe anthropology. </w:t>
      </w:r>
      <w:proofErr w:type="spellStart"/>
      <w:r w:rsidRPr="0069681E">
        <w:rPr>
          <w:rFonts w:ascii="Times New Roman" w:hAnsi="Times New Roman" w:cs="Times New Roman"/>
        </w:rPr>
        <w:t>Encyclopaedia</w:t>
      </w:r>
      <w:proofErr w:type="spellEnd"/>
      <w:r w:rsidRPr="0069681E">
        <w:rPr>
          <w:rFonts w:ascii="Times New Roman" w:hAnsi="Times New Roman" w:cs="Times New Roman"/>
        </w:rPr>
        <w:t xml:space="preserve"> Britannica. https://www.britannica.com/topic/culture</w:t>
      </w:r>
    </w:p>
    <w:p w14:paraId="732EEE4E"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ClearIAS</w:t>
      </w:r>
      <w:proofErr w:type="spellEnd"/>
      <w:r w:rsidRPr="0069681E">
        <w:rPr>
          <w:rFonts w:ascii="Times New Roman" w:hAnsi="Times New Roman" w:cs="Times New Roman"/>
        </w:rPr>
        <w:t xml:space="preserve"> Team. (2024). Major Tribes in India: State-wise compilation. https://www.clearias.com/major-tribes-in-india/</w:t>
      </w:r>
    </w:p>
    <w:p w14:paraId="6A792CC1"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Mahipal</w:t>
      </w:r>
      <w:proofErr w:type="spellEnd"/>
      <w:r w:rsidRPr="0069681E">
        <w:rPr>
          <w:rFonts w:ascii="Times New Roman" w:hAnsi="Times New Roman" w:cs="Times New Roman"/>
        </w:rPr>
        <w:t>, B. (2021). Tribal education in India. Cultural Survival. https://www.culturalsurvival.org/publications/cultural-survival-quarterly/tribal-education-india</w:t>
      </w:r>
    </w:p>
    <w:p w14:paraId="45B6E31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Negi, DP., &amp; Singh, MM. (2019). Tribal Health in India: A Need </w:t>
      </w:r>
      <w:proofErr w:type="gramStart"/>
      <w:r w:rsidRPr="0069681E">
        <w:rPr>
          <w:rFonts w:ascii="Times New Roman" w:hAnsi="Times New Roman" w:cs="Times New Roman"/>
        </w:rPr>
        <w:t>For</w:t>
      </w:r>
      <w:proofErr w:type="gramEnd"/>
      <w:r w:rsidRPr="0069681E">
        <w:rPr>
          <w:rFonts w:ascii="Times New Roman" w:hAnsi="Times New Roman" w:cs="Times New Roman"/>
        </w:rPr>
        <w:t xml:space="preserve"> a Comprehensive Health Policy. International Journal of Health Sciences &amp; Research, 9(3), 299-305.</w:t>
      </w:r>
    </w:p>
    <w:p w14:paraId="1432062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Gautam, N. (2013). Education of Scheduled Tribe in India: Schemes and </w:t>
      </w:r>
      <w:proofErr w:type="spellStart"/>
      <w:r w:rsidRPr="0069681E">
        <w:rPr>
          <w:rFonts w:ascii="Times New Roman" w:hAnsi="Times New Roman" w:cs="Times New Roman"/>
        </w:rPr>
        <w:t>Programmes</w:t>
      </w:r>
      <w:proofErr w:type="spellEnd"/>
      <w:r w:rsidRPr="0069681E">
        <w:rPr>
          <w:rFonts w:ascii="Times New Roman" w:hAnsi="Times New Roman" w:cs="Times New Roman"/>
        </w:rPr>
        <w:t>. Journal of education and practice, 4(4): 7-10.</w:t>
      </w:r>
    </w:p>
    <w:p w14:paraId="5E22CD2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Ghate, R., Ghate, S., Ostrom, E. (2013). Cultural norms, cooperation, and communication: taking experiments to the field in indigenous communities. International Journal of the Commons, 7(2): 498–520.</w:t>
      </w:r>
    </w:p>
    <w:p w14:paraId="78241EFC"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Mandelbaum, DG. (1970). Society in India: Continuity and change (Vol. 1). Univ. of California Press, Berkeley, California, United States. </w:t>
      </w:r>
    </w:p>
    <w:p w14:paraId="1CC5AC00"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Ministry of Tribal Affairs (2021). Annual report. https://tribal.nic.in/downloads/Statistics/AnnualReport/AREnglish2021.pdf</w:t>
      </w:r>
    </w:p>
    <w:p w14:paraId="6664389D"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Ministry of Tribal Affairs (2024). Annual report. Ministry of Tribal Affairs (2021). Annual report. URL: https://tribal.nic.in/downloads/Statistics/AnnualReport/AREnglish2021.pdf</w:t>
      </w:r>
    </w:p>
    <w:p w14:paraId="2DDCDD37"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Murthy, P. (2011). Health Care System in Tribal Areas-An Insight (With Reference to Andhra Pradesh State, India). Available at SSRN 1747341.</w:t>
      </w:r>
    </w:p>
    <w:p w14:paraId="0D1F5C54"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Negi, DP., &amp; Singh, MM. (2019). Tribal health in India: a need for a comprehensive health policy. Int. J. Health Sci. Res., 9(3): 299-305.</w:t>
      </w:r>
    </w:p>
    <w:p w14:paraId="0725B1B9"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lastRenderedPageBreak/>
        <w:t>Pathy</w:t>
      </w:r>
      <w:proofErr w:type="spellEnd"/>
      <w:r w:rsidRPr="0069681E">
        <w:rPr>
          <w:rFonts w:ascii="Times New Roman" w:hAnsi="Times New Roman" w:cs="Times New Roman"/>
        </w:rPr>
        <w:t>, J. (1992). 'The Idea of Tribe and the Indian Scene' in Buddhadeb </w:t>
      </w:r>
      <w:proofErr w:type="spellStart"/>
      <w:r w:rsidRPr="0069681E">
        <w:rPr>
          <w:rFonts w:ascii="Times New Roman" w:hAnsi="Times New Roman" w:cs="Times New Roman"/>
        </w:rPr>
        <w:t>Chaudhun</w:t>
      </w:r>
      <w:proofErr w:type="spellEnd"/>
      <w:r w:rsidRPr="0069681E">
        <w:rPr>
          <w:rFonts w:ascii="Times New Roman" w:hAnsi="Times New Roman" w:cs="Times New Roman"/>
        </w:rPr>
        <w:t xml:space="preserve">, Tribal Transformation in India, Vol. III, </w:t>
      </w:r>
      <w:proofErr w:type="spellStart"/>
      <w:r w:rsidRPr="0069681E">
        <w:rPr>
          <w:rFonts w:ascii="Times New Roman" w:hAnsi="Times New Roman" w:cs="Times New Roman"/>
        </w:rPr>
        <w:t>InterIndia</w:t>
      </w:r>
      <w:proofErr w:type="spellEnd"/>
      <w:r w:rsidRPr="0069681E">
        <w:rPr>
          <w:rFonts w:ascii="Times New Roman" w:hAnsi="Times New Roman" w:cs="Times New Roman"/>
        </w:rPr>
        <w:t xml:space="preserve"> Publications, New Delhi, India.</w:t>
      </w:r>
    </w:p>
    <w:p w14:paraId="4C1FCA51"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 xml:space="preserve">Sujatha, R. (2008). Barriers in Career Growth of Women Managers: An Indian Scenario. Asia-Pacific </w:t>
      </w:r>
      <w:proofErr w:type="spellStart"/>
      <w:r w:rsidRPr="0069681E">
        <w:rPr>
          <w:rFonts w:ascii="Times New Roman" w:hAnsi="Times New Roman" w:cs="Times New Roman"/>
        </w:rPr>
        <w:t>Bussiness</w:t>
      </w:r>
      <w:proofErr w:type="spellEnd"/>
      <w:r w:rsidRPr="0069681E">
        <w:rPr>
          <w:rFonts w:ascii="Times New Roman" w:hAnsi="Times New Roman" w:cs="Times New Roman"/>
        </w:rPr>
        <w:t xml:space="preserve"> Review, 4(3), 108-112.</w:t>
      </w:r>
    </w:p>
    <w:p w14:paraId="7AA16388"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Saha, UC., &amp; Saha, KB. (2018). Health Care for India" s remote Tribes. Kurukshetra: A Journal on Rural Development, 67(1), 27-30.</w:t>
      </w:r>
    </w:p>
    <w:p w14:paraId="1C745E0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Shrivastava, S. (2018). Why Undernutrition Persists in India' Tribal Population. The Wire, Foundation of Independent Journalism (FJI). https://thewire.in/health/why</w:t>
      </w:r>
    </w:p>
    <w:p w14:paraId="3747211C"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Swathya</w:t>
      </w:r>
      <w:proofErr w:type="spellEnd"/>
      <w:r w:rsidRPr="0069681E">
        <w:rPr>
          <w:rFonts w:ascii="Times New Roman" w:hAnsi="Times New Roman" w:cs="Times New Roman"/>
        </w:rPr>
        <w:t xml:space="preserve"> portal. (2021). Tribal Health &amp; Nutrition Portal. Ministry of Tribal Affairs (</w:t>
      </w:r>
      <w:proofErr w:type="spellStart"/>
      <w:r w:rsidRPr="0069681E">
        <w:rPr>
          <w:rFonts w:ascii="Times New Roman" w:hAnsi="Times New Roman" w:cs="Times New Roman"/>
        </w:rPr>
        <w:t>MoTA</w:t>
      </w:r>
      <w:proofErr w:type="spellEnd"/>
      <w:r w:rsidRPr="0069681E">
        <w:rPr>
          <w:rFonts w:ascii="Times New Roman" w:hAnsi="Times New Roman" w:cs="Times New Roman"/>
        </w:rPr>
        <w:t>). Government of India. https://swasthya.tribal.gov.in/home</w:t>
      </w:r>
    </w:p>
    <w:p w14:paraId="3ECDF35B"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Swathya</w:t>
      </w:r>
      <w:proofErr w:type="spellEnd"/>
      <w:r w:rsidRPr="0069681E">
        <w:rPr>
          <w:rFonts w:ascii="Times New Roman" w:hAnsi="Times New Roman" w:cs="Times New Roman"/>
        </w:rPr>
        <w:t xml:space="preserve"> portal. (2024). Tribal Health &amp; Nutrition Portal. Ministry of Tribal Affairs (</w:t>
      </w:r>
      <w:proofErr w:type="spellStart"/>
      <w:r w:rsidRPr="0069681E">
        <w:rPr>
          <w:rFonts w:ascii="Times New Roman" w:hAnsi="Times New Roman" w:cs="Times New Roman"/>
        </w:rPr>
        <w:t>MoTA</w:t>
      </w:r>
      <w:proofErr w:type="spellEnd"/>
      <w:r w:rsidRPr="0069681E">
        <w:rPr>
          <w:rFonts w:ascii="Times New Roman" w:hAnsi="Times New Roman" w:cs="Times New Roman"/>
        </w:rPr>
        <w:t>). Government of India. https://swasthya.tribal.gov.in/home</w:t>
      </w:r>
    </w:p>
    <w:p w14:paraId="7DFDCF22"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Tribal Health Report. (2024). Tribal health in India: bridging the gap and a roadmap for the future. Report of the expert Committee on tribal health, Ministry of Health &amp; Family Welfare, Ministry of Tribal Affairs, Government of India. </w:t>
      </w:r>
    </w:p>
    <w:p w14:paraId="0D004CD5" w14:textId="77777777" w:rsidR="0069681E" w:rsidRPr="0069681E" w:rsidRDefault="0069681E" w:rsidP="0069681E">
      <w:pPr>
        <w:spacing w:line="360" w:lineRule="auto"/>
        <w:ind w:left="630"/>
        <w:jc w:val="both"/>
        <w:rPr>
          <w:rFonts w:ascii="Times New Roman" w:hAnsi="Times New Roman" w:cs="Times New Roman"/>
        </w:rPr>
      </w:pPr>
      <w:r w:rsidRPr="0069681E">
        <w:rPr>
          <w:rFonts w:ascii="Times New Roman" w:hAnsi="Times New Roman" w:cs="Times New Roman"/>
        </w:rPr>
        <w:t>Vyas NN., &amp; Mann RS. (1980). Indian Tribes in Transition. Rawat Publications, pp.11, New Delhi, India.</w:t>
      </w:r>
    </w:p>
    <w:p w14:paraId="5F90360F" w14:textId="77777777" w:rsidR="0069681E" w:rsidRPr="0069681E" w:rsidRDefault="0069681E" w:rsidP="0069681E">
      <w:pPr>
        <w:spacing w:line="360" w:lineRule="auto"/>
        <w:ind w:left="630"/>
        <w:jc w:val="both"/>
        <w:rPr>
          <w:rFonts w:ascii="Times New Roman" w:hAnsi="Times New Roman" w:cs="Times New Roman"/>
        </w:rPr>
      </w:pPr>
      <w:proofErr w:type="spellStart"/>
      <w:r w:rsidRPr="0069681E">
        <w:rPr>
          <w:rFonts w:ascii="Times New Roman" w:hAnsi="Times New Roman" w:cs="Times New Roman"/>
        </w:rPr>
        <w:t>Xaxa</w:t>
      </w:r>
      <w:proofErr w:type="spellEnd"/>
      <w:r w:rsidRPr="0069681E">
        <w:rPr>
          <w:rFonts w:ascii="Times New Roman" w:hAnsi="Times New Roman" w:cs="Times New Roman"/>
        </w:rPr>
        <w:t xml:space="preserve"> V. (1999). Transformation of tribes in India: Terms of discourse. Economic and political weekly, 34(24): 1519-1524.</w:t>
      </w:r>
    </w:p>
    <w:p w14:paraId="72C7764F" w14:textId="77777777" w:rsidR="00A10F58" w:rsidRPr="0069681E" w:rsidRDefault="00A10F58" w:rsidP="0069681E">
      <w:pPr>
        <w:spacing w:line="360" w:lineRule="auto"/>
        <w:ind w:left="630"/>
        <w:jc w:val="both"/>
        <w:rPr>
          <w:rFonts w:ascii="Times New Roman" w:hAnsi="Times New Roman" w:cs="Times New Roman"/>
        </w:rPr>
      </w:pPr>
    </w:p>
    <w:sectPr w:rsidR="00A10F58" w:rsidRPr="00696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1E"/>
    <w:rsid w:val="000B088C"/>
    <w:rsid w:val="0069681E"/>
    <w:rsid w:val="007D3C7A"/>
    <w:rsid w:val="00A10F58"/>
    <w:rsid w:val="00A86BAB"/>
    <w:rsid w:val="00D647BC"/>
    <w:rsid w:val="00E65756"/>
    <w:rsid w:val="00F26DE8"/>
    <w:rsid w:val="00F7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E9EA"/>
  <w15:chartTrackingRefBased/>
  <w15:docId w15:val="{B6898E7A-670A-8B45-83EE-DAA7B3F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8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8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8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8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81E"/>
    <w:rPr>
      <w:rFonts w:eastAsiaTheme="majorEastAsia" w:cstheme="majorBidi"/>
      <w:color w:val="272727" w:themeColor="text1" w:themeTint="D8"/>
    </w:rPr>
  </w:style>
  <w:style w:type="paragraph" w:styleId="Title">
    <w:name w:val="Title"/>
    <w:basedOn w:val="Normal"/>
    <w:next w:val="Normal"/>
    <w:link w:val="TitleChar"/>
    <w:uiPriority w:val="10"/>
    <w:qFormat/>
    <w:rsid w:val="006968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8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8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681E"/>
    <w:rPr>
      <w:i/>
      <w:iCs/>
      <w:color w:val="404040" w:themeColor="text1" w:themeTint="BF"/>
    </w:rPr>
  </w:style>
  <w:style w:type="paragraph" w:styleId="ListParagraph">
    <w:name w:val="List Paragraph"/>
    <w:basedOn w:val="Normal"/>
    <w:uiPriority w:val="34"/>
    <w:qFormat/>
    <w:rsid w:val="0069681E"/>
    <w:pPr>
      <w:ind w:left="720"/>
      <w:contextualSpacing/>
    </w:pPr>
  </w:style>
  <w:style w:type="character" w:styleId="IntenseEmphasis">
    <w:name w:val="Intense Emphasis"/>
    <w:basedOn w:val="DefaultParagraphFont"/>
    <w:uiPriority w:val="21"/>
    <w:qFormat/>
    <w:rsid w:val="0069681E"/>
    <w:rPr>
      <w:i/>
      <w:iCs/>
      <w:color w:val="0F4761" w:themeColor="accent1" w:themeShade="BF"/>
    </w:rPr>
  </w:style>
  <w:style w:type="paragraph" w:styleId="IntenseQuote">
    <w:name w:val="Intense Quote"/>
    <w:basedOn w:val="Normal"/>
    <w:next w:val="Normal"/>
    <w:link w:val="IntenseQuoteChar"/>
    <w:uiPriority w:val="30"/>
    <w:qFormat/>
    <w:rsid w:val="00696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81E"/>
    <w:rPr>
      <w:i/>
      <w:iCs/>
      <w:color w:val="0F4761" w:themeColor="accent1" w:themeShade="BF"/>
    </w:rPr>
  </w:style>
  <w:style w:type="character" w:styleId="IntenseReference">
    <w:name w:val="Intense Reference"/>
    <w:basedOn w:val="DefaultParagraphFont"/>
    <w:uiPriority w:val="32"/>
    <w:qFormat/>
    <w:rsid w:val="00696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4198">
      <w:bodyDiv w:val="1"/>
      <w:marLeft w:val="0"/>
      <w:marRight w:val="0"/>
      <w:marTop w:val="0"/>
      <w:marBottom w:val="0"/>
      <w:divBdr>
        <w:top w:val="none" w:sz="0" w:space="0" w:color="auto"/>
        <w:left w:val="none" w:sz="0" w:space="0" w:color="auto"/>
        <w:bottom w:val="none" w:sz="0" w:space="0" w:color="auto"/>
        <w:right w:val="none" w:sz="0" w:space="0" w:color="auto"/>
      </w:divBdr>
    </w:div>
    <w:div w:id="7268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5202</Words>
  <Characters>29653</Characters>
  <Application>Microsoft Office Word</Application>
  <DocSecurity>0</DocSecurity>
  <Lines>247</Lines>
  <Paragraphs>69</Paragraphs>
  <ScaleCrop>false</ScaleCrop>
  <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Surjya Narayan Tripathy</dc:creator>
  <cp:keywords/>
  <dc:description/>
  <cp:lastModifiedBy>Surjya Narayan Tripathy</cp:lastModifiedBy>
  <cp:revision>1</cp:revision>
  <dcterms:created xsi:type="dcterms:W3CDTF">2024-10-17T16:07:00Z</dcterms:created>
  <dcterms:modified xsi:type="dcterms:W3CDTF">2024-10-17T16:09:00Z</dcterms:modified>
</cp:coreProperties>
</file>