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016843" w14:paraId="78C84E98" w14:textId="77777777" w:rsidTr="004847FF">
        <w:trPr>
          <w:trHeight w:val="450"/>
        </w:trPr>
        <w:tc>
          <w:tcPr>
            <w:tcW w:w="5000" w:type="pct"/>
            <w:gridSpan w:val="2"/>
            <w:tcBorders>
              <w:top w:val="nil"/>
              <w:left w:val="nil"/>
              <w:right w:val="nil"/>
            </w:tcBorders>
          </w:tcPr>
          <w:p w14:paraId="46319FB2" w14:textId="77777777" w:rsidR="00602F7D" w:rsidRPr="00016843" w:rsidRDefault="00602F7D" w:rsidP="00F2643C">
            <w:pPr>
              <w:pStyle w:val="Heading2"/>
              <w:jc w:val="left"/>
              <w:rPr>
                <w:rFonts w:ascii="Arial" w:hAnsi="Arial" w:cs="Arial"/>
                <w:b w:val="0"/>
                <w:bCs w:val="0"/>
                <w:lang w:val="en-US"/>
              </w:rPr>
            </w:pPr>
          </w:p>
        </w:tc>
      </w:tr>
      <w:tr w:rsidR="0000007A" w:rsidRPr="00016843" w14:paraId="2D2180A7" w14:textId="77777777" w:rsidTr="006909DA">
        <w:trPr>
          <w:trHeight w:val="413"/>
        </w:trPr>
        <w:tc>
          <w:tcPr>
            <w:tcW w:w="1268" w:type="pct"/>
          </w:tcPr>
          <w:p w14:paraId="377C22BE" w14:textId="77777777" w:rsidR="0000007A" w:rsidRPr="00016843" w:rsidRDefault="00D27A79" w:rsidP="00696CAD">
            <w:pPr>
              <w:pStyle w:val="BodyText"/>
              <w:ind w:left="90"/>
              <w:jc w:val="left"/>
              <w:rPr>
                <w:rFonts w:ascii="Arial" w:hAnsi="Arial" w:cs="Arial"/>
                <w:bCs/>
                <w:sz w:val="20"/>
                <w:szCs w:val="20"/>
                <w:lang w:val="en-GB"/>
              </w:rPr>
            </w:pPr>
            <w:r w:rsidRPr="00016843">
              <w:rPr>
                <w:rFonts w:ascii="Arial" w:hAnsi="Arial" w:cs="Arial"/>
                <w:bCs/>
                <w:sz w:val="20"/>
                <w:szCs w:val="20"/>
                <w:lang w:val="en-GB"/>
              </w:rPr>
              <w:t xml:space="preserve">Book </w:t>
            </w:r>
            <w:r w:rsidR="0000007A" w:rsidRPr="00016843">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304DA0E0" w14:textId="77777777" w:rsidR="0000007A" w:rsidRPr="00016843" w:rsidRDefault="00A13E15" w:rsidP="00054BC4">
            <w:pPr>
              <w:pStyle w:val="NormalWeb"/>
              <w:rPr>
                <w:rFonts w:ascii="Arial" w:hAnsi="Arial" w:cs="Arial"/>
                <w:b/>
                <w:bCs/>
                <w:sz w:val="20"/>
                <w:szCs w:val="20"/>
                <w:u w:val="single"/>
              </w:rPr>
            </w:pPr>
            <w:r w:rsidRPr="00016843">
              <w:rPr>
                <w:rFonts w:ascii="Arial" w:hAnsi="Arial" w:cs="Arial"/>
                <w:b/>
                <w:bCs/>
                <w:sz w:val="20"/>
                <w:szCs w:val="20"/>
                <w:u w:val="single"/>
              </w:rPr>
              <w:t>Innovative Solutions: A Systematic Approach Towards Sustainable Future</w:t>
            </w:r>
          </w:p>
        </w:tc>
      </w:tr>
      <w:tr w:rsidR="0000007A" w:rsidRPr="00016843" w14:paraId="6DE4BF15" w14:textId="77777777" w:rsidTr="006909DA">
        <w:trPr>
          <w:trHeight w:val="290"/>
        </w:trPr>
        <w:tc>
          <w:tcPr>
            <w:tcW w:w="1268" w:type="pct"/>
          </w:tcPr>
          <w:p w14:paraId="795140E2" w14:textId="77777777" w:rsidR="0000007A" w:rsidRPr="00016843" w:rsidRDefault="0000007A" w:rsidP="00696CAD">
            <w:pPr>
              <w:pStyle w:val="BodyText"/>
              <w:ind w:left="90"/>
              <w:jc w:val="left"/>
              <w:rPr>
                <w:rFonts w:ascii="Arial" w:hAnsi="Arial" w:cs="Arial"/>
                <w:bCs/>
                <w:sz w:val="20"/>
                <w:szCs w:val="20"/>
                <w:lang w:val="en-GB"/>
              </w:rPr>
            </w:pPr>
            <w:r w:rsidRPr="00016843">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3D332379" w14:textId="77777777" w:rsidR="0000007A" w:rsidRPr="00016843" w:rsidRDefault="00E72A8E" w:rsidP="00F3669D">
            <w:pPr>
              <w:pStyle w:val="NormalWeb"/>
              <w:spacing w:before="0" w:beforeAutospacing="0" w:after="0" w:afterAutospacing="0"/>
              <w:rPr>
                <w:rFonts w:ascii="Arial" w:hAnsi="Arial" w:cs="Arial"/>
                <w:b/>
                <w:bCs/>
                <w:sz w:val="20"/>
                <w:szCs w:val="20"/>
                <w:highlight w:val="yellow"/>
                <w:lang w:val="en-GB"/>
              </w:rPr>
            </w:pPr>
            <w:r w:rsidRPr="00016843">
              <w:rPr>
                <w:rFonts w:ascii="Arial" w:hAnsi="Arial" w:cs="Arial"/>
                <w:b/>
                <w:bCs/>
                <w:sz w:val="20"/>
                <w:szCs w:val="20"/>
                <w:lang w:val="en-GB"/>
              </w:rPr>
              <w:t>Ms_BP</w:t>
            </w:r>
            <w:r w:rsidR="00FC432A" w:rsidRPr="00016843">
              <w:rPr>
                <w:rFonts w:ascii="Arial" w:hAnsi="Arial" w:cs="Arial"/>
                <w:b/>
                <w:bCs/>
                <w:sz w:val="20"/>
                <w:szCs w:val="20"/>
                <w:lang w:val="en-GB"/>
              </w:rPr>
              <w:t>R</w:t>
            </w:r>
            <w:r w:rsidRPr="00016843">
              <w:rPr>
                <w:rFonts w:ascii="Arial" w:hAnsi="Arial" w:cs="Arial"/>
                <w:b/>
                <w:bCs/>
                <w:sz w:val="20"/>
                <w:szCs w:val="20"/>
                <w:lang w:val="en-GB"/>
              </w:rPr>
              <w:t>_</w:t>
            </w:r>
            <w:r w:rsidR="00BE21A1" w:rsidRPr="00016843">
              <w:rPr>
                <w:rFonts w:ascii="Arial" w:hAnsi="Arial" w:cs="Arial"/>
                <w:b/>
                <w:bCs/>
                <w:sz w:val="20"/>
                <w:szCs w:val="20"/>
                <w:lang w:val="en-GB"/>
              </w:rPr>
              <w:t>3724.12</w:t>
            </w:r>
          </w:p>
        </w:tc>
      </w:tr>
      <w:tr w:rsidR="0000007A" w:rsidRPr="00016843" w14:paraId="32613AA8" w14:textId="77777777" w:rsidTr="006909DA">
        <w:trPr>
          <w:trHeight w:val="331"/>
        </w:trPr>
        <w:tc>
          <w:tcPr>
            <w:tcW w:w="1268" w:type="pct"/>
          </w:tcPr>
          <w:p w14:paraId="7B837892" w14:textId="77777777" w:rsidR="0000007A" w:rsidRPr="00016843" w:rsidRDefault="0000007A" w:rsidP="00696CAD">
            <w:pPr>
              <w:pStyle w:val="BodyText"/>
              <w:ind w:left="90"/>
              <w:jc w:val="left"/>
              <w:rPr>
                <w:rFonts w:ascii="Arial" w:hAnsi="Arial" w:cs="Arial"/>
                <w:bCs/>
                <w:sz w:val="20"/>
                <w:szCs w:val="20"/>
                <w:lang w:val="en-GB"/>
              </w:rPr>
            </w:pPr>
            <w:r w:rsidRPr="00016843">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7DB56143" w14:textId="77777777" w:rsidR="0000007A" w:rsidRPr="00016843" w:rsidRDefault="00A13E15" w:rsidP="000450FC">
            <w:pPr>
              <w:pStyle w:val="NormalWeb"/>
              <w:spacing w:before="0" w:beforeAutospacing="0" w:after="0" w:afterAutospacing="0"/>
              <w:rPr>
                <w:rFonts w:ascii="Arial" w:hAnsi="Arial" w:cs="Arial"/>
                <w:b/>
                <w:sz w:val="20"/>
                <w:szCs w:val="20"/>
                <w:highlight w:val="yellow"/>
                <w:lang w:val="en-GB"/>
              </w:rPr>
            </w:pPr>
            <w:r w:rsidRPr="00016843">
              <w:rPr>
                <w:rFonts w:ascii="Arial" w:hAnsi="Arial" w:cs="Arial"/>
                <w:b/>
                <w:sz w:val="20"/>
                <w:szCs w:val="20"/>
                <w:lang w:val="en-GB"/>
              </w:rPr>
              <w:t>EXPLORING THE ANTIMICROBIAL POTENTIAL AND PHYTOCHEMICAL COMPOSITION OF OCIMUM TENUIFLORUM LEAF EXTRACTS: AN ANALYTICAL APPORACH</w:t>
            </w:r>
          </w:p>
        </w:tc>
      </w:tr>
      <w:tr w:rsidR="00CF0BBB" w:rsidRPr="00016843" w14:paraId="0489C055" w14:textId="77777777" w:rsidTr="006909DA">
        <w:trPr>
          <w:trHeight w:val="332"/>
        </w:trPr>
        <w:tc>
          <w:tcPr>
            <w:tcW w:w="1268" w:type="pct"/>
          </w:tcPr>
          <w:p w14:paraId="5714077C" w14:textId="77777777" w:rsidR="00CF0BBB" w:rsidRPr="00016843" w:rsidRDefault="00CF0BBB" w:rsidP="00696CAD">
            <w:pPr>
              <w:pStyle w:val="BodyText"/>
              <w:ind w:left="90"/>
              <w:jc w:val="left"/>
              <w:rPr>
                <w:rFonts w:ascii="Arial" w:hAnsi="Arial" w:cs="Arial"/>
                <w:bCs/>
                <w:sz w:val="20"/>
                <w:szCs w:val="20"/>
                <w:lang w:val="en-GB"/>
              </w:rPr>
            </w:pPr>
            <w:r w:rsidRPr="00016843">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367012B0" w14:textId="77777777" w:rsidR="00CF0BBB" w:rsidRPr="00016843" w:rsidRDefault="00BE21A1" w:rsidP="000450FC">
            <w:pPr>
              <w:pStyle w:val="NormalWeb"/>
              <w:spacing w:before="0" w:beforeAutospacing="0" w:after="0" w:afterAutospacing="0"/>
              <w:rPr>
                <w:rFonts w:ascii="Arial" w:hAnsi="Arial" w:cs="Arial"/>
                <w:b/>
                <w:sz w:val="20"/>
                <w:szCs w:val="20"/>
                <w:lang w:val="en-GB"/>
              </w:rPr>
            </w:pPr>
            <w:r w:rsidRPr="00016843">
              <w:rPr>
                <w:rFonts w:ascii="Arial" w:hAnsi="Arial" w:cs="Arial"/>
                <w:b/>
                <w:sz w:val="20"/>
                <w:szCs w:val="20"/>
                <w:lang w:val="en-GB"/>
              </w:rPr>
              <w:t>Complete Book chapter</w:t>
            </w:r>
          </w:p>
        </w:tc>
      </w:tr>
    </w:tbl>
    <w:p w14:paraId="33A440EA" w14:textId="77777777" w:rsidR="00037D52" w:rsidRPr="00016843"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285"/>
        <w:gridCol w:w="6374"/>
      </w:tblGrid>
      <w:tr w:rsidR="00F1171E" w:rsidRPr="00016843" w14:paraId="6E39FB3F" w14:textId="77777777" w:rsidTr="006909DA">
        <w:tc>
          <w:tcPr>
            <w:tcW w:w="5000" w:type="pct"/>
            <w:gridSpan w:val="3"/>
            <w:tcBorders>
              <w:top w:val="nil"/>
              <w:left w:val="nil"/>
              <w:right w:val="nil"/>
            </w:tcBorders>
            <w:noWrap/>
          </w:tcPr>
          <w:p w14:paraId="6FC7BBC1" w14:textId="77777777" w:rsidR="00F1171E" w:rsidRPr="00016843" w:rsidRDefault="00F1171E" w:rsidP="007222C8">
            <w:pPr>
              <w:pStyle w:val="Heading2"/>
              <w:jc w:val="left"/>
              <w:rPr>
                <w:rFonts w:ascii="Arial" w:hAnsi="Arial" w:cs="Arial"/>
                <w:lang w:val="en-GB"/>
              </w:rPr>
            </w:pPr>
            <w:r w:rsidRPr="00016843">
              <w:rPr>
                <w:rFonts w:ascii="Arial" w:hAnsi="Arial" w:cs="Arial"/>
                <w:highlight w:val="yellow"/>
                <w:lang w:val="en-GB"/>
              </w:rPr>
              <w:t>PART  1:</w:t>
            </w:r>
            <w:r w:rsidRPr="00016843">
              <w:rPr>
                <w:rFonts w:ascii="Arial" w:hAnsi="Arial" w:cs="Arial"/>
                <w:lang w:val="en-GB"/>
              </w:rPr>
              <w:t xml:space="preserve"> Review Comments</w:t>
            </w:r>
          </w:p>
          <w:p w14:paraId="5C7ACDE7" w14:textId="77777777" w:rsidR="00F1171E" w:rsidRPr="00016843" w:rsidRDefault="00F1171E" w:rsidP="007222C8">
            <w:pPr>
              <w:rPr>
                <w:rFonts w:ascii="Arial" w:hAnsi="Arial" w:cs="Arial"/>
                <w:sz w:val="20"/>
                <w:szCs w:val="20"/>
                <w:lang w:val="en-GB"/>
              </w:rPr>
            </w:pPr>
          </w:p>
        </w:tc>
      </w:tr>
      <w:tr w:rsidR="00F1171E" w:rsidRPr="00016843" w14:paraId="7A2F87E9" w14:textId="77777777" w:rsidTr="006909DA">
        <w:tc>
          <w:tcPr>
            <w:tcW w:w="1266" w:type="pct"/>
            <w:noWrap/>
          </w:tcPr>
          <w:p w14:paraId="4168820B" w14:textId="77777777" w:rsidR="00F1171E" w:rsidRPr="00016843" w:rsidRDefault="00F1171E" w:rsidP="007222C8">
            <w:pPr>
              <w:pStyle w:val="Heading2"/>
              <w:jc w:val="left"/>
              <w:rPr>
                <w:rFonts w:ascii="Arial" w:hAnsi="Arial" w:cs="Arial"/>
                <w:b w:val="0"/>
                <w:bCs w:val="0"/>
                <w:lang w:val="en-GB"/>
              </w:rPr>
            </w:pPr>
            <w:r w:rsidRPr="00016843">
              <w:rPr>
                <w:rFonts w:ascii="Arial" w:hAnsi="Arial" w:cs="Arial"/>
                <w:bCs w:val="0"/>
                <w:u w:val="single"/>
                <w:lang w:val="en-GB"/>
              </w:rPr>
              <w:t xml:space="preserve">Compulsory </w:t>
            </w:r>
            <w:r w:rsidRPr="00016843">
              <w:rPr>
                <w:rFonts w:ascii="Arial" w:hAnsi="Arial" w:cs="Arial"/>
                <w:b w:val="0"/>
                <w:bCs w:val="0"/>
                <w:lang w:val="en-GB"/>
              </w:rPr>
              <w:t>REVISION comments</w:t>
            </w:r>
          </w:p>
          <w:p w14:paraId="6151B809" w14:textId="77777777" w:rsidR="00F1171E" w:rsidRPr="00016843" w:rsidRDefault="00F1171E" w:rsidP="007222C8">
            <w:pPr>
              <w:pStyle w:val="Heading2"/>
              <w:jc w:val="left"/>
              <w:rPr>
                <w:rFonts w:ascii="Arial" w:hAnsi="Arial" w:cs="Arial"/>
                <w:lang w:val="en-GB"/>
              </w:rPr>
            </w:pPr>
          </w:p>
        </w:tc>
        <w:tc>
          <w:tcPr>
            <w:tcW w:w="2214" w:type="pct"/>
          </w:tcPr>
          <w:p w14:paraId="170E1B85" w14:textId="77777777" w:rsidR="00F1171E" w:rsidRPr="00016843" w:rsidRDefault="00F1171E" w:rsidP="007222C8">
            <w:pPr>
              <w:pStyle w:val="Heading2"/>
              <w:jc w:val="left"/>
              <w:rPr>
                <w:rFonts w:ascii="Arial" w:hAnsi="Arial" w:cs="Arial"/>
                <w:lang w:val="en-GB"/>
              </w:rPr>
            </w:pPr>
            <w:r w:rsidRPr="00016843">
              <w:rPr>
                <w:rFonts w:ascii="Arial" w:hAnsi="Arial" w:cs="Arial"/>
                <w:lang w:val="en-GB"/>
              </w:rPr>
              <w:t>Reviewer’s comment</w:t>
            </w:r>
          </w:p>
        </w:tc>
        <w:tc>
          <w:tcPr>
            <w:tcW w:w="1520" w:type="pct"/>
          </w:tcPr>
          <w:p w14:paraId="13428686" w14:textId="77777777" w:rsidR="00F1171E" w:rsidRPr="00016843" w:rsidRDefault="00F1171E" w:rsidP="007222C8">
            <w:pPr>
              <w:pStyle w:val="Heading2"/>
              <w:jc w:val="left"/>
              <w:rPr>
                <w:rFonts w:ascii="Arial" w:hAnsi="Arial" w:cs="Arial"/>
                <w:b w:val="0"/>
                <w:lang w:val="en-GB"/>
              </w:rPr>
            </w:pPr>
            <w:r w:rsidRPr="00016843">
              <w:rPr>
                <w:rFonts w:ascii="Arial" w:hAnsi="Arial" w:cs="Arial"/>
                <w:lang w:val="en-GB"/>
              </w:rPr>
              <w:t xml:space="preserve">Author’s </w:t>
            </w:r>
            <w:proofErr w:type="gramStart"/>
            <w:r w:rsidRPr="00016843">
              <w:rPr>
                <w:rFonts w:ascii="Arial" w:hAnsi="Arial" w:cs="Arial"/>
                <w:lang w:val="en-GB"/>
              </w:rPr>
              <w:t>Feedback</w:t>
            </w:r>
            <w:r w:rsidRPr="00016843">
              <w:rPr>
                <w:rFonts w:ascii="Arial" w:hAnsi="Arial" w:cs="Arial"/>
                <w:b w:val="0"/>
                <w:i/>
                <w:lang w:val="en-GB"/>
              </w:rPr>
              <w:t>(</w:t>
            </w:r>
            <w:proofErr w:type="gramEnd"/>
            <w:r w:rsidRPr="00016843">
              <w:rPr>
                <w:rFonts w:ascii="Arial" w:hAnsi="Arial" w:cs="Arial"/>
                <w:b w:val="0"/>
                <w:i/>
                <w:lang w:val="en-GB"/>
              </w:rPr>
              <w:t>Please correct the manuscript and highlight that part in the manuscript. It is mandatory that authors should write his/her feedback here)</w:t>
            </w:r>
          </w:p>
        </w:tc>
      </w:tr>
      <w:tr w:rsidR="00F1171E" w:rsidRPr="00016843" w14:paraId="4734905E" w14:textId="77777777" w:rsidTr="006909DA">
        <w:trPr>
          <w:trHeight w:val="2816"/>
        </w:trPr>
        <w:tc>
          <w:tcPr>
            <w:tcW w:w="1266" w:type="pct"/>
            <w:noWrap/>
          </w:tcPr>
          <w:p w14:paraId="0C7DEF8E" w14:textId="77777777" w:rsidR="00F1171E" w:rsidRPr="00016843" w:rsidRDefault="00F1171E" w:rsidP="007222C8">
            <w:pPr>
              <w:ind w:left="360"/>
              <w:rPr>
                <w:rFonts w:ascii="Arial" w:hAnsi="Arial" w:cs="Arial"/>
                <w:b/>
                <w:bCs/>
                <w:sz w:val="20"/>
                <w:szCs w:val="20"/>
                <w:lang w:val="en-GB"/>
              </w:rPr>
            </w:pPr>
            <w:r w:rsidRPr="00016843">
              <w:rPr>
                <w:rFonts w:ascii="Arial" w:hAnsi="Arial" w:cs="Arial"/>
                <w:b/>
                <w:bCs/>
                <w:sz w:val="20"/>
                <w:szCs w:val="20"/>
                <w:lang w:val="en-GB"/>
              </w:rPr>
              <w:t xml:space="preserve">Please write a few sentences regarding the importance of this manuscript for the scientific community. Why do you like (or dislike) this manuscript? A </w:t>
            </w:r>
            <w:proofErr w:type="spellStart"/>
            <w:r w:rsidRPr="00016843">
              <w:rPr>
                <w:rFonts w:ascii="Arial" w:hAnsi="Arial" w:cs="Arial"/>
                <w:b/>
                <w:bCs/>
                <w:sz w:val="20"/>
                <w:szCs w:val="20"/>
                <w:lang w:val="en-GB"/>
              </w:rPr>
              <w:t>minimumof</w:t>
            </w:r>
            <w:proofErr w:type="spellEnd"/>
            <w:r w:rsidRPr="00016843">
              <w:rPr>
                <w:rFonts w:ascii="Arial" w:hAnsi="Arial" w:cs="Arial"/>
                <w:b/>
                <w:bCs/>
                <w:sz w:val="20"/>
                <w:szCs w:val="20"/>
                <w:lang w:val="en-GB"/>
              </w:rPr>
              <w:t xml:space="preserve"> 3-4 sentences may be required for this part.</w:t>
            </w:r>
          </w:p>
          <w:p w14:paraId="565BE271" w14:textId="77777777" w:rsidR="00F1171E" w:rsidRPr="00016843" w:rsidRDefault="00F1171E" w:rsidP="007222C8">
            <w:pPr>
              <w:ind w:left="360"/>
              <w:rPr>
                <w:rFonts w:ascii="Arial" w:eastAsia="MS Mincho" w:hAnsi="Arial" w:cs="Arial"/>
                <w:b/>
                <w:bCs/>
                <w:sz w:val="20"/>
                <w:szCs w:val="20"/>
                <w:lang w:val="en-GB"/>
              </w:rPr>
            </w:pPr>
          </w:p>
        </w:tc>
        <w:tc>
          <w:tcPr>
            <w:tcW w:w="2214" w:type="pct"/>
          </w:tcPr>
          <w:p w14:paraId="1E0AEA4F" w14:textId="77777777" w:rsidR="007B797E" w:rsidRPr="00016843" w:rsidRDefault="007B797E" w:rsidP="007B797E">
            <w:pPr>
              <w:spacing w:before="100" w:beforeAutospacing="1" w:after="100" w:afterAutospacing="1"/>
              <w:rPr>
                <w:rFonts w:ascii="Arial" w:hAnsi="Arial" w:cs="Arial"/>
                <w:sz w:val="20"/>
                <w:szCs w:val="20"/>
              </w:rPr>
            </w:pPr>
            <w:r w:rsidRPr="00016843">
              <w:rPr>
                <w:rFonts w:ascii="Arial" w:hAnsi="Arial" w:cs="Arial"/>
                <w:sz w:val="20"/>
                <w:szCs w:val="20"/>
              </w:rPr>
              <w:t xml:space="preserve">This manuscript is highly valuable for the scientific community as it investigates the antimicrobial potential and phytochemical composition of </w:t>
            </w:r>
            <w:r w:rsidRPr="00016843">
              <w:rPr>
                <w:rFonts w:ascii="Arial" w:hAnsi="Arial" w:cs="Arial"/>
                <w:i/>
                <w:iCs/>
                <w:sz w:val="20"/>
                <w:szCs w:val="20"/>
              </w:rPr>
              <w:t xml:space="preserve">Ocimum </w:t>
            </w:r>
            <w:proofErr w:type="spellStart"/>
            <w:r w:rsidRPr="00016843">
              <w:rPr>
                <w:rFonts w:ascii="Arial" w:hAnsi="Arial" w:cs="Arial"/>
                <w:i/>
                <w:iCs/>
                <w:sz w:val="20"/>
                <w:szCs w:val="20"/>
              </w:rPr>
              <w:t>tenuiflorum</w:t>
            </w:r>
            <w:proofErr w:type="spellEnd"/>
            <w:r w:rsidRPr="00016843">
              <w:rPr>
                <w:rFonts w:ascii="Arial" w:hAnsi="Arial" w:cs="Arial"/>
                <w:sz w:val="20"/>
                <w:szCs w:val="20"/>
              </w:rPr>
              <w:t>, a plant with a rich history in traditional medicine. Its findings contribute to the ongoing search for natural alternatives to combat antimicrobial resistance, a global health challenge. The study provides a comprehensive analysis of the plant’s bioactive compounds and their effects on significant pathogens, offering insights into the development of novel therapeutic agents.</w:t>
            </w:r>
          </w:p>
          <w:p w14:paraId="5739F910" w14:textId="7FB68ACF" w:rsidR="00F1171E" w:rsidRPr="0001075B" w:rsidRDefault="007B797E" w:rsidP="0001075B">
            <w:pPr>
              <w:spacing w:before="100" w:beforeAutospacing="1" w:after="100" w:afterAutospacing="1"/>
              <w:rPr>
                <w:rFonts w:ascii="Arial" w:hAnsi="Arial" w:cs="Arial"/>
                <w:sz w:val="20"/>
                <w:szCs w:val="20"/>
              </w:rPr>
            </w:pPr>
            <w:r w:rsidRPr="00016843">
              <w:rPr>
                <w:rFonts w:ascii="Arial" w:hAnsi="Arial" w:cs="Arial"/>
                <w:sz w:val="20"/>
                <w:szCs w:val="20"/>
              </w:rPr>
              <w:t xml:space="preserve">I appreciate the manuscript's clear objectives, robust methodology, and potential to address critical gaps in alternative medicine. However, while the findings are compelling, the manuscript could benefit from broader exploration of comparative studies with synthetic antimicrobials or additional mechanisms of action. Overall, it presents a strong case for the therapeutic potential of </w:t>
            </w:r>
            <w:r w:rsidRPr="00016843">
              <w:rPr>
                <w:rFonts w:ascii="Arial" w:hAnsi="Arial" w:cs="Arial"/>
                <w:i/>
                <w:iCs/>
                <w:sz w:val="20"/>
                <w:szCs w:val="20"/>
              </w:rPr>
              <w:t xml:space="preserve">Ocimum </w:t>
            </w:r>
            <w:proofErr w:type="spellStart"/>
            <w:r w:rsidRPr="00016843">
              <w:rPr>
                <w:rFonts w:ascii="Arial" w:hAnsi="Arial" w:cs="Arial"/>
                <w:i/>
                <w:iCs/>
                <w:sz w:val="20"/>
                <w:szCs w:val="20"/>
              </w:rPr>
              <w:t>tenuiflorum</w:t>
            </w:r>
            <w:proofErr w:type="spellEnd"/>
            <w:r w:rsidRPr="00016843">
              <w:rPr>
                <w:rFonts w:ascii="Arial" w:hAnsi="Arial" w:cs="Arial"/>
                <w:sz w:val="20"/>
                <w:szCs w:val="20"/>
              </w:rPr>
              <w:t>.</w:t>
            </w:r>
          </w:p>
        </w:tc>
        <w:tc>
          <w:tcPr>
            <w:tcW w:w="1520" w:type="pct"/>
          </w:tcPr>
          <w:p w14:paraId="6614CE20" w14:textId="77777777" w:rsidR="00F1171E" w:rsidRPr="00016843" w:rsidRDefault="00F1171E" w:rsidP="007222C8">
            <w:pPr>
              <w:pStyle w:val="Heading2"/>
              <w:jc w:val="left"/>
              <w:rPr>
                <w:rFonts w:ascii="Arial" w:hAnsi="Arial" w:cs="Arial"/>
                <w:b w:val="0"/>
                <w:lang w:val="en-GB"/>
              </w:rPr>
            </w:pPr>
          </w:p>
        </w:tc>
      </w:tr>
      <w:tr w:rsidR="00F1171E" w:rsidRPr="00016843" w14:paraId="1A426EB3" w14:textId="77777777" w:rsidTr="006909DA">
        <w:trPr>
          <w:trHeight w:val="1262"/>
        </w:trPr>
        <w:tc>
          <w:tcPr>
            <w:tcW w:w="1266" w:type="pct"/>
            <w:noWrap/>
          </w:tcPr>
          <w:p w14:paraId="469351D2" w14:textId="77777777" w:rsidR="00F1171E" w:rsidRPr="00016843" w:rsidRDefault="00F1171E" w:rsidP="007222C8">
            <w:pPr>
              <w:ind w:left="360"/>
              <w:rPr>
                <w:rFonts w:ascii="Arial" w:hAnsi="Arial" w:cs="Arial"/>
                <w:b/>
                <w:bCs/>
                <w:sz w:val="20"/>
                <w:szCs w:val="20"/>
                <w:lang w:val="en-GB"/>
              </w:rPr>
            </w:pPr>
            <w:r w:rsidRPr="00016843">
              <w:rPr>
                <w:rFonts w:ascii="Arial" w:hAnsi="Arial" w:cs="Arial"/>
                <w:b/>
                <w:bCs/>
                <w:sz w:val="20"/>
                <w:szCs w:val="20"/>
                <w:lang w:val="en-GB"/>
              </w:rPr>
              <w:t>Is the title of the article suitable?</w:t>
            </w:r>
          </w:p>
          <w:p w14:paraId="1CB6BFCE" w14:textId="77777777" w:rsidR="00F1171E" w:rsidRPr="00016843" w:rsidRDefault="00F1171E" w:rsidP="007222C8">
            <w:pPr>
              <w:ind w:left="360"/>
              <w:rPr>
                <w:rFonts w:ascii="Arial" w:hAnsi="Arial" w:cs="Arial"/>
                <w:b/>
                <w:bCs/>
                <w:sz w:val="20"/>
                <w:szCs w:val="20"/>
                <w:lang w:val="en-GB"/>
              </w:rPr>
            </w:pPr>
            <w:r w:rsidRPr="00016843">
              <w:rPr>
                <w:rFonts w:ascii="Arial" w:hAnsi="Arial" w:cs="Arial"/>
                <w:b/>
                <w:bCs/>
                <w:sz w:val="20"/>
                <w:szCs w:val="20"/>
                <w:lang w:val="en-GB"/>
              </w:rPr>
              <w:t>(If not please suggest an alternative title)</w:t>
            </w:r>
          </w:p>
          <w:p w14:paraId="29E9057F" w14:textId="77777777" w:rsidR="00F1171E" w:rsidRPr="00016843" w:rsidRDefault="00F1171E" w:rsidP="007222C8">
            <w:pPr>
              <w:pStyle w:val="Heading2"/>
              <w:jc w:val="left"/>
              <w:rPr>
                <w:rFonts w:ascii="Arial" w:hAnsi="Arial" w:cs="Arial"/>
                <w:u w:val="single"/>
                <w:lang w:val="en-GB"/>
              </w:rPr>
            </w:pPr>
          </w:p>
        </w:tc>
        <w:tc>
          <w:tcPr>
            <w:tcW w:w="2214" w:type="pct"/>
          </w:tcPr>
          <w:p w14:paraId="6B84B3CC" w14:textId="77777777" w:rsidR="00F1171E" w:rsidRPr="00016843" w:rsidRDefault="007B797E" w:rsidP="007222C8">
            <w:pPr>
              <w:ind w:left="360"/>
              <w:rPr>
                <w:rFonts w:ascii="Arial" w:hAnsi="Arial" w:cs="Arial"/>
                <w:sz w:val="20"/>
                <w:szCs w:val="20"/>
              </w:rPr>
            </w:pPr>
            <w:r w:rsidRPr="00016843">
              <w:rPr>
                <w:rFonts w:ascii="Arial" w:hAnsi="Arial" w:cs="Arial"/>
                <w:sz w:val="20"/>
                <w:szCs w:val="20"/>
              </w:rPr>
              <w:t xml:space="preserve">Alternatives </w:t>
            </w:r>
          </w:p>
          <w:p w14:paraId="5CF29111" w14:textId="77777777" w:rsidR="007B797E" w:rsidRPr="00016843" w:rsidRDefault="007B797E" w:rsidP="007B797E">
            <w:pPr>
              <w:pStyle w:val="ListParagraph"/>
              <w:numPr>
                <w:ilvl w:val="0"/>
                <w:numId w:val="11"/>
              </w:numPr>
              <w:rPr>
                <w:rFonts w:ascii="Arial" w:hAnsi="Arial" w:cs="Arial"/>
                <w:sz w:val="20"/>
                <w:szCs w:val="20"/>
              </w:rPr>
            </w:pPr>
            <w:r w:rsidRPr="00016843">
              <w:rPr>
                <w:rFonts w:ascii="Arial" w:hAnsi="Arial" w:cs="Arial"/>
                <w:sz w:val="20"/>
                <w:szCs w:val="20"/>
              </w:rPr>
              <w:t xml:space="preserve">Antimicrobial Activity and Phytochemical Analysis of Ocimum </w:t>
            </w:r>
            <w:proofErr w:type="spellStart"/>
            <w:r w:rsidRPr="00016843">
              <w:rPr>
                <w:rFonts w:ascii="Arial" w:hAnsi="Arial" w:cs="Arial"/>
                <w:sz w:val="20"/>
                <w:szCs w:val="20"/>
              </w:rPr>
              <w:t>Tenuiflorum</w:t>
            </w:r>
            <w:proofErr w:type="spellEnd"/>
            <w:r w:rsidRPr="00016843">
              <w:rPr>
                <w:rFonts w:ascii="Arial" w:hAnsi="Arial" w:cs="Arial"/>
                <w:sz w:val="20"/>
                <w:szCs w:val="20"/>
              </w:rPr>
              <w:t xml:space="preserve"> Leaf Extracts</w:t>
            </w:r>
          </w:p>
          <w:p w14:paraId="60B43209" w14:textId="77777777" w:rsidR="007B797E" w:rsidRPr="00016843" w:rsidRDefault="007B797E" w:rsidP="007B797E">
            <w:pPr>
              <w:pStyle w:val="ListParagraph"/>
              <w:numPr>
                <w:ilvl w:val="0"/>
                <w:numId w:val="11"/>
              </w:numPr>
              <w:rPr>
                <w:rFonts w:ascii="Arial" w:hAnsi="Arial" w:cs="Arial"/>
                <w:b/>
                <w:bCs/>
                <w:sz w:val="20"/>
                <w:szCs w:val="20"/>
                <w:lang w:val="en-GB"/>
              </w:rPr>
            </w:pPr>
            <w:r w:rsidRPr="00016843">
              <w:rPr>
                <w:rFonts w:ascii="Arial" w:hAnsi="Arial" w:cs="Arial"/>
                <w:sz w:val="20"/>
                <w:szCs w:val="20"/>
              </w:rPr>
              <w:t xml:space="preserve">Therapeutic Potential of Ocimum </w:t>
            </w:r>
            <w:proofErr w:type="spellStart"/>
            <w:r w:rsidRPr="00016843">
              <w:rPr>
                <w:rFonts w:ascii="Arial" w:hAnsi="Arial" w:cs="Arial"/>
                <w:sz w:val="20"/>
                <w:szCs w:val="20"/>
              </w:rPr>
              <w:t>Tenuiflorum</w:t>
            </w:r>
            <w:proofErr w:type="spellEnd"/>
            <w:r w:rsidRPr="00016843">
              <w:rPr>
                <w:rFonts w:ascii="Arial" w:hAnsi="Arial" w:cs="Arial"/>
                <w:sz w:val="20"/>
                <w:szCs w:val="20"/>
              </w:rPr>
              <w:t xml:space="preserve">: Phytochemicals and Antimicrobial Effects </w:t>
            </w:r>
          </w:p>
          <w:p w14:paraId="7BF05C95" w14:textId="77777777" w:rsidR="007B797E" w:rsidRPr="00016843" w:rsidRDefault="007B797E" w:rsidP="007B797E">
            <w:pPr>
              <w:pStyle w:val="ListParagraph"/>
              <w:numPr>
                <w:ilvl w:val="0"/>
                <w:numId w:val="11"/>
              </w:numPr>
              <w:rPr>
                <w:rFonts w:ascii="Arial" w:hAnsi="Arial" w:cs="Arial"/>
                <w:b/>
                <w:bCs/>
                <w:sz w:val="20"/>
                <w:szCs w:val="20"/>
                <w:lang w:val="en-GB"/>
              </w:rPr>
            </w:pPr>
            <w:r w:rsidRPr="00016843">
              <w:rPr>
                <w:rFonts w:ascii="Arial" w:hAnsi="Arial" w:cs="Arial"/>
                <w:sz w:val="20"/>
                <w:szCs w:val="20"/>
              </w:rPr>
              <w:t xml:space="preserve">A Study on Ocimum </w:t>
            </w:r>
            <w:proofErr w:type="spellStart"/>
            <w:r w:rsidRPr="00016843">
              <w:rPr>
                <w:rFonts w:ascii="Arial" w:hAnsi="Arial" w:cs="Arial"/>
                <w:sz w:val="20"/>
                <w:szCs w:val="20"/>
              </w:rPr>
              <w:t>Tenuiflorum</w:t>
            </w:r>
            <w:proofErr w:type="spellEnd"/>
            <w:r w:rsidRPr="00016843">
              <w:rPr>
                <w:rFonts w:ascii="Arial" w:hAnsi="Arial" w:cs="Arial"/>
                <w:sz w:val="20"/>
                <w:szCs w:val="20"/>
              </w:rPr>
              <w:t xml:space="preserve"> Leaf Extracts: Phytochemical Profile and Antimicrobial Efficacy</w:t>
            </w:r>
          </w:p>
        </w:tc>
        <w:tc>
          <w:tcPr>
            <w:tcW w:w="1520" w:type="pct"/>
          </w:tcPr>
          <w:p w14:paraId="4F1CADC0" w14:textId="77777777" w:rsidR="00F1171E" w:rsidRPr="00016843" w:rsidRDefault="00F1171E" w:rsidP="007222C8">
            <w:pPr>
              <w:pStyle w:val="Heading2"/>
              <w:jc w:val="left"/>
              <w:rPr>
                <w:rFonts w:ascii="Arial" w:hAnsi="Arial" w:cs="Arial"/>
                <w:b w:val="0"/>
                <w:lang w:val="en-GB"/>
              </w:rPr>
            </w:pPr>
          </w:p>
        </w:tc>
      </w:tr>
      <w:tr w:rsidR="00F1171E" w:rsidRPr="00016843" w14:paraId="6F843403" w14:textId="77777777" w:rsidTr="006909DA">
        <w:trPr>
          <w:trHeight w:val="1262"/>
        </w:trPr>
        <w:tc>
          <w:tcPr>
            <w:tcW w:w="1266" w:type="pct"/>
            <w:noWrap/>
          </w:tcPr>
          <w:p w14:paraId="019D9B9A" w14:textId="77777777" w:rsidR="00F1171E" w:rsidRPr="00016843" w:rsidRDefault="00F1171E" w:rsidP="007222C8">
            <w:pPr>
              <w:pStyle w:val="Heading2"/>
              <w:ind w:left="360"/>
              <w:jc w:val="left"/>
              <w:rPr>
                <w:rFonts w:ascii="Arial" w:hAnsi="Arial" w:cs="Arial"/>
                <w:lang w:val="en-GB"/>
              </w:rPr>
            </w:pPr>
            <w:r w:rsidRPr="00016843">
              <w:rPr>
                <w:rFonts w:ascii="Arial" w:hAnsi="Arial" w:cs="Arial"/>
                <w:lang w:val="en-GB"/>
              </w:rPr>
              <w:t>Is the abstract of the article comprehensive? Do you suggest the addition (or deletion) of some points in this section? Please write your suggestions here.</w:t>
            </w:r>
          </w:p>
          <w:p w14:paraId="16671CDE" w14:textId="77777777" w:rsidR="00F1171E" w:rsidRPr="00016843" w:rsidRDefault="00F1171E" w:rsidP="007222C8">
            <w:pPr>
              <w:pStyle w:val="Heading2"/>
              <w:jc w:val="left"/>
              <w:rPr>
                <w:rFonts w:ascii="Arial" w:hAnsi="Arial" w:cs="Arial"/>
                <w:u w:val="single"/>
                <w:lang w:val="en-GB"/>
              </w:rPr>
            </w:pPr>
          </w:p>
        </w:tc>
        <w:tc>
          <w:tcPr>
            <w:tcW w:w="2214" w:type="pct"/>
          </w:tcPr>
          <w:p w14:paraId="0CCB33CA" w14:textId="77777777" w:rsidR="007B797E" w:rsidRPr="00016843" w:rsidRDefault="007B797E" w:rsidP="007B797E">
            <w:pPr>
              <w:ind w:left="360"/>
              <w:rPr>
                <w:rFonts w:ascii="Arial" w:hAnsi="Arial" w:cs="Arial"/>
                <w:sz w:val="20"/>
                <w:szCs w:val="20"/>
              </w:rPr>
            </w:pPr>
            <w:r w:rsidRPr="00016843">
              <w:rPr>
                <w:rFonts w:ascii="Arial" w:hAnsi="Arial" w:cs="Arial"/>
                <w:sz w:val="20"/>
                <w:szCs w:val="20"/>
              </w:rPr>
              <w:t xml:space="preserve">The abstract of the article is clear, structured, and covers essential components of the study, including the aim, study design, methods, results, and conclusion. However, there are areas where it could be improved for greater clarity, depth, and alignment with the standard abstract structure. Below are specific suggestions:  </w:t>
            </w:r>
          </w:p>
          <w:p w14:paraId="6A8E81C4" w14:textId="77777777" w:rsidR="007B797E" w:rsidRPr="00016843" w:rsidRDefault="007B797E" w:rsidP="007B797E">
            <w:pPr>
              <w:pStyle w:val="ListParagraph"/>
              <w:numPr>
                <w:ilvl w:val="0"/>
                <w:numId w:val="12"/>
              </w:numPr>
              <w:rPr>
                <w:rFonts w:ascii="Arial" w:hAnsi="Arial" w:cs="Arial"/>
                <w:sz w:val="20"/>
                <w:szCs w:val="20"/>
              </w:rPr>
            </w:pPr>
            <w:r w:rsidRPr="00016843">
              <w:rPr>
                <w:rFonts w:ascii="Arial" w:hAnsi="Arial" w:cs="Arial"/>
                <w:sz w:val="20"/>
                <w:szCs w:val="20"/>
              </w:rPr>
              <w:t>Addition of Key Quantitative Result</w:t>
            </w:r>
          </w:p>
          <w:p w14:paraId="7815394B" w14:textId="77777777" w:rsidR="00F1171E" w:rsidRPr="00016843" w:rsidRDefault="007B797E" w:rsidP="007B797E">
            <w:pPr>
              <w:pStyle w:val="ListParagraph"/>
              <w:numPr>
                <w:ilvl w:val="0"/>
                <w:numId w:val="12"/>
              </w:numPr>
              <w:rPr>
                <w:rFonts w:ascii="Arial" w:hAnsi="Arial" w:cs="Arial"/>
                <w:sz w:val="20"/>
                <w:szCs w:val="20"/>
              </w:rPr>
            </w:pPr>
            <w:r w:rsidRPr="00016843">
              <w:rPr>
                <w:rFonts w:ascii="Arial" w:hAnsi="Arial" w:cs="Arial"/>
                <w:sz w:val="20"/>
                <w:szCs w:val="20"/>
              </w:rPr>
              <w:t>Avoid Redundancy</w:t>
            </w:r>
          </w:p>
          <w:p w14:paraId="6143E8C8" w14:textId="77777777" w:rsidR="007B797E" w:rsidRPr="00016843" w:rsidRDefault="007B797E" w:rsidP="007222C8">
            <w:pPr>
              <w:ind w:left="360"/>
              <w:rPr>
                <w:rFonts w:ascii="Arial" w:hAnsi="Arial" w:cs="Arial"/>
                <w:b/>
                <w:bCs/>
                <w:sz w:val="20"/>
                <w:szCs w:val="20"/>
                <w:lang w:val="en-GB"/>
              </w:rPr>
            </w:pPr>
          </w:p>
        </w:tc>
        <w:tc>
          <w:tcPr>
            <w:tcW w:w="1520" w:type="pct"/>
          </w:tcPr>
          <w:p w14:paraId="05462849" w14:textId="77777777" w:rsidR="00F1171E" w:rsidRPr="00016843" w:rsidRDefault="00F1171E" w:rsidP="007222C8">
            <w:pPr>
              <w:pStyle w:val="Heading2"/>
              <w:jc w:val="left"/>
              <w:rPr>
                <w:rFonts w:ascii="Arial" w:hAnsi="Arial" w:cs="Arial"/>
                <w:b w:val="0"/>
                <w:lang w:val="en-GB"/>
              </w:rPr>
            </w:pPr>
          </w:p>
        </w:tc>
      </w:tr>
      <w:tr w:rsidR="00F1171E" w:rsidRPr="00016843" w14:paraId="5CA5FF66" w14:textId="77777777" w:rsidTr="006909DA">
        <w:trPr>
          <w:trHeight w:val="859"/>
        </w:trPr>
        <w:tc>
          <w:tcPr>
            <w:tcW w:w="1266" w:type="pct"/>
            <w:noWrap/>
          </w:tcPr>
          <w:p w14:paraId="3DCC3979" w14:textId="77777777" w:rsidR="00F1171E" w:rsidRPr="00016843" w:rsidRDefault="00F1171E" w:rsidP="007222C8">
            <w:pPr>
              <w:ind w:left="360"/>
              <w:rPr>
                <w:rFonts w:ascii="Arial" w:hAnsi="Arial" w:cs="Arial"/>
                <w:b/>
                <w:bCs/>
                <w:sz w:val="20"/>
                <w:szCs w:val="20"/>
                <w:u w:val="single"/>
                <w:lang w:val="en-GB"/>
              </w:rPr>
            </w:pPr>
            <w:r w:rsidRPr="00016843">
              <w:rPr>
                <w:rFonts w:ascii="Arial" w:hAnsi="Arial" w:cs="Arial"/>
                <w:b/>
                <w:bCs/>
                <w:sz w:val="20"/>
                <w:szCs w:val="20"/>
                <w:lang w:val="en-GB"/>
              </w:rPr>
              <w:t>Are subsections and structure of the manuscript appropriate?</w:t>
            </w:r>
          </w:p>
        </w:tc>
        <w:tc>
          <w:tcPr>
            <w:tcW w:w="2214" w:type="pct"/>
          </w:tcPr>
          <w:p w14:paraId="5EC59D77" w14:textId="77777777" w:rsidR="00F1171E" w:rsidRPr="00016843" w:rsidRDefault="007B797E" w:rsidP="007222C8">
            <w:pPr>
              <w:pStyle w:val="ListParagraph"/>
              <w:ind w:left="0"/>
              <w:rPr>
                <w:rFonts w:ascii="Arial" w:hAnsi="Arial" w:cs="Arial"/>
                <w:b/>
                <w:bCs/>
                <w:sz w:val="20"/>
                <w:szCs w:val="20"/>
                <w:lang w:val="en-GB"/>
              </w:rPr>
            </w:pPr>
            <w:r w:rsidRPr="00016843">
              <w:rPr>
                <w:rFonts w:ascii="Arial" w:hAnsi="Arial" w:cs="Arial"/>
                <w:b/>
                <w:bCs/>
                <w:sz w:val="20"/>
                <w:szCs w:val="20"/>
                <w:lang w:val="en-GB"/>
              </w:rPr>
              <w:t>Yes.</w:t>
            </w:r>
          </w:p>
          <w:p w14:paraId="5E36B525" w14:textId="77777777" w:rsidR="007B797E" w:rsidRPr="00016843" w:rsidRDefault="007B797E" w:rsidP="007B797E">
            <w:pPr>
              <w:pStyle w:val="ListParagraph"/>
              <w:numPr>
                <w:ilvl w:val="0"/>
                <w:numId w:val="13"/>
              </w:numPr>
              <w:rPr>
                <w:rFonts w:ascii="Arial" w:hAnsi="Arial" w:cs="Arial"/>
                <w:sz w:val="20"/>
                <w:szCs w:val="20"/>
              </w:rPr>
            </w:pPr>
            <w:r w:rsidRPr="00016843">
              <w:rPr>
                <w:rFonts w:ascii="Arial" w:hAnsi="Arial" w:cs="Arial"/>
                <w:sz w:val="20"/>
                <w:szCs w:val="20"/>
              </w:rPr>
              <w:t>Potential Improvements need for below aspects:</w:t>
            </w:r>
          </w:p>
          <w:p w14:paraId="73D04140" w14:textId="77777777" w:rsidR="007B797E" w:rsidRPr="00016843" w:rsidRDefault="007B797E" w:rsidP="007B797E">
            <w:pPr>
              <w:pStyle w:val="ListParagraph"/>
              <w:numPr>
                <w:ilvl w:val="0"/>
                <w:numId w:val="13"/>
              </w:numPr>
              <w:rPr>
                <w:rFonts w:ascii="Arial" w:hAnsi="Arial" w:cs="Arial"/>
                <w:sz w:val="20"/>
                <w:szCs w:val="20"/>
              </w:rPr>
            </w:pPr>
            <w:r w:rsidRPr="00016843">
              <w:rPr>
                <w:rFonts w:ascii="Arial" w:hAnsi="Arial" w:cs="Arial"/>
                <w:sz w:val="20"/>
                <w:szCs w:val="20"/>
              </w:rPr>
              <w:t>Consistency in Subsection Headings</w:t>
            </w:r>
          </w:p>
          <w:p w14:paraId="17643B46" w14:textId="77777777" w:rsidR="007B797E" w:rsidRPr="00016843" w:rsidRDefault="007B797E" w:rsidP="007B797E">
            <w:pPr>
              <w:pStyle w:val="ListParagraph"/>
              <w:numPr>
                <w:ilvl w:val="0"/>
                <w:numId w:val="13"/>
              </w:numPr>
              <w:rPr>
                <w:rFonts w:ascii="Arial" w:hAnsi="Arial" w:cs="Arial"/>
                <w:sz w:val="20"/>
                <w:szCs w:val="20"/>
              </w:rPr>
            </w:pPr>
            <w:r w:rsidRPr="00016843">
              <w:rPr>
                <w:rFonts w:ascii="Arial" w:hAnsi="Arial" w:cs="Arial"/>
                <w:sz w:val="20"/>
                <w:szCs w:val="20"/>
              </w:rPr>
              <w:t>Figures and Tables Integration</w:t>
            </w:r>
          </w:p>
          <w:p w14:paraId="7B42AC31" w14:textId="77777777" w:rsidR="007B797E" w:rsidRPr="00016843" w:rsidRDefault="007B797E" w:rsidP="007B797E">
            <w:pPr>
              <w:pStyle w:val="ListParagraph"/>
              <w:numPr>
                <w:ilvl w:val="0"/>
                <w:numId w:val="13"/>
              </w:numPr>
              <w:rPr>
                <w:rFonts w:ascii="Arial" w:hAnsi="Arial" w:cs="Arial"/>
                <w:sz w:val="20"/>
                <w:szCs w:val="20"/>
              </w:rPr>
            </w:pPr>
            <w:r w:rsidRPr="00016843">
              <w:rPr>
                <w:rFonts w:ascii="Arial" w:hAnsi="Arial" w:cs="Arial"/>
                <w:sz w:val="20"/>
                <w:szCs w:val="20"/>
              </w:rPr>
              <w:t>Discussion Depth</w:t>
            </w:r>
          </w:p>
          <w:p w14:paraId="48663840" w14:textId="44867196" w:rsidR="007B797E" w:rsidRPr="0001075B" w:rsidRDefault="007B797E" w:rsidP="0001075B">
            <w:pPr>
              <w:pStyle w:val="ListParagraph"/>
              <w:numPr>
                <w:ilvl w:val="0"/>
                <w:numId w:val="13"/>
              </w:numPr>
              <w:rPr>
                <w:rFonts w:ascii="Arial" w:hAnsi="Arial" w:cs="Arial"/>
                <w:b/>
                <w:bCs/>
                <w:sz w:val="20"/>
                <w:szCs w:val="20"/>
                <w:lang w:val="en-GB"/>
              </w:rPr>
            </w:pPr>
            <w:r w:rsidRPr="00016843">
              <w:rPr>
                <w:rFonts w:ascii="Arial" w:hAnsi="Arial" w:cs="Arial"/>
                <w:sz w:val="20"/>
                <w:szCs w:val="20"/>
              </w:rPr>
              <w:t>Language Refinement (A few typographical errors are present ("</w:t>
            </w:r>
            <w:proofErr w:type="spellStart"/>
            <w:r w:rsidRPr="00016843">
              <w:rPr>
                <w:rFonts w:ascii="Arial" w:hAnsi="Arial" w:cs="Arial"/>
                <w:sz w:val="20"/>
                <w:szCs w:val="20"/>
              </w:rPr>
              <w:t>Esherichia</w:t>
            </w:r>
            <w:proofErr w:type="spellEnd"/>
            <w:r w:rsidRPr="00016843">
              <w:rPr>
                <w:rFonts w:ascii="Arial" w:hAnsi="Arial" w:cs="Arial"/>
                <w:sz w:val="20"/>
                <w:szCs w:val="20"/>
              </w:rPr>
              <w:t xml:space="preserve"> coli" instead of "Escherichia coli"). Proofreading for such inconsistencies can enhance professionalism)</w:t>
            </w:r>
          </w:p>
        </w:tc>
        <w:tc>
          <w:tcPr>
            <w:tcW w:w="1520" w:type="pct"/>
          </w:tcPr>
          <w:p w14:paraId="1488BC21" w14:textId="77777777" w:rsidR="00F1171E" w:rsidRPr="00016843" w:rsidRDefault="00F1171E" w:rsidP="007222C8">
            <w:pPr>
              <w:pStyle w:val="Heading2"/>
              <w:jc w:val="left"/>
              <w:rPr>
                <w:rFonts w:ascii="Arial" w:hAnsi="Arial" w:cs="Arial"/>
                <w:b w:val="0"/>
                <w:lang w:val="en-GB"/>
              </w:rPr>
            </w:pPr>
          </w:p>
        </w:tc>
      </w:tr>
      <w:tr w:rsidR="00F1171E" w:rsidRPr="00016843" w14:paraId="401EE999" w14:textId="77777777" w:rsidTr="006909DA">
        <w:trPr>
          <w:trHeight w:val="890"/>
        </w:trPr>
        <w:tc>
          <w:tcPr>
            <w:tcW w:w="1266" w:type="pct"/>
            <w:noWrap/>
          </w:tcPr>
          <w:p w14:paraId="6743DBD8" w14:textId="77777777" w:rsidR="00F1171E" w:rsidRPr="00016843" w:rsidRDefault="00F1171E" w:rsidP="007222C8">
            <w:pPr>
              <w:ind w:left="360"/>
              <w:rPr>
                <w:rFonts w:ascii="Arial" w:hAnsi="Arial" w:cs="Arial"/>
                <w:b/>
                <w:bCs/>
                <w:sz w:val="20"/>
                <w:szCs w:val="20"/>
                <w:u w:val="single"/>
                <w:lang w:val="en-GB"/>
              </w:rPr>
            </w:pPr>
            <w:r w:rsidRPr="00016843">
              <w:rPr>
                <w:rFonts w:ascii="Arial" w:hAnsi="Arial" w:cs="Arial"/>
                <w:b/>
                <w:bCs/>
                <w:sz w:val="20"/>
                <w:szCs w:val="20"/>
                <w:lang w:val="en-GB"/>
              </w:rPr>
              <w:t xml:space="preserve">Please write a few sentences regarding the scientific correctness of this manuscript. Why do you think that this manuscript is scientifically robust and technically sound? A </w:t>
            </w:r>
            <w:proofErr w:type="spellStart"/>
            <w:r w:rsidRPr="00016843">
              <w:rPr>
                <w:rFonts w:ascii="Arial" w:hAnsi="Arial" w:cs="Arial"/>
                <w:b/>
                <w:bCs/>
                <w:sz w:val="20"/>
                <w:szCs w:val="20"/>
                <w:lang w:val="en-GB"/>
              </w:rPr>
              <w:t>minimumof</w:t>
            </w:r>
            <w:proofErr w:type="spellEnd"/>
            <w:r w:rsidRPr="00016843">
              <w:rPr>
                <w:rFonts w:ascii="Arial" w:hAnsi="Arial" w:cs="Arial"/>
                <w:b/>
                <w:bCs/>
                <w:sz w:val="20"/>
                <w:szCs w:val="20"/>
                <w:lang w:val="en-GB"/>
              </w:rPr>
              <w:t xml:space="preserve"> 3-4 sentences may be required for this part.</w:t>
            </w:r>
          </w:p>
        </w:tc>
        <w:tc>
          <w:tcPr>
            <w:tcW w:w="2214" w:type="pct"/>
          </w:tcPr>
          <w:p w14:paraId="3155EDF9" w14:textId="77777777" w:rsidR="007B797E" w:rsidRPr="00016843" w:rsidRDefault="007B797E" w:rsidP="007B797E">
            <w:pPr>
              <w:spacing w:before="100" w:beforeAutospacing="1" w:after="100" w:afterAutospacing="1"/>
              <w:rPr>
                <w:rFonts w:ascii="Arial" w:hAnsi="Arial" w:cs="Arial"/>
                <w:sz w:val="20"/>
                <w:szCs w:val="20"/>
              </w:rPr>
            </w:pPr>
            <w:r w:rsidRPr="00016843">
              <w:rPr>
                <w:rFonts w:ascii="Arial" w:hAnsi="Arial" w:cs="Arial"/>
                <w:sz w:val="20"/>
                <w:szCs w:val="20"/>
              </w:rPr>
              <w:t xml:space="preserve">The manuscript is scientifically robust and technically sound, as it demonstrates a well-defined methodology and clear experimental design. The study employs validated techniques, such as agar diffusion for antimicrobial testing and poisoned food technique for antifungal evaluation, ensuring reliable and reproducible results. The use of both decoction and digestion methods for extracting bioactive compounds from </w:t>
            </w:r>
            <w:r w:rsidRPr="00016843">
              <w:rPr>
                <w:rFonts w:ascii="Arial" w:hAnsi="Arial" w:cs="Arial"/>
                <w:i/>
                <w:iCs/>
                <w:sz w:val="20"/>
                <w:szCs w:val="20"/>
              </w:rPr>
              <w:t xml:space="preserve">Ocimum </w:t>
            </w:r>
            <w:proofErr w:type="spellStart"/>
            <w:r w:rsidRPr="00016843">
              <w:rPr>
                <w:rFonts w:ascii="Arial" w:hAnsi="Arial" w:cs="Arial"/>
                <w:i/>
                <w:iCs/>
                <w:sz w:val="20"/>
                <w:szCs w:val="20"/>
              </w:rPr>
              <w:t>tenuiflorum</w:t>
            </w:r>
            <w:proofErr w:type="spellEnd"/>
            <w:r w:rsidRPr="00016843">
              <w:rPr>
                <w:rFonts w:ascii="Arial" w:hAnsi="Arial" w:cs="Arial"/>
                <w:sz w:val="20"/>
                <w:szCs w:val="20"/>
              </w:rPr>
              <w:t xml:space="preserve"> is innovative, offering comparative insights into their phytochemical and antimicrobial properties.</w:t>
            </w:r>
          </w:p>
          <w:p w14:paraId="6B31CC7B" w14:textId="24E0A538" w:rsidR="00F1171E" w:rsidRPr="0071225D" w:rsidRDefault="007B797E" w:rsidP="0071225D">
            <w:pPr>
              <w:spacing w:before="100" w:beforeAutospacing="1" w:after="100" w:afterAutospacing="1"/>
              <w:rPr>
                <w:rFonts w:ascii="Arial" w:hAnsi="Arial" w:cs="Arial"/>
                <w:sz w:val="20"/>
                <w:szCs w:val="20"/>
              </w:rPr>
            </w:pPr>
            <w:r w:rsidRPr="00016843">
              <w:rPr>
                <w:rFonts w:ascii="Arial" w:hAnsi="Arial" w:cs="Arial"/>
                <w:sz w:val="20"/>
                <w:szCs w:val="20"/>
              </w:rPr>
              <w:t xml:space="preserve">Furthermore, the manuscript emphasizes statistical reliability by conducting experiments in triplicate and graphically presenting average results. The inclusion of Minimum Inhibitory Concentration (MIC) </w:t>
            </w:r>
            <w:r w:rsidRPr="00016843">
              <w:rPr>
                <w:rFonts w:ascii="Arial" w:hAnsi="Arial" w:cs="Arial"/>
                <w:sz w:val="20"/>
                <w:szCs w:val="20"/>
              </w:rPr>
              <w:lastRenderedPageBreak/>
              <w:t xml:space="preserve">and Minimum Bactericidal Concentration (MBC) assessments provides quantitative evidence of antimicrobial activity, supporting the claims made. Overall, the manuscript's adherence to established protocols and detailed data presentation underpins its scientific </w:t>
            </w:r>
            <w:proofErr w:type="spellStart"/>
            <w:r w:rsidRPr="00016843">
              <w:rPr>
                <w:rFonts w:ascii="Arial" w:hAnsi="Arial" w:cs="Arial"/>
                <w:sz w:val="20"/>
                <w:szCs w:val="20"/>
              </w:rPr>
              <w:t>rigo</w:t>
            </w:r>
            <w:proofErr w:type="spellEnd"/>
          </w:p>
        </w:tc>
        <w:tc>
          <w:tcPr>
            <w:tcW w:w="1520" w:type="pct"/>
          </w:tcPr>
          <w:p w14:paraId="707E80C5" w14:textId="77777777" w:rsidR="00F1171E" w:rsidRPr="00016843" w:rsidRDefault="00F1171E" w:rsidP="007222C8">
            <w:pPr>
              <w:pStyle w:val="Heading2"/>
              <w:jc w:val="left"/>
              <w:rPr>
                <w:rFonts w:ascii="Arial" w:hAnsi="Arial" w:cs="Arial"/>
                <w:b w:val="0"/>
                <w:lang w:val="en-GB"/>
              </w:rPr>
            </w:pPr>
          </w:p>
        </w:tc>
      </w:tr>
      <w:tr w:rsidR="00F1171E" w:rsidRPr="00016843" w14:paraId="5E535A75" w14:textId="77777777" w:rsidTr="006909DA">
        <w:trPr>
          <w:trHeight w:val="703"/>
        </w:trPr>
        <w:tc>
          <w:tcPr>
            <w:tcW w:w="1266" w:type="pct"/>
            <w:noWrap/>
          </w:tcPr>
          <w:p w14:paraId="7CF458F0" w14:textId="77777777" w:rsidR="00F1171E" w:rsidRPr="00016843" w:rsidRDefault="00F1171E" w:rsidP="007222C8">
            <w:pPr>
              <w:ind w:left="360"/>
              <w:rPr>
                <w:rFonts w:ascii="Arial" w:hAnsi="Arial" w:cs="Arial"/>
                <w:b/>
                <w:bCs/>
                <w:sz w:val="20"/>
                <w:szCs w:val="20"/>
                <w:lang w:val="en-GB"/>
              </w:rPr>
            </w:pPr>
            <w:r w:rsidRPr="00016843">
              <w:rPr>
                <w:rFonts w:ascii="Arial" w:hAnsi="Arial" w:cs="Arial"/>
                <w:b/>
                <w:bCs/>
                <w:sz w:val="20"/>
                <w:szCs w:val="20"/>
                <w:lang w:val="en-GB"/>
              </w:rPr>
              <w:t>Are the references sufficient and recent? If you have suggestions of additional references, please mention them in the review form.</w:t>
            </w:r>
          </w:p>
          <w:p w14:paraId="4504DE88" w14:textId="77777777" w:rsidR="00F1171E" w:rsidRPr="00016843" w:rsidRDefault="00F1171E" w:rsidP="007222C8">
            <w:pPr>
              <w:ind w:left="360"/>
              <w:rPr>
                <w:rFonts w:ascii="Arial" w:hAnsi="Arial" w:cs="Arial"/>
                <w:b/>
                <w:bCs/>
                <w:sz w:val="20"/>
                <w:szCs w:val="20"/>
                <w:u w:val="single"/>
                <w:lang w:val="en-GB"/>
              </w:rPr>
            </w:pPr>
            <w:r w:rsidRPr="00016843">
              <w:rPr>
                <w:rFonts w:ascii="Arial" w:hAnsi="Arial" w:cs="Arial"/>
                <w:b/>
                <w:bCs/>
                <w:sz w:val="20"/>
                <w:szCs w:val="20"/>
                <w:u w:val="single"/>
                <w:lang w:val="en-GB"/>
              </w:rPr>
              <w:t>-</w:t>
            </w:r>
          </w:p>
        </w:tc>
        <w:tc>
          <w:tcPr>
            <w:tcW w:w="2214" w:type="pct"/>
          </w:tcPr>
          <w:p w14:paraId="66D9DE3F" w14:textId="77777777" w:rsidR="00F1171E" w:rsidRPr="00016843" w:rsidRDefault="007B797E" w:rsidP="007222C8">
            <w:pPr>
              <w:pStyle w:val="ListParagraph"/>
              <w:ind w:left="0"/>
              <w:rPr>
                <w:rFonts w:ascii="Arial" w:hAnsi="Arial" w:cs="Arial"/>
                <w:sz w:val="20"/>
                <w:szCs w:val="20"/>
              </w:rPr>
            </w:pPr>
            <w:r w:rsidRPr="00016843">
              <w:rPr>
                <w:rFonts w:ascii="Arial" w:hAnsi="Arial" w:cs="Arial"/>
                <w:sz w:val="20"/>
                <w:szCs w:val="20"/>
              </w:rPr>
              <w:t>Suggestions for Additional References:</w:t>
            </w:r>
          </w:p>
          <w:p w14:paraId="4F3004BB" w14:textId="77777777" w:rsidR="007B797E" w:rsidRPr="00016843" w:rsidRDefault="007B797E" w:rsidP="007B797E">
            <w:pPr>
              <w:pStyle w:val="ListParagraph"/>
              <w:numPr>
                <w:ilvl w:val="0"/>
                <w:numId w:val="14"/>
              </w:numPr>
              <w:rPr>
                <w:rFonts w:ascii="Arial" w:hAnsi="Arial" w:cs="Arial"/>
                <w:sz w:val="20"/>
                <w:szCs w:val="20"/>
              </w:rPr>
            </w:pPr>
            <w:r w:rsidRPr="00016843">
              <w:rPr>
                <w:rStyle w:val="Strong"/>
                <w:rFonts w:ascii="Arial" w:eastAsia="MS Mincho" w:hAnsi="Arial" w:cs="Arial"/>
                <w:b w:val="0"/>
                <w:sz w:val="20"/>
                <w:szCs w:val="20"/>
              </w:rPr>
              <w:t>Ethical Frameworks and Standards</w:t>
            </w:r>
            <w:r w:rsidRPr="00016843">
              <w:rPr>
                <w:rFonts w:ascii="Arial" w:hAnsi="Arial" w:cs="Arial"/>
                <w:sz w:val="20"/>
                <w:szCs w:val="20"/>
              </w:rPr>
              <w:t xml:space="preserve"> (Declaration of Helsinki (2013 update), Belmont Report (1979):</w:t>
            </w:r>
          </w:p>
          <w:p w14:paraId="00325EB7" w14:textId="77777777" w:rsidR="007B797E" w:rsidRPr="00016843" w:rsidRDefault="007B797E" w:rsidP="007B797E">
            <w:pPr>
              <w:pStyle w:val="ListParagraph"/>
              <w:numPr>
                <w:ilvl w:val="0"/>
                <w:numId w:val="14"/>
              </w:numPr>
              <w:rPr>
                <w:rFonts w:ascii="Arial" w:hAnsi="Arial" w:cs="Arial"/>
                <w:sz w:val="20"/>
                <w:szCs w:val="20"/>
              </w:rPr>
            </w:pPr>
            <w:r w:rsidRPr="00016843">
              <w:rPr>
                <w:rFonts w:ascii="Arial" w:hAnsi="Arial" w:cs="Arial"/>
                <w:sz w:val="20"/>
                <w:szCs w:val="20"/>
              </w:rPr>
              <w:t>Include region-specific guidelines</w:t>
            </w:r>
          </w:p>
          <w:p w14:paraId="276851B9" w14:textId="77777777" w:rsidR="007B797E" w:rsidRPr="00016843" w:rsidRDefault="007B797E" w:rsidP="007B797E">
            <w:pPr>
              <w:pStyle w:val="ListParagraph"/>
              <w:numPr>
                <w:ilvl w:val="0"/>
                <w:numId w:val="14"/>
              </w:numPr>
              <w:rPr>
                <w:rFonts w:ascii="Arial" w:hAnsi="Arial" w:cs="Arial"/>
                <w:b/>
                <w:bCs/>
                <w:sz w:val="20"/>
                <w:szCs w:val="20"/>
                <w:lang w:val="en-GB"/>
              </w:rPr>
            </w:pPr>
            <w:r w:rsidRPr="00016843">
              <w:rPr>
                <w:rStyle w:val="Strong"/>
                <w:rFonts w:ascii="Arial" w:eastAsia="MS Mincho" w:hAnsi="Arial" w:cs="Arial"/>
                <w:b w:val="0"/>
                <w:sz w:val="20"/>
                <w:szCs w:val="20"/>
              </w:rPr>
              <w:t>Context-Specific References</w:t>
            </w:r>
          </w:p>
        </w:tc>
        <w:tc>
          <w:tcPr>
            <w:tcW w:w="1520" w:type="pct"/>
          </w:tcPr>
          <w:p w14:paraId="6813E55F" w14:textId="77777777" w:rsidR="00F1171E" w:rsidRPr="00016843" w:rsidRDefault="00F1171E" w:rsidP="007222C8">
            <w:pPr>
              <w:pStyle w:val="Heading2"/>
              <w:jc w:val="left"/>
              <w:rPr>
                <w:rFonts w:ascii="Arial" w:hAnsi="Arial" w:cs="Arial"/>
                <w:b w:val="0"/>
                <w:lang w:val="en-GB"/>
              </w:rPr>
            </w:pPr>
          </w:p>
        </w:tc>
      </w:tr>
      <w:tr w:rsidR="00F1171E" w:rsidRPr="00016843" w14:paraId="1C1FDE83" w14:textId="77777777" w:rsidTr="006909DA">
        <w:trPr>
          <w:trHeight w:val="386"/>
        </w:trPr>
        <w:tc>
          <w:tcPr>
            <w:tcW w:w="1266" w:type="pct"/>
            <w:noWrap/>
          </w:tcPr>
          <w:p w14:paraId="3EC21864" w14:textId="77777777" w:rsidR="00F1171E" w:rsidRPr="00016843" w:rsidRDefault="00F1171E" w:rsidP="007222C8">
            <w:pPr>
              <w:pStyle w:val="Heading2"/>
              <w:jc w:val="left"/>
              <w:rPr>
                <w:rFonts w:ascii="Arial" w:hAnsi="Arial" w:cs="Arial"/>
                <w:b w:val="0"/>
                <w:lang w:val="en-GB"/>
              </w:rPr>
            </w:pPr>
            <w:r w:rsidRPr="00016843">
              <w:rPr>
                <w:rFonts w:ascii="Arial" w:hAnsi="Arial" w:cs="Arial"/>
                <w:b w:val="0"/>
                <w:u w:val="single"/>
                <w:lang w:val="en-GB"/>
              </w:rPr>
              <w:t>Minor</w:t>
            </w:r>
            <w:r w:rsidRPr="00016843">
              <w:rPr>
                <w:rFonts w:ascii="Arial" w:hAnsi="Arial" w:cs="Arial"/>
                <w:b w:val="0"/>
                <w:lang w:val="en-GB"/>
              </w:rPr>
              <w:t xml:space="preserve"> REVISION comments</w:t>
            </w:r>
          </w:p>
          <w:p w14:paraId="372E7EA8" w14:textId="77777777" w:rsidR="00F1171E" w:rsidRPr="00016843" w:rsidRDefault="00F1171E" w:rsidP="007222C8">
            <w:pPr>
              <w:pStyle w:val="Heading2"/>
              <w:jc w:val="left"/>
              <w:rPr>
                <w:rFonts w:ascii="Arial" w:hAnsi="Arial" w:cs="Arial"/>
                <w:b w:val="0"/>
                <w:lang w:val="en-GB"/>
              </w:rPr>
            </w:pPr>
          </w:p>
          <w:p w14:paraId="0DBDD411" w14:textId="77777777" w:rsidR="00F1171E" w:rsidRPr="00016843" w:rsidRDefault="00F1171E" w:rsidP="007222C8">
            <w:pPr>
              <w:pStyle w:val="Heading2"/>
              <w:ind w:left="360"/>
              <w:jc w:val="left"/>
              <w:rPr>
                <w:rFonts w:ascii="Arial" w:hAnsi="Arial" w:cs="Arial"/>
                <w:bCs w:val="0"/>
                <w:lang w:val="en-GB"/>
              </w:rPr>
            </w:pPr>
            <w:r w:rsidRPr="00016843">
              <w:rPr>
                <w:rFonts w:ascii="Arial" w:hAnsi="Arial" w:cs="Arial"/>
                <w:bCs w:val="0"/>
                <w:lang w:val="en-GB"/>
              </w:rPr>
              <w:t>Is the language/English quality of the article suitable for scholarly communications?</w:t>
            </w:r>
          </w:p>
          <w:p w14:paraId="467D4C45" w14:textId="77777777" w:rsidR="00F1171E" w:rsidRPr="00016843" w:rsidRDefault="00F1171E" w:rsidP="007222C8">
            <w:pPr>
              <w:rPr>
                <w:rFonts w:ascii="Arial" w:hAnsi="Arial" w:cs="Arial"/>
                <w:sz w:val="20"/>
                <w:szCs w:val="20"/>
                <w:lang w:val="en-GB"/>
              </w:rPr>
            </w:pPr>
          </w:p>
        </w:tc>
        <w:tc>
          <w:tcPr>
            <w:tcW w:w="2214" w:type="pct"/>
          </w:tcPr>
          <w:p w14:paraId="4FE3C077" w14:textId="77777777" w:rsidR="00F1171E" w:rsidRPr="00016843" w:rsidRDefault="00F1171E" w:rsidP="007222C8">
            <w:pPr>
              <w:rPr>
                <w:rFonts w:ascii="Arial" w:hAnsi="Arial" w:cs="Arial"/>
                <w:sz w:val="20"/>
                <w:szCs w:val="20"/>
                <w:lang w:val="en-GB"/>
              </w:rPr>
            </w:pPr>
          </w:p>
          <w:p w14:paraId="6F5B876B" w14:textId="77777777" w:rsidR="00F1171E" w:rsidRPr="00016843" w:rsidRDefault="00BE04F0" w:rsidP="007222C8">
            <w:pPr>
              <w:rPr>
                <w:rFonts w:ascii="Arial" w:hAnsi="Arial" w:cs="Arial"/>
                <w:sz w:val="20"/>
                <w:szCs w:val="20"/>
              </w:rPr>
            </w:pPr>
            <w:r w:rsidRPr="00016843">
              <w:rPr>
                <w:rFonts w:ascii="Arial" w:hAnsi="Arial" w:cs="Arial"/>
                <w:sz w:val="20"/>
                <w:szCs w:val="20"/>
              </w:rPr>
              <w:t xml:space="preserve">The </w:t>
            </w:r>
            <w:r w:rsidR="007B797E" w:rsidRPr="00016843">
              <w:rPr>
                <w:rFonts w:ascii="Arial" w:hAnsi="Arial" w:cs="Arial"/>
                <w:sz w:val="20"/>
                <w:szCs w:val="20"/>
              </w:rPr>
              <w:t>language used in the article is mostly clear and professional, suitable for scholarly communications. However, there are areas where minor revisions can enhance clarity, conciseness, and grammatical accuracy. Below are the detailed points of feedback:</w:t>
            </w:r>
          </w:p>
          <w:p w14:paraId="25670D2F" w14:textId="77777777" w:rsidR="00F1171E" w:rsidRPr="00016843" w:rsidRDefault="00F1171E" w:rsidP="007222C8">
            <w:pPr>
              <w:rPr>
                <w:rFonts w:ascii="Arial" w:hAnsi="Arial" w:cs="Arial"/>
                <w:sz w:val="20"/>
                <w:szCs w:val="20"/>
                <w:lang w:val="en-GB"/>
              </w:rPr>
            </w:pPr>
          </w:p>
          <w:p w14:paraId="7D717A8B" w14:textId="77777777" w:rsidR="00954D38" w:rsidRPr="00016843" w:rsidRDefault="00954D38" w:rsidP="00954D38">
            <w:pPr>
              <w:pStyle w:val="ListParagraph"/>
              <w:numPr>
                <w:ilvl w:val="0"/>
                <w:numId w:val="15"/>
              </w:numPr>
              <w:rPr>
                <w:rFonts w:ascii="Arial" w:hAnsi="Arial" w:cs="Arial"/>
                <w:sz w:val="20"/>
                <w:szCs w:val="20"/>
              </w:rPr>
            </w:pPr>
            <w:r w:rsidRPr="00016843">
              <w:rPr>
                <w:rFonts w:ascii="Arial" w:hAnsi="Arial" w:cs="Arial"/>
                <w:sz w:val="20"/>
                <w:szCs w:val="20"/>
              </w:rPr>
              <w:t>Rephrase for clarity</w:t>
            </w:r>
          </w:p>
          <w:p w14:paraId="057728BA" w14:textId="77777777" w:rsidR="00954D38" w:rsidRPr="00016843" w:rsidRDefault="00954D38" w:rsidP="00954D38">
            <w:pPr>
              <w:pStyle w:val="ListParagraph"/>
              <w:numPr>
                <w:ilvl w:val="0"/>
                <w:numId w:val="15"/>
              </w:numPr>
              <w:rPr>
                <w:rFonts w:ascii="Arial" w:hAnsi="Arial" w:cs="Arial"/>
                <w:sz w:val="20"/>
                <w:szCs w:val="20"/>
              </w:rPr>
            </w:pPr>
            <w:r w:rsidRPr="00016843">
              <w:rPr>
                <w:rFonts w:ascii="Arial" w:hAnsi="Arial" w:cs="Arial"/>
                <w:sz w:val="20"/>
                <w:szCs w:val="20"/>
              </w:rPr>
              <w:t>Consistency and wording</w:t>
            </w:r>
          </w:p>
          <w:p w14:paraId="47620F5B" w14:textId="77777777" w:rsidR="00954D38" w:rsidRPr="00016843" w:rsidRDefault="00954D38" w:rsidP="00954D38">
            <w:pPr>
              <w:pStyle w:val="ListParagraph"/>
              <w:numPr>
                <w:ilvl w:val="0"/>
                <w:numId w:val="15"/>
              </w:numPr>
              <w:rPr>
                <w:rFonts w:ascii="Arial" w:hAnsi="Arial" w:cs="Arial"/>
                <w:sz w:val="20"/>
                <w:szCs w:val="20"/>
              </w:rPr>
            </w:pPr>
            <w:r w:rsidRPr="00016843">
              <w:rPr>
                <w:rFonts w:ascii="Arial" w:hAnsi="Arial" w:cs="Arial"/>
                <w:sz w:val="20"/>
                <w:szCs w:val="20"/>
              </w:rPr>
              <w:t>Consistency in method names</w:t>
            </w:r>
          </w:p>
          <w:p w14:paraId="17F40135" w14:textId="77777777" w:rsidR="00954D38" w:rsidRPr="00016843" w:rsidRDefault="00954D38" w:rsidP="00954D38">
            <w:pPr>
              <w:pStyle w:val="ListParagraph"/>
              <w:numPr>
                <w:ilvl w:val="0"/>
                <w:numId w:val="15"/>
              </w:numPr>
              <w:rPr>
                <w:rFonts w:ascii="Arial" w:hAnsi="Arial" w:cs="Arial"/>
                <w:sz w:val="20"/>
                <w:szCs w:val="20"/>
              </w:rPr>
            </w:pPr>
            <w:r w:rsidRPr="00016843">
              <w:rPr>
                <w:rStyle w:val="Strong"/>
                <w:rFonts w:ascii="Arial" w:eastAsia="MS Mincho" w:hAnsi="Arial" w:cs="Arial"/>
                <w:b w:val="0"/>
                <w:sz w:val="20"/>
                <w:szCs w:val="20"/>
              </w:rPr>
              <w:t>Grammatical improvements</w:t>
            </w:r>
            <w:r w:rsidRPr="00016843">
              <w:rPr>
                <w:rFonts w:ascii="Arial" w:hAnsi="Arial" w:cs="Arial"/>
                <w:sz w:val="20"/>
                <w:szCs w:val="20"/>
              </w:rPr>
              <w:t>:</w:t>
            </w:r>
          </w:p>
          <w:p w14:paraId="06DF1E5B" w14:textId="77777777" w:rsidR="00954D38" w:rsidRPr="00016843" w:rsidRDefault="00954D38" w:rsidP="00954D38">
            <w:pPr>
              <w:pStyle w:val="ListParagraph"/>
              <w:numPr>
                <w:ilvl w:val="0"/>
                <w:numId w:val="15"/>
              </w:numPr>
              <w:rPr>
                <w:rFonts w:ascii="Arial" w:hAnsi="Arial" w:cs="Arial"/>
                <w:sz w:val="20"/>
                <w:szCs w:val="20"/>
              </w:rPr>
            </w:pPr>
            <w:r w:rsidRPr="00016843">
              <w:rPr>
                <w:rFonts w:ascii="Arial" w:hAnsi="Arial" w:cs="Arial"/>
                <w:sz w:val="20"/>
                <w:szCs w:val="20"/>
              </w:rPr>
              <w:t>Consistency in references to figures</w:t>
            </w:r>
          </w:p>
          <w:p w14:paraId="389C4334" w14:textId="77777777" w:rsidR="00954D38" w:rsidRPr="00016843" w:rsidRDefault="00954D38" w:rsidP="00954D38">
            <w:pPr>
              <w:pStyle w:val="ListParagraph"/>
              <w:numPr>
                <w:ilvl w:val="0"/>
                <w:numId w:val="15"/>
              </w:numPr>
              <w:rPr>
                <w:rFonts w:ascii="Arial" w:hAnsi="Arial" w:cs="Arial"/>
                <w:sz w:val="20"/>
                <w:szCs w:val="20"/>
              </w:rPr>
            </w:pPr>
            <w:r w:rsidRPr="00016843">
              <w:rPr>
                <w:rFonts w:ascii="Arial" w:hAnsi="Arial" w:cs="Arial"/>
                <w:sz w:val="20"/>
                <w:szCs w:val="20"/>
              </w:rPr>
              <w:t>Spelling and Typographical Consistency</w:t>
            </w:r>
          </w:p>
          <w:p w14:paraId="4EE309B5" w14:textId="53B5F072" w:rsidR="00954D38" w:rsidRPr="0071225D" w:rsidRDefault="00954D38" w:rsidP="0071225D">
            <w:pPr>
              <w:pStyle w:val="ListParagraph"/>
              <w:numPr>
                <w:ilvl w:val="0"/>
                <w:numId w:val="15"/>
              </w:numPr>
              <w:rPr>
                <w:rFonts w:ascii="Arial" w:hAnsi="Arial" w:cs="Arial"/>
                <w:sz w:val="20"/>
                <w:szCs w:val="20"/>
                <w:lang w:val="en-GB"/>
              </w:rPr>
            </w:pPr>
            <w:r w:rsidRPr="00016843">
              <w:rPr>
                <w:rFonts w:ascii="Arial" w:hAnsi="Arial" w:cs="Arial"/>
                <w:sz w:val="20"/>
                <w:szCs w:val="20"/>
              </w:rPr>
              <w:t>Avoid redundant phrases</w:t>
            </w:r>
          </w:p>
          <w:p w14:paraId="76F85452" w14:textId="77777777" w:rsidR="00F1171E" w:rsidRPr="00016843" w:rsidRDefault="00F1171E" w:rsidP="007222C8">
            <w:pPr>
              <w:rPr>
                <w:rFonts w:ascii="Arial" w:hAnsi="Arial" w:cs="Arial"/>
                <w:sz w:val="20"/>
                <w:szCs w:val="20"/>
                <w:lang w:val="en-GB"/>
              </w:rPr>
            </w:pPr>
          </w:p>
        </w:tc>
        <w:tc>
          <w:tcPr>
            <w:tcW w:w="1520" w:type="pct"/>
          </w:tcPr>
          <w:p w14:paraId="2FC7B963" w14:textId="77777777" w:rsidR="00F1171E" w:rsidRPr="00016843" w:rsidRDefault="00F1171E" w:rsidP="007222C8">
            <w:pPr>
              <w:rPr>
                <w:rFonts w:ascii="Arial" w:hAnsi="Arial" w:cs="Arial"/>
                <w:sz w:val="20"/>
                <w:szCs w:val="20"/>
                <w:lang w:val="en-GB"/>
              </w:rPr>
            </w:pPr>
          </w:p>
        </w:tc>
      </w:tr>
      <w:tr w:rsidR="00F1171E" w:rsidRPr="00016843" w14:paraId="0996633E" w14:textId="77777777" w:rsidTr="006909DA">
        <w:trPr>
          <w:trHeight w:val="737"/>
        </w:trPr>
        <w:tc>
          <w:tcPr>
            <w:tcW w:w="1266" w:type="pct"/>
            <w:noWrap/>
          </w:tcPr>
          <w:p w14:paraId="0DA80F60" w14:textId="77777777" w:rsidR="00F1171E" w:rsidRPr="00016843" w:rsidRDefault="00F1171E" w:rsidP="007222C8">
            <w:pPr>
              <w:pStyle w:val="Heading2"/>
              <w:jc w:val="left"/>
              <w:rPr>
                <w:rFonts w:ascii="Arial" w:hAnsi="Arial" w:cs="Arial"/>
                <w:b w:val="0"/>
                <w:bCs w:val="0"/>
                <w:lang w:val="en-GB"/>
              </w:rPr>
            </w:pPr>
            <w:r w:rsidRPr="00016843">
              <w:rPr>
                <w:rFonts w:ascii="Arial" w:hAnsi="Arial" w:cs="Arial"/>
                <w:bCs w:val="0"/>
                <w:u w:val="single"/>
                <w:lang w:val="en-GB"/>
              </w:rPr>
              <w:t>Optional/</w:t>
            </w:r>
            <w:proofErr w:type="spellStart"/>
            <w:r w:rsidRPr="00016843">
              <w:rPr>
                <w:rFonts w:ascii="Arial" w:hAnsi="Arial" w:cs="Arial"/>
                <w:bCs w:val="0"/>
                <w:u w:val="single"/>
                <w:lang w:val="en-GB"/>
              </w:rPr>
              <w:t>General</w:t>
            </w:r>
            <w:r w:rsidRPr="00016843">
              <w:rPr>
                <w:rFonts w:ascii="Arial" w:hAnsi="Arial" w:cs="Arial"/>
                <w:b w:val="0"/>
                <w:bCs w:val="0"/>
                <w:lang w:val="en-GB"/>
              </w:rPr>
              <w:t>comments</w:t>
            </w:r>
            <w:proofErr w:type="spellEnd"/>
          </w:p>
          <w:p w14:paraId="036289CE" w14:textId="77777777" w:rsidR="00F1171E" w:rsidRPr="00016843" w:rsidRDefault="00F1171E" w:rsidP="007222C8">
            <w:pPr>
              <w:pStyle w:val="Heading2"/>
              <w:jc w:val="left"/>
              <w:rPr>
                <w:rFonts w:ascii="Arial" w:hAnsi="Arial" w:cs="Arial"/>
                <w:b w:val="0"/>
                <w:lang w:val="en-GB"/>
              </w:rPr>
            </w:pPr>
          </w:p>
        </w:tc>
        <w:tc>
          <w:tcPr>
            <w:tcW w:w="2214" w:type="pct"/>
          </w:tcPr>
          <w:p w14:paraId="764D5297" w14:textId="77777777" w:rsidR="00F1171E" w:rsidRPr="00016843" w:rsidRDefault="00F1171E" w:rsidP="007222C8">
            <w:pPr>
              <w:rPr>
                <w:rFonts w:ascii="Arial" w:hAnsi="Arial" w:cs="Arial"/>
                <w:sz w:val="20"/>
                <w:szCs w:val="20"/>
                <w:lang w:val="en-GB"/>
              </w:rPr>
            </w:pPr>
          </w:p>
          <w:p w14:paraId="0F6651E3" w14:textId="77777777" w:rsidR="00F1171E" w:rsidRPr="00016843" w:rsidRDefault="00F1171E" w:rsidP="007222C8">
            <w:pPr>
              <w:rPr>
                <w:rFonts w:ascii="Arial" w:hAnsi="Arial" w:cs="Arial"/>
                <w:sz w:val="20"/>
                <w:szCs w:val="20"/>
                <w:lang w:val="en-GB"/>
              </w:rPr>
            </w:pPr>
          </w:p>
          <w:p w14:paraId="63601BA6" w14:textId="77777777" w:rsidR="00F1171E" w:rsidRPr="00016843" w:rsidRDefault="00F1171E" w:rsidP="007222C8">
            <w:pPr>
              <w:rPr>
                <w:rFonts w:ascii="Arial" w:hAnsi="Arial" w:cs="Arial"/>
                <w:sz w:val="20"/>
                <w:szCs w:val="20"/>
                <w:lang w:val="en-GB"/>
              </w:rPr>
            </w:pPr>
          </w:p>
          <w:p w14:paraId="79119342" w14:textId="77777777" w:rsidR="00F1171E" w:rsidRPr="00016843" w:rsidRDefault="00F1171E" w:rsidP="007222C8">
            <w:pPr>
              <w:rPr>
                <w:rFonts w:ascii="Arial" w:hAnsi="Arial" w:cs="Arial"/>
                <w:sz w:val="20"/>
                <w:szCs w:val="20"/>
                <w:lang w:val="en-GB"/>
              </w:rPr>
            </w:pPr>
          </w:p>
        </w:tc>
        <w:tc>
          <w:tcPr>
            <w:tcW w:w="1520" w:type="pct"/>
          </w:tcPr>
          <w:p w14:paraId="324B30A8" w14:textId="77777777" w:rsidR="00F1171E" w:rsidRPr="00016843" w:rsidRDefault="00F1171E" w:rsidP="007222C8">
            <w:pPr>
              <w:rPr>
                <w:rFonts w:ascii="Arial" w:hAnsi="Arial" w:cs="Arial"/>
                <w:sz w:val="20"/>
                <w:szCs w:val="20"/>
                <w:lang w:val="en-GB"/>
              </w:rPr>
            </w:pPr>
          </w:p>
        </w:tc>
      </w:tr>
    </w:tbl>
    <w:p w14:paraId="6969FC91" w14:textId="77777777" w:rsidR="00F1171E" w:rsidRPr="00016843"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9268"/>
        <w:gridCol w:w="6391"/>
      </w:tblGrid>
      <w:tr w:rsidR="00B157AF" w:rsidRPr="00016843" w14:paraId="7F171744" w14:textId="77777777" w:rsidTr="006909D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B206BBE" w14:textId="77777777" w:rsidR="00B157AF" w:rsidRPr="00016843" w:rsidRDefault="00B157AF" w:rsidP="000E1870">
            <w:pPr>
              <w:rPr>
                <w:rFonts w:ascii="Arial" w:eastAsia="Arial Unicode MS" w:hAnsi="Arial" w:cs="Arial"/>
                <w:b/>
                <w:sz w:val="20"/>
                <w:szCs w:val="20"/>
                <w:u w:val="single"/>
                <w:lang w:val="en-GB"/>
              </w:rPr>
            </w:pPr>
            <w:r w:rsidRPr="00016843">
              <w:rPr>
                <w:rFonts w:ascii="Arial" w:eastAsia="Arial Unicode MS" w:hAnsi="Arial" w:cs="Arial"/>
                <w:b/>
                <w:sz w:val="20"/>
                <w:szCs w:val="20"/>
                <w:highlight w:val="yellow"/>
                <w:u w:val="single"/>
                <w:lang w:val="en-GB"/>
              </w:rPr>
              <w:t>PART  2:</w:t>
            </w:r>
            <w:r w:rsidRPr="00016843">
              <w:rPr>
                <w:rFonts w:ascii="Arial" w:eastAsia="Arial Unicode MS" w:hAnsi="Arial" w:cs="Arial"/>
                <w:b/>
                <w:sz w:val="20"/>
                <w:szCs w:val="20"/>
                <w:u w:val="single"/>
                <w:lang w:val="en-GB"/>
              </w:rPr>
              <w:t xml:space="preserve"> </w:t>
            </w:r>
          </w:p>
          <w:p w14:paraId="55D247BE" w14:textId="77777777" w:rsidR="00B157AF" w:rsidRPr="00016843" w:rsidRDefault="00B157AF" w:rsidP="000E1870">
            <w:pPr>
              <w:rPr>
                <w:rFonts w:ascii="Arial" w:eastAsia="Arial Unicode MS" w:hAnsi="Arial" w:cs="Arial"/>
                <w:b/>
                <w:sz w:val="20"/>
                <w:szCs w:val="20"/>
                <w:u w:val="single"/>
                <w:lang w:val="en-GB"/>
              </w:rPr>
            </w:pPr>
          </w:p>
        </w:tc>
      </w:tr>
      <w:tr w:rsidR="00B157AF" w:rsidRPr="00016843" w14:paraId="269A666F" w14:textId="77777777" w:rsidTr="006909DA">
        <w:tc>
          <w:tcPr>
            <w:tcW w:w="1266" w:type="pct"/>
            <w:shd w:val="clear" w:color="auto" w:fill="auto"/>
            <w:noWrap/>
            <w:tcMar>
              <w:top w:w="0" w:type="dxa"/>
              <w:left w:w="108" w:type="dxa"/>
              <w:bottom w:w="0" w:type="dxa"/>
              <w:right w:w="108" w:type="dxa"/>
            </w:tcMar>
            <w:vAlign w:val="center"/>
          </w:tcPr>
          <w:p w14:paraId="33E48457" w14:textId="77777777" w:rsidR="00B157AF" w:rsidRPr="00016843" w:rsidRDefault="00B157AF" w:rsidP="000E1870">
            <w:pPr>
              <w:rPr>
                <w:rFonts w:ascii="Arial" w:eastAsia="Arial Unicode MS" w:hAnsi="Arial" w:cs="Arial"/>
                <w:sz w:val="20"/>
                <w:szCs w:val="20"/>
                <w:lang w:val="en-GB"/>
              </w:rPr>
            </w:pPr>
          </w:p>
        </w:tc>
        <w:tc>
          <w:tcPr>
            <w:tcW w:w="2210" w:type="pct"/>
            <w:shd w:val="clear" w:color="auto" w:fill="auto"/>
            <w:tcMar>
              <w:top w:w="0" w:type="dxa"/>
              <w:left w:w="108" w:type="dxa"/>
              <w:bottom w:w="0" w:type="dxa"/>
              <w:right w:w="108" w:type="dxa"/>
            </w:tcMar>
          </w:tcPr>
          <w:p w14:paraId="60B5C22A" w14:textId="77777777" w:rsidR="00B157AF" w:rsidRPr="00016843" w:rsidRDefault="00B157AF" w:rsidP="000E1870">
            <w:pPr>
              <w:rPr>
                <w:rFonts w:ascii="Arial" w:eastAsia="MS Mincho" w:hAnsi="Arial" w:cs="Arial"/>
                <w:b/>
                <w:bCs/>
                <w:sz w:val="20"/>
                <w:szCs w:val="20"/>
                <w:lang w:val="en-GB"/>
              </w:rPr>
            </w:pPr>
            <w:r w:rsidRPr="00016843">
              <w:rPr>
                <w:rFonts w:ascii="Arial" w:eastAsia="MS Mincho" w:hAnsi="Arial" w:cs="Arial"/>
                <w:b/>
                <w:bCs/>
                <w:sz w:val="20"/>
                <w:szCs w:val="20"/>
                <w:lang w:val="en-GB"/>
              </w:rPr>
              <w:t>Reviewer’s comment</w:t>
            </w:r>
          </w:p>
        </w:tc>
        <w:tc>
          <w:tcPr>
            <w:tcW w:w="1524" w:type="pct"/>
            <w:shd w:val="clear" w:color="auto" w:fill="auto"/>
          </w:tcPr>
          <w:p w14:paraId="37E6A6D1" w14:textId="77777777" w:rsidR="00B157AF" w:rsidRPr="00016843" w:rsidRDefault="00B157AF" w:rsidP="000E1870">
            <w:pPr>
              <w:rPr>
                <w:rFonts w:ascii="Arial" w:eastAsia="MS Mincho" w:hAnsi="Arial" w:cs="Arial"/>
                <w:bCs/>
                <w:sz w:val="20"/>
                <w:szCs w:val="20"/>
                <w:lang w:val="en-GB"/>
              </w:rPr>
            </w:pPr>
            <w:r w:rsidRPr="00016843">
              <w:rPr>
                <w:rFonts w:ascii="Arial" w:eastAsia="MS Mincho" w:hAnsi="Arial" w:cs="Arial"/>
                <w:b/>
                <w:bCs/>
                <w:sz w:val="20"/>
                <w:szCs w:val="20"/>
                <w:lang w:val="en-GB"/>
              </w:rPr>
              <w:t>Author’s comment</w:t>
            </w:r>
            <w:r w:rsidRPr="00016843">
              <w:rPr>
                <w:rFonts w:ascii="Arial" w:eastAsia="MS Mincho" w:hAnsi="Arial" w:cs="Arial"/>
                <w:bCs/>
                <w:sz w:val="20"/>
                <w:szCs w:val="20"/>
                <w:lang w:val="en-GB"/>
              </w:rPr>
              <w:t xml:space="preserve"> </w:t>
            </w:r>
            <w:r w:rsidRPr="0001684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157AF" w:rsidRPr="00016843" w14:paraId="5560EE17" w14:textId="77777777" w:rsidTr="006909DA">
        <w:trPr>
          <w:trHeight w:val="890"/>
        </w:trPr>
        <w:tc>
          <w:tcPr>
            <w:tcW w:w="1266" w:type="pct"/>
            <w:shd w:val="clear" w:color="auto" w:fill="auto"/>
            <w:noWrap/>
            <w:tcMar>
              <w:top w:w="0" w:type="dxa"/>
              <w:left w:w="108" w:type="dxa"/>
              <w:bottom w:w="0" w:type="dxa"/>
              <w:right w:w="108" w:type="dxa"/>
            </w:tcMar>
            <w:vAlign w:val="center"/>
          </w:tcPr>
          <w:p w14:paraId="0C58873F" w14:textId="77777777" w:rsidR="00B157AF" w:rsidRPr="00016843" w:rsidRDefault="00B157AF" w:rsidP="000E1870">
            <w:pPr>
              <w:rPr>
                <w:rFonts w:ascii="Arial" w:eastAsia="Arial Unicode MS" w:hAnsi="Arial" w:cs="Arial"/>
                <w:b/>
                <w:sz w:val="20"/>
                <w:szCs w:val="20"/>
                <w:lang w:val="en-GB"/>
              </w:rPr>
            </w:pPr>
            <w:r w:rsidRPr="00016843">
              <w:rPr>
                <w:rFonts w:ascii="Arial" w:eastAsia="Arial Unicode MS" w:hAnsi="Arial" w:cs="Arial"/>
                <w:b/>
                <w:sz w:val="20"/>
                <w:szCs w:val="20"/>
                <w:lang w:val="en-GB"/>
              </w:rPr>
              <w:t xml:space="preserve">Are there ethical issues in this manuscript? </w:t>
            </w:r>
          </w:p>
          <w:p w14:paraId="3B4923F9" w14:textId="77777777" w:rsidR="00B157AF" w:rsidRPr="00016843" w:rsidRDefault="00B157AF" w:rsidP="000E1870">
            <w:pPr>
              <w:rPr>
                <w:rFonts w:ascii="Arial" w:eastAsia="Arial Unicode MS" w:hAnsi="Arial" w:cs="Arial"/>
                <w:sz w:val="20"/>
                <w:szCs w:val="20"/>
                <w:lang w:val="en-GB"/>
              </w:rPr>
            </w:pPr>
          </w:p>
        </w:tc>
        <w:tc>
          <w:tcPr>
            <w:tcW w:w="2210" w:type="pct"/>
            <w:shd w:val="clear" w:color="auto" w:fill="auto"/>
            <w:tcMar>
              <w:top w:w="0" w:type="dxa"/>
              <w:left w:w="108" w:type="dxa"/>
              <w:bottom w:w="0" w:type="dxa"/>
              <w:right w:w="108" w:type="dxa"/>
            </w:tcMar>
            <w:vAlign w:val="center"/>
          </w:tcPr>
          <w:p w14:paraId="7FF5E81C" w14:textId="77777777" w:rsidR="00B157AF" w:rsidRPr="00016843" w:rsidRDefault="00B157AF" w:rsidP="000E1870">
            <w:pPr>
              <w:rPr>
                <w:rFonts w:ascii="Arial" w:eastAsia="Arial Unicode MS" w:hAnsi="Arial" w:cs="Arial"/>
                <w:i/>
                <w:iCs/>
                <w:sz w:val="20"/>
                <w:szCs w:val="20"/>
                <w:u w:val="single"/>
                <w:lang w:val="en-GB"/>
              </w:rPr>
            </w:pPr>
            <w:r w:rsidRPr="00016843">
              <w:rPr>
                <w:rFonts w:ascii="Arial" w:eastAsia="Arial Unicode MS" w:hAnsi="Arial" w:cs="Arial"/>
                <w:i/>
                <w:iCs/>
                <w:sz w:val="20"/>
                <w:szCs w:val="20"/>
                <w:u w:val="single"/>
                <w:lang w:val="en-GB"/>
              </w:rPr>
              <w:t xml:space="preserve">(If yes, </w:t>
            </w:r>
            <w:proofErr w:type="gramStart"/>
            <w:r w:rsidRPr="00016843">
              <w:rPr>
                <w:rFonts w:ascii="Arial" w:eastAsia="Arial Unicode MS" w:hAnsi="Arial" w:cs="Arial"/>
                <w:i/>
                <w:iCs/>
                <w:sz w:val="20"/>
                <w:szCs w:val="20"/>
                <w:u w:val="single"/>
                <w:lang w:val="en-GB"/>
              </w:rPr>
              <w:t>Kindly</w:t>
            </w:r>
            <w:proofErr w:type="gramEnd"/>
            <w:r w:rsidRPr="00016843">
              <w:rPr>
                <w:rFonts w:ascii="Arial" w:eastAsia="Arial Unicode MS" w:hAnsi="Arial" w:cs="Arial"/>
                <w:i/>
                <w:iCs/>
                <w:sz w:val="20"/>
                <w:szCs w:val="20"/>
                <w:u w:val="single"/>
                <w:lang w:val="en-GB"/>
              </w:rPr>
              <w:t xml:space="preserve"> please write down the ethical issues here in details)</w:t>
            </w:r>
          </w:p>
          <w:p w14:paraId="17D68684" w14:textId="77777777" w:rsidR="00B157AF" w:rsidRPr="00016843" w:rsidRDefault="00B157AF" w:rsidP="000E1870">
            <w:pPr>
              <w:rPr>
                <w:rFonts w:ascii="Arial" w:eastAsia="Arial Unicode MS" w:hAnsi="Arial" w:cs="Arial"/>
                <w:sz w:val="20"/>
                <w:szCs w:val="20"/>
                <w:lang w:val="en-GB"/>
              </w:rPr>
            </w:pPr>
          </w:p>
          <w:p w14:paraId="1BF331AC" w14:textId="77777777" w:rsidR="00B157AF" w:rsidRPr="00016843" w:rsidRDefault="00B157AF" w:rsidP="000E1870">
            <w:pPr>
              <w:rPr>
                <w:rFonts w:ascii="Arial" w:eastAsia="Arial Unicode MS" w:hAnsi="Arial" w:cs="Arial"/>
                <w:sz w:val="20"/>
                <w:szCs w:val="20"/>
                <w:lang w:val="en-GB"/>
              </w:rPr>
            </w:pPr>
          </w:p>
        </w:tc>
        <w:tc>
          <w:tcPr>
            <w:tcW w:w="1524" w:type="pct"/>
            <w:shd w:val="clear" w:color="auto" w:fill="auto"/>
            <w:vAlign w:val="center"/>
          </w:tcPr>
          <w:p w14:paraId="5BC56468" w14:textId="77777777" w:rsidR="00B157AF" w:rsidRPr="00016843" w:rsidRDefault="00B157AF" w:rsidP="000E1870">
            <w:pPr>
              <w:rPr>
                <w:rFonts w:ascii="Arial" w:eastAsia="Arial Unicode MS" w:hAnsi="Arial" w:cs="Arial"/>
                <w:sz w:val="20"/>
                <w:szCs w:val="20"/>
                <w:lang w:val="en-GB"/>
              </w:rPr>
            </w:pPr>
          </w:p>
          <w:p w14:paraId="3EA9CA37" w14:textId="77777777" w:rsidR="00B157AF" w:rsidRPr="00016843" w:rsidRDefault="00B157AF" w:rsidP="000E1870">
            <w:pPr>
              <w:rPr>
                <w:rFonts w:ascii="Arial" w:eastAsia="Arial Unicode MS" w:hAnsi="Arial" w:cs="Arial"/>
                <w:sz w:val="20"/>
                <w:szCs w:val="20"/>
                <w:lang w:val="en-GB"/>
              </w:rPr>
            </w:pPr>
          </w:p>
          <w:p w14:paraId="12BF710E" w14:textId="77777777" w:rsidR="00B157AF" w:rsidRPr="00016843" w:rsidRDefault="00B157AF" w:rsidP="000E1870">
            <w:pPr>
              <w:rPr>
                <w:rFonts w:ascii="Arial" w:eastAsia="Arial Unicode MS" w:hAnsi="Arial" w:cs="Arial"/>
                <w:sz w:val="20"/>
                <w:szCs w:val="20"/>
                <w:lang w:val="en-GB"/>
              </w:rPr>
            </w:pPr>
          </w:p>
        </w:tc>
      </w:tr>
    </w:tbl>
    <w:p w14:paraId="029AD78E" w14:textId="77777777" w:rsidR="00B157AF" w:rsidRPr="00016843" w:rsidRDefault="00B157AF" w:rsidP="00B157AF">
      <w:pPr>
        <w:rPr>
          <w:rFonts w:ascii="Arial" w:hAnsi="Arial" w:cs="Arial"/>
          <w:sz w:val="20"/>
          <w:szCs w:val="20"/>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B157AF" w:rsidRPr="00016843" w14:paraId="1EDA599F" w14:textId="77777777" w:rsidTr="006909DA">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67BA0CDF" w14:textId="77777777" w:rsidR="00B157AF" w:rsidRPr="00016843" w:rsidRDefault="00B157AF" w:rsidP="000E1870">
            <w:pPr>
              <w:rPr>
                <w:rFonts w:ascii="Arial" w:hAnsi="Arial" w:cs="Arial"/>
                <w:bCs/>
                <w:sz w:val="20"/>
                <w:szCs w:val="20"/>
                <w:u w:val="single"/>
                <w:lang w:val="en-GB"/>
              </w:rPr>
            </w:pPr>
            <w:r w:rsidRPr="00016843">
              <w:rPr>
                <w:rFonts w:ascii="Arial" w:hAnsi="Arial" w:cs="Arial"/>
                <w:bCs/>
                <w:sz w:val="20"/>
                <w:szCs w:val="20"/>
                <w:u w:val="single"/>
                <w:lang w:val="en-GB"/>
              </w:rPr>
              <w:t>Reviewer Details:</w:t>
            </w:r>
          </w:p>
          <w:p w14:paraId="678CC7D0" w14:textId="77777777" w:rsidR="00B157AF" w:rsidRPr="00016843" w:rsidRDefault="00B157AF" w:rsidP="000E1870">
            <w:pPr>
              <w:rPr>
                <w:rFonts w:ascii="Arial" w:hAnsi="Arial" w:cs="Arial"/>
                <w:bCs/>
                <w:sz w:val="20"/>
                <w:szCs w:val="20"/>
                <w:u w:val="single"/>
                <w:lang w:val="en-GB"/>
              </w:rPr>
            </w:pPr>
          </w:p>
        </w:tc>
      </w:tr>
      <w:tr w:rsidR="00B157AF" w:rsidRPr="00016843" w14:paraId="2DD0CE8E" w14:textId="77777777" w:rsidTr="006909DA">
        <w:trPr>
          <w:trHeight w:val="77"/>
        </w:trPr>
        <w:tc>
          <w:tcPr>
            <w:tcW w:w="5310" w:type="dxa"/>
            <w:shd w:val="clear" w:color="auto" w:fill="auto"/>
            <w:noWrap/>
            <w:tcMar>
              <w:top w:w="0" w:type="dxa"/>
              <w:left w:w="108" w:type="dxa"/>
              <w:bottom w:w="0" w:type="dxa"/>
              <w:right w:w="108" w:type="dxa"/>
            </w:tcMar>
            <w:vAlign w:val="center"/>
          </w:tcPr>
          <w:p w14:paraId="39ACE12F" w14:textId="77777777" w:rsidR="00B157AF" w:rsidRPr="00016843" w:rsidRDefault="00B157AF" w:rsidP="000E1870">
            <w:pPr>
              <w:rPr>
                <w:rFonts w:ascii="Arial" w:hAnsi="Arial" w:cs="Arial"/>
                <w:sz w:val="20"/>
                <w:szCs w:val="20"/>
                <w:lang w:val="en-GB"/>
              </w:rPr>
            </w:pPr>
            <w:r w:rsidRPr="00016843">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3847994C" w14:textId="64DCE5EE" w:rsidR="00B157AF" w:rsidRPr="00016843" w:rsidRDefault="008A1257" w:rsidP="000E1870">
            <w:pPr>
              <w:rPr>
                <w:rFonts w:ascii="Arial" w:hAnsi="Arial" w:cs="Arial"/>
                <w:b/>
                <w:bCs/>
                <w:sz w:val="20"/>
                <w:szCs w:val="20"/>
              </w:rPr>
            </w:pPr>
            <w:r w:rsidRPr="00016843">
              <w:rPr>
                <w:rFonts w:ascii="Arial" w:hAnsi="Arial" w:cs="Arial"/>
                <w:b/>
                <w:bCs/>
                <w:color w:val="000000"/>
                <w:sz w:val="20"/>
                <w:szCs w:val="20"/>
              </w:rPr>
              <w:t>M.</w:t>
            </w:r>
            <w:r w:rsidRPr="00016843">
              <w:rPr>
                <w:rFonts w:ascii="Arial" w:hAnsi="Arial" w:cs="Arial"/>
                <w:b/>
                <w:bCs/>
                <w:color w:val="000000"/>
                <w:sz w:val="20"/>
                <w:szCs w:val="20"/>
              </w:rPr>
              <w:t xml:space="preserve"> </w:t>
            </w:r>
            <w:proofErr w:type="spellStart"/>
            <w:r w:rsidRPr="00016843">
              <w:rPr>
                <w:rFonts w:ascii="Arial" w:hAnsi="Arial" w:cs="Arial"/>
                <w:b/>
                <w:bCs/>
                <w:color w:val="000000"/>
                <w:sz w:val="20"/>
                <w:szCs w:val="20"/>
              </w:rPr>
              <w:t>Sankareswaran</w:t>
            </w:r>
            <w:proofErr w:type="spellEnd"/>
          </w:p>
        </w:tc>
      </w:tr>
      <w:tr w:rsidR="00B157AF" w:rsidRPr="00016843" w14:paraId="0CF3E54E" w14:textId="77777777" w:rsidTr="006909DA">
        <w:trPr>
          <w:trHeight w:val="77"/>
        </w:trPr>
        <w:tc>
          <w:tcPr>
            <w:tcW w:w="5310" w:type="dxa"/>
            <w:shd w:val="clear" w:color="auto" w:fill="auto"/>
            <w:noWrap/>
            <w:tcMar>
              <w:top w:w="0" w:type="dxa"/>
              <w:left w:w="108" w:type="dxa"/>
              <w:bottom w:w="0" w:type="dxa"/>
              <w:right w:w="108" w:type="dxa"/>
            </w:tcMar>
            <w:vAlign w:val="center"/>
          </w:tcPr>
          <w:p w14:paraId="3E90DE2D" w14:textId="77777777" w:rsidR="00B157AF" w:rsidRPr="00016843" w:rsidRDefault="00B157AF" w:rsidP="000E1870">
            <w:pPr>
              <w:rPr>
                <w:rFonts w:ascii="Arial" w:hAnsi="Arial" w:cs="Arial"/>
                <w:sz w:val="20"/>
                <w:szCs w:val="20"/>
                <w:lang w:val="en-GB"/>
              </w:rPr>
            </w:pPr>
            <w:r w:rsidRPr="00016843">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56A82DDA" w14:textId="2C033BD9" w:rsidR="00B157AF" w:rsidRPr="00016843" w:rsidRDefault="00A07DBB" w:rsidP="000E1870">
            <w:pPr>
              <w:rPr>
                <w:rFonts w:ascii="Arial" w:hAnsi="Arial" w:cs="Arial"/>
                <w:b/>
                <w:bCs/>
                <w:sz w:val="20"/>
                <w:szCs w:val="20"/>
                <w:lang w:val="en-GB"/>
              </w:rPr>
            </w:pPr>
            <w:proofErr w:type="spellStart"/>
            <w:r w:rsidRPr="00016843">
              <w:rPr>
                <w:rFonts w:ascii="Arial" w:hAnsi="Arial" w:cs="Arial"/>
                <w:b/>
                <w:bCs/>
                <w:color w:val="000000"/>
                <w:sz w:val="20"/>
                <w:szCs w:val="20"/>
              </w:rPr>
              <w:t>Muthayammal</w:t>
            </w:r>
            <w:proofErr w:type="spellEnd"/>
            <w:r w:rsidRPr="00016843">
              <w:rPr>
                <w:rFonts w:ascii="Arial" w:hAnsi="Arial" w:cs="Arial"/>
                <w:b/>
                <w:bCs/>
                <w:color w:val="000000"/>
                <w:sz w:val="20"/>
                <w:szCs w:val="20"/>
              </w:rPr>
              <w:t xml:space="preserve"> College of Arts and Science (Autonomous), India</w:t>
            </w:r>
          </w:p>
        </w:tc>
      </w:tr>
    </w:tbl>
    <w:p w14:paraId="03B0A467" w14:textId="77777777" w:rsidR="00B157AF" w:rsidRPr="00016843" w:rsidRDefault="00B157AF" w:rsidP="00B157AF">
      <w:pPr>
        <w:rPr>
          <w:rFonts w:ascii="Arial" w:hAnsi="Arial" w:cs="Arial"/>
          <w:sz w:val="20"/>
          <w:szCs w:val="20"/>
        </w:rPr>
      </w:pPr>
    </w:p>
    <w:p w14:paraId="2A9FA656" w14:textId="77777777" w:rsidR="00B157AF" w:rsidRPr="00016843" w:rsidRDefault="00B157AF" w:rsidP="00B157AF">
      <w:pPr>
        <w:rPr>
          <w:rFonts w:ascii="Arial" w:hAnsi="Arial" w:cs="Arial"/>
          <w:sz w:val="20"/>
          <w:szCs w:val="20"/>
        </w:rPr>
      </w:pPr>
    </w:p>
    <w:p w14:paraId="49BCFD72" w14:textId="77777777" w:rsidR="00B157AF" w:rsidRPr="00016843" w:rsidRDefault="00B157AF" w:rsidP="00B157AF">
      <w:pPr>
        <w:rPr>
          <w:rFonts w:ascii="Arial" w:hAnsi="Arial" w:cs="Arial"/>
          <w:sz w:val="20"/>
          <w:szCs w:val="20"/>
        </w:rPr>
      </w:pPr>
    </w:p>
    <w:p w14:paraId="7253CDD6" w14:textId="77777777" w:rsidR="00F1171E" w:rsidRPr="00016843" w:rsidRDefault="00F1171E" w:rsidP="00F1171E">
      <w:pPr>
        <w:pStyle w:val="BodyText"/>
        <w:rPr>
          <w:rFonts w:ascii="Arial" w:hAnsi="Arial" w:cs="Arial"/>
          <w:b/>
          <w:bCs/>
          <w:sz w:val="20"/>
          <w:szCs w:val="20"/>
          <w:u w:val="single"/>
          <w:lang w:val="en-GB"/>
        </w:rPr>
      </w:pPr>
    </w:p>
    <w:sectPr w:rsidR="00F1171E" w:rsidRPr="0001684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916D0" w14:textId="77777777" w:rsidR="00307141" w:rsidRPr="0000007A" w:rsidRDefault="00307141" w:rsidP="0099583E">
      <w:r>
        <w:separator/>
      </w:r>
    </w:p>
  </w:endnote>
  <w:endnote w:type="continuationSeparator" w:id="0">
    <w:p w14:paraId="00E6983D" w14:textId="77777777" w:rsidR="00307141" w:rsidRPr="0000007A" w:rsidRDefault="0030714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FCE5E"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4F6BC" w14:textId="77777777" w:rsidR="00307141" w:rsidRPr="0000007A" w:rsidRDefault="00307141" w:rsidP="0099583E">
      <w:r>
        <w:separator/>
      </w:r>
    </w:p>
  </w:footnote>
  <w:footnote w:type="continuationSeparator" w:id="0">
    <w:p w14:paraId="110303F2" w14:textId="77777777" w:rsidR="00307141" w:rsidRPr="0000007A" w:rsidRDefault="0030714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92A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282947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687635D"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7062C"/>
    <w:multiLevelType w:val="hybridMultilevel"/>
    <w:tmpl w:val="CB16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75D7D50"/>
    <w:multiLevelType w:val="hybridMultilevel"/>
    <w:tmpl w:val="61C4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3187C"/>
    <w:multiLevelType w:val="hybridMultilevel"/>
    <w:tmpl w:val="1084E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53DF1"/>
    <w:multiLevelType w:val="hybridMultilevel"/>
    <w:tmpl w:val="FC2E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D8F5749"/>
    <w:multiLevelType w:val="hybridMultilevel"/>
    <w:tmpl w:val="9A761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7682313">
    <w:abstractNumId w:val="6"/>
  </w:num>
  <w:num w:numId="2" w16cid:durableId="760763191">
    <w:abstractNumId w:val="10"/>
  </w:num>
  <w:num w:numId="3" w16cid:durableId="2014720219">
    <w:abstractNumId w:val="9"/>
  </w:num>
  <w:num w:numId="4" w16cid:durableId="1953433296">
    <w:abstractNumId w:val="11"/>
  </w:num>
  <w:num w:numId="5" w16cid:durableId="283586927">
    <w:abstractNumId w:val="8"/>
  </w:num>
  <w:num w:numId="6" w16cid:durableId="2119374520">
    <w:abstractNumId w:val="0"/>
  </w:num>
  <w:num w:numId="7" w16cid:durableId="522521363">
    <w:abstractNumId w:val="2"/>
  </w:num>
  <w:num w:numId="8" w16cid:durableId="1764915579">
    <w:abstractNumId w:val="13"/>
  </w:num>
  <w:num w:numId="9" w16cid:durableId="289626130">
    <w:abstractNumId w:val="12"/>
  </w:num>
  <w:num w:numId="10" w16cid:durableId="459033146">
    <w:abstractNumId w:val="5"/>
  </w:num>
  <w:num w:numId="11" w16cid:durableId="875460806">
    <w:abstractNumId w:val="4"/>
  </w:num>
  <w:num w:numId="12" w16cid:durableId="1801459274">
    <w:abstractNumId w:val="14"/>
  </w:num>
  <w:num w:numId="13" w16cid:durableId="865338685">
    <w:abstractNumId w:val="7"/>
  </w:num>
  <w:num w:numId="14" w16cid:durableId="1508786402">
    <w:abstractNumId w:val="3"/>
  </w:num>
  <w:num w:numId="15" w16cid:durableId="300304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075B"/>
    <w:rsid w:val="00012C8B"/>
    <w:rsid w:val="00016843"/>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7141"/>
    <w:rsid w:val="00312559"/>
    <w:rsid w:val="003204B8"/>
    <w:rsid w:val="00326D7D"/>
    <w:rsid w:val="0033018A"/>
    <w:rsid w:val="0033692F"/>
    <w:rsid w:val="003513C7"/>
    <w:rsid w:val="00353718"/>
    <w:rsid w:val="00374F93"/>
    <w:rsid w:val="00377F1D"/>
    <w:rsid w:val="00394901"/>
    <w:rsid w:val="003A04E7"/>
    <w:rsid w:val="003A1C45"/>
    <w:rsid w:val="003A4991"/>
    <w:rsid w:val="003A6E1A"/>
    <w:rsid w:val="003B1D0B"/>
    <w:rsid w:val="003B2172"/>
    <w:rsid w:val="003B3E07"/>
    <w:rsid w:val="003D1BDE"/>
    <w:rsid w:val="003E746A"/>
    <w:rsid w:val="00401AB4"/>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2C9"/>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9DA"/>
    <w:rsid w:val="00690EDE"/>
    <w:rsid w:val="006936D1"/>
    <w:rsid w:val="00696CAD"/>
    <w:rsid w:val="006A5E0B"/>
    <w:rsid w:val="006A7405"/>
    <w:rsid w:val="006C3797"/>
    <w:rsid w:val="006D467C"/>
    <w:rsid w:val="006D5393"/>
    <w:rsid w:val="006E01EE"/>
    <w:rsid w:val="006E6014"/>
    <w:rsid w:val="006E7D6E"/>
    <w:rsid w:val="00700A1D"/>
    <w:rsid w:val="00700EF2"/>
    <w:rsid w:val="00701186"/>
    <w:rsid w:val="00707BE1"/>
    <w:rsid w:val="0071225D"/>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797E"/>
    <w:rsid w:val="007C6CDF"/>
    <w:rsid w:val="007D0246"/>
    <w:rsid w:val="007F5873"/>
    <w:rsid w:val="008126B7"/>
    <w:rsid w:val="00813F4F"/>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A1257"/>
    <w:rsid w:val="008B265C"/>
    <w:rsid w:val="008C2F62"/>
    <w:rsid w:val="008C4B1F"/>
    <w:rsid w:val="008C75AD"/>
    <w:rsid w:val="008D020E"/>
    <w:rsid w:val="008E5067"/>
    <w:rsid w:val="008F036B"/>
    <w:rsid w:val="008F36E4"/>
    <w:rsid w:val="0090720F"/>
    <w:rsid w:val="009245E3"/>
    <w:rsid w:val="00942DEE"/>
    <w:rsid w:val="00944F67"/>
    <w:rsid w:val="00954D38"/>
    <w:rsid w:val="009553EC"/>
    <w:rsid w:val="00955E45"/>
    <w:rsid w:val="00962B70"/>
    <w:rsid w:val="00967C62"/>
    <w:rsid w:val="00982766"/>
    <w:rsid w:val="009852C4"/>
    <w:rsid w:val="0099583E"/>
    <w:rsid w:val="009A0242"/>
    <w:rsid w:val="009A59ED"/>
    <w:rsid w:val="009B101F"/>
    <w:rsid w:val="009B239B"/>
    <w:rsid w:val="009C5642"/>
    <w:rsid w:val="009C7925"/>
    <w:rsid w:val="009E13C3"/>
    <w:rsid w:val="009E6A30"/>
    <w:rsid w:val="009F07D4"/>
    <w:rsid w:val="009F29EB"/>
    <w:rsid w:val="009F7A71"/>
    <w:rsid w:val="00A001A0"/>
    <w:rsid w:val="00A07DBB"/>
    <w:rsid w:val="00A12C83"/>
    <w:rsid w:val="00A13E15"/>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2CB3"/>
    <w:rsid w:val="00B03A45"/>
    <w:rsid w:val="00B157AF"/>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04F0"/>
    <w:rsid w:val="00BE13EF"/>
    <w:rsid w:val="00BE21A1"/>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77B6"/>
    <w:rsid w:val="00D709EB"/>
    <w:rsid w:val="00D73969"/>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EF74FA"/>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EAAD4"/>
  <w15:docId w15:val="{E9303B89-BD05-4A2A-8951-4E896CD3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7B797E"/>
    <w:rPr>
      <w:i/>
      <w:iCs/>
    </w:rPr>
  </w:style>
  <w:style w:type="character" w:styleId="Strong">
    <w:name w:val="Strong"/>
    <w:basedOn w:val="DefaultParagraphFont"/>
    <w:uiPriority w:val="22"/>
    <w:qFormat/>
    <w:rsid w:val="007B79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95058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5566089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73051322">
      <w:bodyDiv w:val="1"/>
      <w:marLeft w:val="0"/>
      <w:marRight w:val="0"/>
      <w:marTop w:val="0"/>
      <w:marBottom w:val="0"/>
      <w:divBdr>
        <w:top w:val="none" w:sz="0" w:space="0" w:color="auto"/>
        <w:left w:val="none" w:sz="0" w:space="0" w:color="auto"/>
        <w:bottom w:val="none" w:sz="0" w:space="0" w:color="auto"/>
        <w:right w:val="none" w:sz="0" w:space="0" w:color="auto"/>
      </w:divBdr>
      <w:divsChild>
        <w:div w:id="1835337360">
          <w:marLeft w:val="0"/>
          <w:marRight w:val="0"/>
          <w:marTop w:val="0"/>
          <w:marBottom w:val="0"/>
          <w:divBdr>
            <w:top w:val="none" w:sz="0" w:space="0" w:color="auto"/>
            <w:left w:val="none" w:sz="0" w:space="0" w:color="auto"/>
            <w:bottom w:val="none" w:sz="0" w:space="0" w:color="auto"/>
            <w:right w:val="none" w:sz="0" w:space="0" w:color="auto"/>
          </w:divBdr>
          <w:divsChild>
            <w:div w:id="32733769">
              <w:marLeft w:val="0"/>
              <w:marRight w:val="0"/>
              <w:marTop w:val="0"/>
              <w:marBottom w:val="0"/>
              <w:divBdr>
                <w:top w:val="none" w:sz="0" w:space="0" w:color="auto"/>
                <w:left w:val="none" w:sz="0" w:space="0" w:color="auto"/>
                <w:bottom w:val="none" w:sz="0" w:space="0" w:color="auto"/>
                <w:right w:val="none" w:sz="0" w:space="0" w:color="auto"/>
              </w:divBdr>
              <w:divsChild>
                <w:div w:id="1054544514">
                  <w:marLeft w:val="0"/>
                  <w:marRight w:val="0"/>
                  <w:marTop w:val="0"/>
                  <w:marBottom w:val="0"/>
                  <w:divBdr>
                    <w:top w:val="none" w:sz="0" w:space="0" w:color="auto"/>
                    <w:left w:val="none" w:sz="0" w:space="0" w:color="auto"/>
                    <w:bottom w:val="none" w:sz="0" w:space="0" w:color="auto"/>
                    <w:right w:val="none" w:sz="0" w:space="0" w:color="auto"/>
                  </w:divBdr>
                  <w:divsChild>
                    <w:div w:id="1000546798">
                      <w:marLeft w:val="0"/>
                      <w:marRight w:val="0"/>
                      <w:marTop w:val="0"/>
                      <w:marBottom w:val="0"/>
                      <w:divBdr>
                        <w:top w:val="none" w:sz="0" w:space="0" w:color="auto"/>
                        <w:left w:val="none" w:sz="0" w:space="0" w:color="auto"/>
                        <w:bottom w:val="none" w:sz="0" w:space="0" w:color="auto"/>
                        <w:right w:val="none" w:sz="0" w:space="0" w:color="auto"/>
                      </w:divBdr>
                      <w:divsChild>
                        <w:div w:id="2111268089">
                          <w:marLeft w:val="0"/>
                          <w:marRight w:val="0"/>
                          <w:marTop w:val="0"/>
                          <w:marBottom w:val="0"/>
                          <w:divBdr>
                            <w:top w:val="none" w:sz="0" w:space="0" w:color="auto"/>
                            <w:left w:val="none" w:sz="0" w:space="0" w:color="auto"/>
                            <w:bottom w:val="none" w:sz="0" w:space="0" w:color="auto"/>
                            <w:right w:val="none" w:sz="0" w:space="0" w:color="auto"/>
                          </w:divBdr>
                          <w:divsChild>
                            <w:div w:id="13132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104</cp:revision>
  <dcterms:created xsi:type="dcterms:W3CDTF">2023-08-30T09:21:00Z</dcterms:created>
  <dcterms:modified xsi:type="dcterms:W3CDTF">2025-02-18T10:09:00Z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