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9"/>
        <w:gridCol w:w="15625"/>
      </w:tblGrid>
      <w:tr w:rsidR="00602F7D" w:rsidRPr="003126D4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3126D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3126D4" w14:paraId="127EAD7E" w14:textId="77777777" w:rsidTr="00A066F1">
        <w:trPr>
          <w:trHeight w:val="413"/>
        </w:trPr>
        <w:tc>
          <w:tcPr>
            <w:tcW w:w="1268" w:type="pct"/>
          </w:tcPr>
          <w:p w14:paraId="3C159AA5" w14:textId="77777777" w:rsidR="0000007A" w:rsidRPr="003126D4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126D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3126D4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3A741AF" w:rsidR="0000007A" w:rsidRPr="003126D4" w:rsidRDefault="00054B7D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3126D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Engineering Research: Perspectives on Recent Advances</w:t>
              </w:r>
            </w:hyperlink>
          </w:p>
        </w:tc>
      </w:tr>
      <w:tr w:rsidR="0000007A" w:rsidRPr="003126D4" w14:paraId="73C90375" w14:textId="77777777" w:rsidTr="00A066F1">
        <w:trPr>
          <w:trHeight w:val="290"/>
        </w:trPr>
        <w:tc>
          <w:tcPr>
            <w:tcW w:w="1268" w:type="pct"/>
          </w:tcPr>
          <w:p w14:paraId="20D28135" w14:textId="77777777" w:rsidR="0000007A" w:rsidRPr="003126D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126D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675AB40" w:rsidR="0000007A" w:rsidRPr="003126D4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3126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3126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3126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F6205C" w:rsidRPr="003126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3941</w:t>
            </w:r>
          </w:p>
        </w:tc>
      </w:tr>
      <w:tr w:rsidR="0000007A" w:rsidRPr="003126D4" w14:paraId="05B60576" w14:textId="77777777" w:rsidTr="00A066F1">
        <w:trPr>
          <w:trHeight w:val="331"/>
        </w:trPr>
        <w:tc>
          <w:tcPr>
            <w:tcW w:w="1268" w:type="pct"/>
          </w:tcPr>
          <w:p w14:paraId="0196A627" w14:textId="77777777" w:rsidR="0000007A" w:rsidRPr="003126D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126D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CB2470E" w:rsidR="0000007A" w:rsidRPr="003126D4" w:rsidRDefault="00F6205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3126D4">
              <w:rPr>
                <w:rFonts w:ascii="Arial" w:hAnsi="Arial" w:cs="Arial"/>
                <w:b/>
                <w:sz w:val="20"/>
                <w:szCs w:val="20"/>
                <w:lang w:val="en-GB"/>
              </w:rPr>
              <w:t>Design and Modeling of Brushless Doubly-Fed Reluctance Generator for Wind Mills</w:t>
            </w:r>
          </w:p>
        </w:tc>
      </w:tr>
      <w:tr w:rsidR="00CF0BBB" w:rsidRPr="003126D4" w14:paraId="6D508B1C" w14:textId="77777777" w:rsidTr="00A066F1">
        <w:trPr>
          <w:trHeight w:val="332"/>
        </w:trPr>
        <w:tc>
          <w:tcPr>
            <w:tcW w:w="1268" w:type="pct"/>
          </w:tcPr>
          <w:p w14:paraId="32FC28F7" w14:textId="77777777" w:rsidR="00CF0BBB" w:rsidRPr="003126D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126D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DF36FE5" w:rsidR="00CF0BBB" w:rsidRPr="003126D4" w:rsidRDefault="00F6205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126D4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3126D4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9"/>
        <w:gridCol w:w="9448"/>
        <w:gridCol w:w="6211"/>
      </w:tblGrid>
      <w:tr w:rsidR="00F1171E" w:rsidRPr="003126D4" w14:paraId="71A94C1F" w14:textId="77777777" w:rsidTr="00DA38E1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3126D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126D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3126D4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3126D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126D4" w14:paraId="5EA12279" w14:textId="77777777" w:rsidTr="00DA38E1">
        <w:tc>
          <w:tcPr>
            <w:tcW w:w="1266" w:type="pct"/>
            <w:noWrap/>
          </w:tcPr>
          <w:p w14:paraId="7AE9682F" w14:textId="77777777" w:rsidR="00F1171E" w:rsidRPr="003126D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53" w:type="pct"/>
          </w:tcPr>
          <w:p w14:paraId="674EDCCA" w14:textId="77777777" w:rsidR="00F1171E" w:rsidRPr="003126D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126D4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480" w:type="pct"/>
          </w:tcPr>
          <w:p w14:paraId="57792C30" w14:textId="77777777" w:rsidR="00F1171E" w:rsidRPr="003126D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126D4">
              <w:rPr>
                <w:rFonts w:ascii="Arial" w:hAnsi="Arial" w:cs="Arial"/>
                <w:lang w:val="en-GB"/>
              </w:rPr>
              <w:t>Author’s Feedback</w:t>
            </w:r>
            <w:r w:rsidRPr="003126D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126D4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3126D4" w14:paraId="5C0AB4EC" w14:textId="77777777" w:rsidTr="00DA38E1">
        <w:trPr>
          <w:trHeight w:val="971"/>
        </w:trPr>
        <w:tc>
          <w:tcPr>
            <w:tcW w:w="1266" w:type="pct"/>
            <w:noWrap/>
          </w:tcPr>
          <w:p w14:paraId="3373D4EF" w14:textId="60B48589" w:rsidR="00F1171E" w:rsidRPr="00CC145E" w:rsidRDefault="00F1171E" w:rsidP="00CC145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126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</w:tc>
        <w:tc>
          <w:tcPr>
            <w:tcW w:w="2253" w:type="pct"/>
          </w:tcPr>
          <w:p w14:paraId="7DBC9196" w14:textId="3A46CF4F" w:rsidR="00F1171E" w:rsidRPr="003126D4" w:rsidRDefault="008D1E2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126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manuscript provides a detailed investigation into the design and </w:t>
            </w:r>
            <w:proofErr w:type="spellStart"/>
            <w:r w:rsidRPr="003126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modeling</w:t>
            </w:r>
            <w:proofErr w:type="spellEnd"/>
            <w:r w:rsidRPr="003126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 a Brushless Doubly-Fed Reluctance Generator (BDFRG) tailored for windmills, a critical area in renewable energy systems. The content is highly relevant, offering insights into the application of advanced electrical machines in sustainable energy generation.</w:t>
            </w:r>
          </w:p>
        </w:tc>
        <w:tc>
          <w:tcPr>
            <w:tcW w:w="1480" w:type="pct"/>
          </w:tcPr>
          <w:p w14:paraId="462A339C" w14:textId="77777777" w:rsidR="00F1171E" w:rsidRPr="003126D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126D4" w14:paraId="0D8B5B2C" w14:textId="77777777" w:rsidTr="00DA38E1">
        <w:trPr>
          <w:trHeight w:val="593"/>
        </w:trPr>
        <w:tc>
          <w:tcPr>
            <w:tcW w:w="1266" w:type="pct"/>
            <w:noWrap/>
          </w:tcPr>
          <w:p w14:paraId="21CBA5FE" w14:textId="77777777" w:rsidR="00F1171E" w:rsidRPr="003126D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126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0275B919" w14:textId="369746EB" w:rsidR="00F1171E" w:rsidRPr="00CC145E" w:rsidRDefault="00F1171E" w:rsidP="00CC145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126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253" w:type="pct"/>
          </w:tcPr>
          <w:p w14:paraId="794AA9A7" w14:textId="5907CD50" w:rsidR="00F1171E" w:rsidRPr="003126D4" w:rsidRDefault="008D1E20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126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the title "Design and Modeling of Brushless Doubly-Fed Reluctance Generator for Wind Mills" is appropriate. However, a slight modification could improve clarity</w:t>
            </w:r>
          </w:p>
        </w:tc>
        <w:tc>
          <w:tcPr>
            <w:tcW w:w="1480" w:type="pct"/>
          </w:tcPr>
          <w:p w14:paraId="405B6701" w14:textId="77777777" w:rsidR="00F1171E" w:rsidRPr="003126D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126D4" w14:paraId="5604762A" w14:textId="77777777" w:rsidTr="00DA38E1">
        <w:trPr>
          <w:trHeight w:val="1262"/>
        </w:trPr>
        <w:tc>
          <w:tcPr>
            <w:tcW w:w="1266" w:type="pct"/>
            <w:noWrap/>
          </w:tcPr>
          <w:p w14:paraId="3635573D" w14:textId="77777777" w:rsidR="00F1171E" w:rsidRPr="003126D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126D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3126D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53" w:type="pct"/>
          </w:tcPr>
          <w:p w14:paraId="65CF6377" w14:textId="77777777" w:rsidR="008D1E20" w:rsidRPr="003126D4" w:rsidRDefault="008D1E20" w:rsidP="008D1E2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126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abstract effectively summarizes the key aspects of the research. However, it can be enhanced by:</w:t>
            </w:r>
          </w:p>
          <w:p w14:paraId="6027B5CE" w14:textId="77777777" w:rsidR="008D1E20" w:rsidRPr="003126D4" w:rsidRDefault="008D1E20" w:rsidP="008D1E2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03CE9D3D" w14:textId="77777777" w:rsidR="008D1E20" w:rsidRPr="003126D4" w:rsidRDefault="008D1E20" w:rsidP="008D1E2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126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Including specific numerical results or findings to demonstrate the performance improvements of the BDFRG.</w:t>
            </w:r>
          </w:p>
          <w:p w14:paraId="0FB7E83A" w14:textId="5C2FF357" w:rsidR="00F1171E" w:rsidRPr="00CC145E" w:rsidRDefault="008D1E20" w:rsidP="00CC145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126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Mentioning any comparison with existing technologies or alternative designs.</w:t>
            </w:r>
          </w:p>
        </w:tc>
        <w:tc>
          <w:tcPr>
            <w:tcW w:w="1480" w:type="pct"/>
          </w:tcPr>
          <w:p w14:paraId="1D54B730" w14:textId="77777777" w:rsidR="00F1171E" w:rsidRPr="003126D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126D4" w14:paraId="2F579F54" w14:textId="77777777" w:rsidTr="00DA38E1">
        <w:trPr>
          <w:trHeight w:val="859"/>
        </w:trPr>
        <w:tc>
          <w:tcPr>
            <w:tcW w:w="1266" w:type="pct"/>
            <w:noWrap/>
          </w:tcPr>
          <w:p w14:paraId="04361F46" w14:textId="368783AB" w:rsidR="00F1171E" w:rsidRPr="003126D4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126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53" w:type="pct"/>
          </w:tcPr>
          <w:p w14:paraId="2B5A7721" w14:textId="17EEB664" w:rsidR="00F1171E" w:rsidRPr="003126D4" w:rsidRDefault="008D1E2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126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the manuscript appears to be scientifically robust and technically sound. It aligns with established methodologies for designing and </w:t>
            </w:r>
            <w:proofErr w:type="spellStart"/>
            <w:r w:rsidRPr="003126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modeling</w:t>
            </w:r>
            <w:proofErr w:type="spellEnd"/>
            <w:r w:rsidRPr="003126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electrical machines. The equations and design parameters are logically presented, supporting the claims made. However, further experimental validation could strengthen the scientific merit of the work.</w:t>
            </w:r>
          </w:p>
        </w:tc>
        <w:tc>
          <w:tcPr>
            <w:tcW w:w="1480" w:type="pct"/>
          </w:tcPr>
          <w:p w14:paraId="4898F764" w14:textId="77777777" w:rsidR="00F1171E" w:rsidRPr="003126D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126D4" w14:paraId="73739464" w14:textId="77777777" w:rsidTr="00DA38E1">
        <w:trPr>
          <w:trHeight w:val="703"/>
        </w:trPr>
        <w:tc>
          <w:tcPr>
            <w:tcW w:w="1266" w:type="pct"/>
            <w:noWrap/>
          </w:tcPr>
          <w:p w14:paraId="09C25322" w14:textId="77777777" w:rsidR="00F1171E" w:rsidRPr="003126D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126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3126D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126D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53" w:type="pct"/>
          </w:tcPr>
          <w:p w14:paraId="24FE0567" w14:textId="49D31D45" w:rsidR="00F1171E" w:rsidRPr="003126D4" w:rsidRDefault="008D1E2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126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references provide a solid foundation, but some are slightly outdated. It is recommended to include more recent works (post-2020) to reflect the latest advancements in BDFRG technology and renewable energy systems.</w:t>
            </w:r>
          </w:p>
        </w:tc>
        <w:tc>
          <w:tcPr>
            <w:tcW w:w="1480" w:type="pct"/>
          </w:tcPr>
          <w:p w14:paraId="40220055" w14:textId="77777777" w:rsidR="00F1171E" w:rsidRPr="003126D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126D4" w14:paraId="73CC4A50" w14:textId="77777777" w:rsidTr="00DA38E1">
        <w:trPr>
          <w:trHeight w:val="791"/>
        </w:trPr>
        <w:tc>
          <w:tcPr>
            <w:tcW w:w="1266" w:type="pct"/>
            <w:noWrap/>
          </w:tcPr>
          <w:p w14:paraId="029CE8D0" w14:textId="77777777" w:rsidR="00F1171E" w:rsidRPr="003126D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7722B85E" w14:textId="52A03E34" w:rsidR="00F1171E" w:rsidRPr="00CC145E" w:rsidRDefault="00F1171E" w:rsidP="00CC145E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126D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2253" w:type="pct"/>
          </w:tcPr>
          <w:p w14:paraId="0A07EA75" w14:textId="77777777" w:rsidR="00F1171E" w:rsidRPr="003126D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4460DA37" w:rsidR="00F1171E" w:rsidRPr="003126D4" w:rsidRDefault="008D1E20" w:rsidP="00CC145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126D4">
              <w:rPr>
                <w:rFonts w:ascii="Arial" w:hAnsi="Arial" w:cs="Arial"/>
                <w:sz w:val="20"/>
                <w:szCs w:val="20"/>
                <w:lang w:val="en-GB"/>
              </w:rPr>
              <w:t>The manuscript is written in clear and precise English, suitable for scholarly communication. Minor grammatical refinements can further enhance readability.</w:t>
            </w:r>
          </w:p>
        </w:tc>
        <w:tc>
          <w:tcPr>
            <w:tcW w:w="1480" w:type="pct"/>
          </w:tcPr>
          <w:p w14:paraId="0351CA58" w14:textId="77777777" w:rsidR="00F1171E" w:rsidRPr="003126D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126D4" w14:paraId="20A16C0C" w14:textId="77777777" w:rsidTr="00DA38E1">
        <w:trPr>
          <w:trHeight w:val="449"/>
        </w:trPr>
        <w:tc>
          <w:tcPr>
            <w:tcW w:w="1266" w:type="pct"/>
            <w:noWrap/>
          </w:tcPr>
          <w:p w14:paraId="7F4BCFAE" w14:textId="77777777" w:rsidR="00F1171E" w:rsidRPr="003126D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126D4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3126D4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3126D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3126D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53" w:type="pct"/>
          </w:tcPr>
          <w:p w14:paraId="1E347C61" w14:textId="77777777" w:rsidR="00F1171E" w:rsidRPr="003126D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3126D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80" w:type="pct"/>
          </w:tcPr>
          <w:p w14:paraId="465E098E" w14:textId="77777777" w:rsidR="00F1171E" w:rsidRPr="003126D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3126D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9"/>
        <w:gridCol w:w="9452"/>
        <w:gridCol w:w="6207"/>
      </w:tblGrid>
      <w:tr w:rsidR="00311EE3" w:rsidRPr="003126D4" w14:paraId="7E9B087B" w14:textId="77777777" w:rsidTr="007F6A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89ABF" w14:textId="77777777" w:rsidR="00311EE3" w:rsidRPr="003126D4" w:rsidRDefault="00311EE3" w:rsidP="00311EE3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0" w:name="_Hlk167897572"/>
            <w:r w:rsidRPr="003126D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PART  2: </w:t>
            </w:r>
          </w:p>
          <w:p w14:paraId="4415423D" w14:textId="77777777" w:rsidR="00311EE3" w:rsidRPr="003126D4" w:rsidRDefault="00311EE3" w:rsidP="00311EE3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311EE3" w:rsidRPr="003126D4" w14:paraId="6566AFCE" w14:textId="77777777" w:rsidTr="00313CF6">
        <w:tc>
          <w:tcPr>
            <w:tcW w:w="126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14D39" w14:textId="77777777" w:rsidR="00311EE3" w:rsidRPr="003126D4" w:rsidRDefault="00311EE3" w:rsidP="00311EE3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2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C44F7" w14:textId="77777777" w:rsidR="00311EE3" w:rsidRPr="003126D4" w:rsidRDefault="00311EE3" w:rsidP="00311EE3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126D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480" w:type="pct"/>
            <w:shd w:val="clear" w:color="auto" w:fill="auto"/>
          </w:tcPr>
          <w:p w14:paraId="1E8EBFF4" w14:textId="77777777" w:rsidR="00311EE3" w:rsidRPr="003126D4" w:rsidRDefault="00311EE3" w:rsidP="00311EE3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126D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3126D4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311EE3" w:rsidRPr="003126D4" w14:paraId="1D78C59F" w14:textId="77777777" w:rsidTr="00313CF6">
        <w:trPr>
          <w:trHeight w:val="539"/>
        </w:trPr>
        <w:tc>
          <w:tcPr>
            <w:tcW w:w="126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8E4BE" w14:textId="1C0D3F98" w:rsidR="00311EE3" w:rsidRPr="003126D4" w:rsidRDefault="00311EE3" w:rsidP="00CC145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126D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</w:tc>
        <w:tc>
          <w:tcPr>
            <w:tcW w:w="22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C46B5" w14:textId="77777777" w:rsidR="00311EE3" w:rsidRPr="003126D4" w:rsidRDefault="00311EE3" w:rsidP="00311EE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3126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126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126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22D904ED" w14:textId="77777777" w:rsidR="00311EE3" w:rsidRPr="003126D4" w:rsidRDefault="00311EE3" w:rsidP="00311EE3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480" w:type="pct"/>
            <w:shd w:val="clear" w:color="auto" w:fill="auto"/>
            <w:vAlign w:val="center"/>
          </w:tcPr>
          <w:p w14:paraId="7A9ECC3D" w14:textId="77777777" w:rsidR="00311EE3" w:rsidRPr="003126D4" w:rsidRDefault="00311EE3" w:rsidP="00311EE3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390E3FB0" w14:textId="77777777" w:rsidR="00311EE3" w:rsidRPr="003126D4" w:rsidRDefault="00311EE3" w:rsidP="00311EE3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72AE22C5" w14:textId="77777777" w:rsidR="00311EE3" w:rsidRPr="003126D4" w:rsidRDefault="00311EE3" w:rsidP="00311EE3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</w:tbl>
    <w:p w14:paraId="3D422786" w14:textId="77777777" w:rsidR="00311EE3" w:rsidRPr="003126D4" w:rsidRDefault="00311EE3" w:rsidP="00311EE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209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0"/>
        <w:gridCol w:w="15660"/>
      </w:tblGrid>
      <w:tr w:rsidR="00311EE3" w:rsidRPr="003126D4" w14:paraId="79D4C9B8" w14:textId="77777777" w:rsidTr="00DE5230">
        <w:tc>
          <w:tcPr>
            <w:tcW w:w="209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C8264" w14:textId="77777777" w:rsidR="00311EE3" w:rsidRPr="003126D4" w:rsidRDefault="00311EE3" w:rsidP="00311EE3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1" w:name="_Hlk190947612"/>
            <w:r w:rsidRPr="003126D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233315B7" w14:textId="77777777" w:rsidR="00311EE3" w:rsidRPr="003126D4" w:rsidRDefault="00311EE3" w:rsidP="00311EE3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311EE3" w:rsidRPr="003126D4" w14:paraId="75E6F00D" w14:textId="77777777" w:rsidTr="00DE5230">
        <w:trPr>
          <w:trHeight w:val="77"/>
        </w:trPr>
        <w:tc>
          <w:tcPr>
            <w:tcW w:w="53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B998B" w14:textId="77777777" w:rsidR="00311EE3" w:rsidRPr="003126D4" w:rsidRDefault="00311EE3" w:rsidP="00311EE3">
            <w:pPr>
              <w:pStyle w:val="BodyTex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126D4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15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E5385" w14:textId="2735F130" w:rsidR="00311EE3" w:rsidRPr="003126D4" w:rsidRDefault="00AC4637" w:rsidP="00311EE3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</w:pPr>
            <w:r w:rsidRPr="003126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 Vijay Muni</w:t>
            </w:r>
          </w:p>
        </w:tc>
      </w:tr>
      <w:tr w:rsidR="00311EE3" w:rsidRPr="003126D4" w14:paraId="3418A98F" w14:textId="77777777" w:rsidTr="00DE5230">
        <w:trPr>
          <w:trHeight w:val="77"/>
        </w:trPr>
        <w:tc>
          <w:tcPr>
            <w:tcW w:w="53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421A7" w14:textId="77777777" w:rsidR="00311EE3" w:rsidRPr="003126D4" w:rsidRDefault="00311EE3" w:rsidP="00311EE3">
            <w:pPr>
              <w:pStyle w:val="BodyTex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126D4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15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BD21E" w14:textId="01112BFA" w:rsidR="00311EE3" w:rsidRPr="003126D4" w:rsidRDefault="00AC4637" w:rsidP="00311EE3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proofErr w:type="spellStart"/>
            <w:r w:rsidRPr="003126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Koneru</w:t>
            </w:r>
            <w:proofErr w:type="spellEnd"/>
            <w:r w:rsidRPr="003126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26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Lakshmaiah</w:t>
            </w:r>
            <w:proofErr w:type="spellEnd"/>
            <w:r w:rsidRPr="003126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Education </w:t>
            </w:r>
            <w:proofErr w:type="spellStart"/>
            <w:r w:rsidRPr="003126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Foundation</w:t>
            </w:r>
            <w:proofErr w:type="spellEnd"/>
            <w:r w:rsidRPr="003126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126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India</w:t>
            </w:r>
            <w:proofErr w:type="spellEnd"/>
          </w:p>
        </w:tc>
      </w:tr>
    </w:tbl>
    <w:p w14:paraId="312D9291" w14:textId="77777777" w:rsidR="00311EE3" w:rsidRPr="003126D4" w:rsidRDefault="00311EE3" w:rsidP="00311EE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bookmarkEnd w:id="0"/>
    <w:p w14:paraId="3C5C8052" w14:textId="77777777" w:rsidR="00311EE3" w:rsidRPr="003126D4" w:rsidRDefault="00311EE3" w:rsidP="00311EE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bookmarkEnd w:id="1"/>
    <w:p w14:paraId="0821307F" w14:textId="77777777" w:rsidR="00F1171E" w:rsidRPr="003126D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3126D4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8F84E" w14:textId="77777777" w:rsidR="00170E58" w:rsidRPr="0000007A" w:rsidRDefault="00170E58" w:rsidP="0099583E">
      <w:r>
        <w:separator/>
      </w:r>
    </w:p>
  </w:endnote>
  <w:endnote w:type="continuationSeparator" w:id="0">
    <w:p w14:paraId="2E0F4E25" w14:textId="77777777" w:rsidR="00170E58" w:rsidRPr="0000007A" w:rsidRDefault="00170E5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DC37D" w14:textId="77777777" w:rsidR="00170E58" w:rsidRPr="0000007A" w:rsidRDefault="00170E58" w:rsidP="0099583E">
      <w:r>
        <w:separator/>
      </w:r>
    </w:p>
  </w:footnote>
  <w:footnote w:type="continuationSeparator" w:id="0">
    <w:p w14:paraId="508FAE6C" w14:textId="77777777" w:rsidR="00170E58" w:rsidRPr="0000007A" w:rsidRDefault="00170E5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FB6446A"/>
    <w:multiLevelType w:val="hybridMultilevel"/>
    <w:tmpl w:val="C098FBD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97924906">
    <w:abstractNumId w:val="3"/>
  </w:num>
  <w:num w:numId="2" w16cid:durableId="85075762">
    <w:abstractNumId w:val="6"/>
  </w:num>
  <w:num w:numId="3" w16cid:durableId="602344194">
    <w:abstractNumId w:val="5"/>
  </w:num>
  <w:num w:numId="4" w16cid:durableId="2100176420">
    <w:abstractNumId w:val="7"/>
  </w:num>
  <w:num w:numId="5" w16cid:durableId="1372415627">
    <w:abstractNumId w:val="4"/>
  </w:num>
  <w:num w:numId="6" w16cid:durableId="1266426172">
    <w:abstractNumId w:val="0"/>
  </w:num>
  <w:num w:numId="7" w16cid:durableId="372048442">
    <w:abstractNumId w:val="1"/>
  </w:num>
  <w:num w:numId="8" w16cid:durableId="1975409276">
    <w:abstractNumId w:val="9"/>
  </w:num>
  <w:num w:numId="9" w16cid:durableId="81026545">
    <w:abstractNumId w:val="8"/>
  </w:num>
  <w:num w:numId="10" w16cid:durableId="2097285174">
    <w:abstractNumId w:val="2"/>
  </w:num>
  <w:num w:numId="11" w16cid:durableId="13455491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7D"/>
    <w:rsid w:val="00054BC4"/>
    <w:rsid w:val="00056CB0"/>
    <w:rsid w:val="0006257C"/>
    <w:rsid w:val="000627FE"/>
    <w:rsid w:val="0007151E"/>
    <w:rsid w:val="00081012"/>
    <w:rsid w:val="000825BC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0E58"/>
    <w:rsid w:val="00173696"/>
    <w:rsid w:val="0017480A"/>
    <w:rsid w:val="0017545C"/>
    <w:rsid w:val="001766DF"/>
    <w:rsid w:val="00176F0D"/>
    <w:rsid w:val="0018274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1EE3"/>
    <w:rsid w:val="00312559"/>
    <w:rsid w:val="003126D4"/>
    <w:rsid w:val="00313CF6"/>
    <w:rsid w:val="003204B8"/>
    <w:rsid w:val="00324E47"/>
    <w:rsid w:val="00326D7D"/>
    <w:rsid w:val="0033018A"/>
    <w:rsid w:val="0033692F"/>
    <w:rsid w:val="00353718"/>
    <w:rsid w:val="003634BD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4F0D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6345E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22D8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D5B5E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320AB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1A13"/>
    <w:rsid w:val="006936D1"/>
    <w:rsid w:val="006968C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B64E1"/>
    <w:rsid w:val="007C6CDF"/>
    <w:rsid w:val="007D0246"/>
    <w:rsid w:val="007F090A"/>
    <w:rsid w:val="007F2626"/>
    <w:rsid w:val="007F5873"/>
    <w:rsid w:val="007F6AC8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D1E20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B4636"/>
    <w:rsid w:val="009C5642"/>
    <w:rsid w:val="009E13C3"/>
    <w:rsid w:val="009E6A30"/>
    <w:rsid w:val="009F07D4"/>
    <w:rsid w:val="009F29EB"/>
    <w:rsid w:val="009F7A71"/>
    <w:rsid w:val="00A001A0"/>
    <w:rsid w:val="00A02E05"/>
    <w:rsid w:val="00A066F1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2DF6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C4637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24C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145E"/>
    <w:rsid w:val="00CC2753"/>
    <w:rsid w:val="00CD093E"/>
    <w:rsid w:val="00CD1556"/>
    <w:rsid w:val="00CD1FD7"/>
    <w:rsid w:val="00CD32BA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8E1"/>
    <w:rsid w:val="00DA3C3D"/>
    <w:rsid w:val="00DA41F5"/>
    <w:rsid w:val="00DB7E1B"/>
    <w:rsid w:val="00DC1D81"/>
    <w:rsid w:val="00DC6FED"/>
    <w:rsid w:val="00DD0C4A"/>
    <w:rsid w:val="00DD274C"/>
    <w:rsid w:val="00DE1432"/>
    <w:rsid w:val="00DE5230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745A2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205C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engineering-research-perspectives-on-recent-advanc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3249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Editor-24</cp:lastModifiedBy>
  <cp:revision>128</cp:revision>
  <dcterms:created xsi:type="dcterms:W3CDTF">2023-08-30T09:21:00Z</dcterms:created>
  <dcterms:modified xsi:type="dcterms:W3CDTF">2025-02-20T07:11:00Z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