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285C10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285C10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285C10" w14:paraId="127EAD7E" w14:textId="77777777" w:rsidTr="00281E5D">
        <w:trPr>
          <w:trHeight w:val="70"/>
        </w:trPr>
        <w:tc>
          <w:tcPr>
            <w:tcW w:w="1234" w:type="pct"/>
          </w:tcPr>
          <w:p w14:paraId="3C159AA5" w14:textId="77777777" w:rsidR="0000007A" w:rsidRPr="00285C10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285C10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6862D62B" w:rsidR="0000007A" w:rsidRPr="00285C10" w:rsidRDefault="00BD5099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260FCC" w:rsidRPr="00285C10">
                <w:rPr>
                  <w:rStyle w:val="Hyperlink"/>
                  <w:rFonts w:ascii="Arial" w:hAnsi="Arial" w:cs="Arial"/>
                  <w:sz w:val="20"/>
                  <w:szCs w:val="20"/>
                </w:rPr>
                <w:t>Chemical and Materials Sciences: Developments and Innovations</w:t>
              </w:r>
            </w:hyperlink>
          </w:p>
        </w:tc>
      </w:tr>
      <w:tr w:rsidR="0000007A" w:rsidRPr="00285C10" w14:paraId="73C90375" w14:textId="77777777" w:rsidTr="00281E5D">
        <w:trPr>
          <w:trHeight w:val="70"/>
        </w:trPr>
        <w:tc>
          <w:tcPr>
            <w:tcW w:w="1234" w:type="pct"/>
          </w:tcPr>
          <w:p w14:paraId="20D28135" w14:textId="77777777" w:rsidR="0000007A" w:rsidRPr="00285C1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6A0D5C7" w:rsidR="0000007A" w:rsidRPr="00285C10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260FCC"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4053</w:t>
            </w:r>
          </w:p>
        </w:tc>
      </w:tr>
      <w:tr w:rsidR="0000007A" w:rsidRPr="00285C10" w14:paraId="05B60576" w14:textId="77777777" w:rsidTr="00281E5D">
        <w:trPr>
          <w:trHeight w:val="70"/>
        </w:trPr>
        <w:tc>
          <w:tcPr>
            <w:tcW w:w="1234" w:type="pct"/>
          </w:tcPr>
          <w:p w14:paraId="0196A627" w14:textId="77777777" w:rsidR="0000007A" w:rsidRPr="00285C1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089B7482" w:rsidR="0000007A" w:rsidRPr="00285C10" w:rsidRDefault="00260FC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285C10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The Thermal Degradation Kinetics and Morphology of </w:t>
            </w:r>
            <w:proofErr w:type="gramStart"/>
            <w:r w:rsidRPr="00285C10">
              <w:rPr>
                <w:rFonts w:ascii="Arial" w:hAnsi="Arial" w:cs="Arial"/>
                <w:b/>
                <w:sz w:val="20"/>
                <w:szCs w:val="20"/>
                <w:lang w:val="en-GB"/>
              </w:rPr>
              <w:t>Poly(</w:t>
            </w:r>
            <w:proofErr w:type="gramEnd"/>
            <w:r w:rsidRPr="00285C10">
              <w:rPr>
                <w:rFonts w:ascii="Arial" w:hAnsi="Arial" w:cs="Arial"/>
                <w:b/>
                <w:sz w:val="20"/>
                <w:szCs w:val="20"/>
                <w:lang w:val="en-GB"/>
              </w:rPr>
              <w:t>vinyl butyral) Cast Films Prepared Using Different Organic Solvents</w:t>
            </w:r>
          </w:p>
        </w:tc>
      </w:tr>
      <w:tr w:rsidR="00CF0BBB" w:rsidRPr="00285C10" w14:paraId="6D508B1C" w14:textId="77777777" w:rsidTr="00281E5D">
        <w:trPr>
          <w:trHeight w:val="70"/>
        </w:trPr>
        <w:tc>
          <w:tcPr>
            <w:tcW w:w="1234" w:type="pct"/>
          </w:tcPr>
          <w:p w14:paraId="32FC28F7" w14:textId="77777777" w:rsidR="00CF0BBB" w:rsidRPr="00285C10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2463A64A" w:rsidR="00CF0BBB" w:rsidRPr="00285C10" w:rsidRDefault="00260FCC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285C10" w:rsidRDefault="00D27A79" w:rsidP="00281E5D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285C10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285C10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285C10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285C1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285C10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285C10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285C10">
              <w:rPr>
                <w:rFonts w:ascii="Arial" w:hAnsi="Arial" w:cs="Arial"/>
                <w:lang w:val="en-GB"/>
              </w:rPr>
              <w:t>Author’s Feedback</w:t>
            </w:r>
            <w:r w:rsidRPr="00285C10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285C10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285C10" w14:paraId="5C0AB4EC" w14:textId="77777777" w:rsidTr="00281E5D">
        <w:trPr>
          <w:trHeight w:val="516"/>
        </w:trPr>
        <w:tc>
          <w:tcPr>
            <w:tcW w:w="1265" w:type="pct"/>
            <w:noWrap/>
          </w:tcPr>
          <w:p w14:paraId="66B47184" w14:textId="48030299" w:rsidR="00F1171E" w:rsidRPr="00285C1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285C10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60A68DD4" w:rsidR="00F1171E" w:rsidRPr="00285C10" w:rsidRDefault="00566F95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sz w:val="20"/>
                <w:szCs w:val="20"/>
              </w:rPr>
              <w:t>PVB</w:t>
            </w:r>
            <w:r w:rsidRPr="00285C10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is</w:t>
            </w:r>
            <w:r w:rsidRPr="00285C10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used</w:t>
            </w:r>
            <w:r w:rsidRPr="00285C10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for</w:t>
            </w:r>
            <w:r w:rsidRPr="00285C10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many</w:t>
            </w:r>
            <w:r w:rsidRPr="00285C10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applications</w:t>
            </w:r>
            <w:r w:rsidRPr="00285C10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such</w:t>
            </w:r>
            <w:r w:rsidRPr="00285C10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as</w:t>
            </w:r>
            <w:r w:rsidRPr="00285C10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laminated</w:t>
            </w:r>
            <w:r w:rsidRPr="00285C10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safety glass,</w:t>
            </w:r>
            <w:r w:rsidRPr="00285C10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paint,</w:t>
            </w:r>
            <w:r w:rsidRPr="00285C10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adhesive,</w:t>
            </w:r>
            <w:r w:rsidRPr="00285C10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primers</w:t>
            </w:r>
            <w:r w:rsidRPr="00285C10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binders. The different groups are responsible for the physical and chemical properties of the polymer,</w:t>
            </w:r>
            <w:r w:rsidRPr="00285C10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including</w:t>
            </w:r>
            <w:r w:rsidRPr="00285C10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adhesiveness</w:t>
            </w:r>
            <w:r w:rsidRPr="00285C10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and</w:t>
            </w:r>
            <w:r w:rsidRPr="00285C10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the</w:t>
            </w:r>
            <w:r w:rsidRPr="00285C10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285C10">
              <w:rPr>
                <w:rFonts w:ascii="Arial" w:hAnsi="Arial" w:cs="Arial"/>
                <w:sz w:val="20"/>
                <w:szCs w:val="20"/>
              </w:rPr>
              <w:t>viscoelasticity.</w:t>
            </w:r>
          </w:p>
        </w:tc>
        <w:tc>
          <w:tcPr>
            <w:tcW w:w="1523" w:type="pct"/>
          </w:tcPr>
          <w:p w14:paraId="462A339C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285C10" w14:paraId="0D8B5B2C" w14:textId="77777777" w:rsidTr="00281E5D">
        <w:trPr>
          <w:trHeight w:val="70"/>
        </w:trPr>
        <w:tc>
          <w:tcPr>
            <w:tcW w:w="1265" w:type="pct"/>
            <w:noWrap/>
          </w:tcPr>
          <w:p w14:paraId="21CBA5FE" w14:textId="77777777" w:rsidR="00F1171E" w:rsidRPr="00285C1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285C1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44F353F2" w:rsidR="00F1171E" w:rsidRPr="00285C10" w:rsidRDefault="00CD070B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Yes, </w:t>
            </w:r>
            <w:proofErr w:type="spellStart"/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sutible</w:t>
            </w:r>
            <w:proofErr w:type="spellEnd"/>
          </w:p>
        </w:tc>
        <w:tc>
          <w:tcPr>
            <w:tcW w:w="1523" w:type="pct"/>
          </w:tcPr>
          <w:p w14:paraId="405B6701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285C10" w14:paraId="5604762A" w14:textId="77777777" w:rsidTr="00281E5D">
        <w:trPr>
          <w:trHeight w:val="217"/>
        </w:trPr>
        <w:tc>
          <w:tcPr>
            <w:tcW w:w="1265" w:type="pct"/>
            <w:noWrap/>
          </w:tcPr>
          <w:p w14:paraId="3635573D" w14:textId="77777777" w:rsidR="00F1171E" w:rsidRPr="00285C10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285C10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48F1F273" w:rsidR="00F1171E" w:rsidRPr="00285C10" w:rsidRDefault="00CD070B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Yes, </w:t>
            </w:r>
            <w:proofErr w:type="gramStart"/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</w:t>
            </w:r>
            <w:proofErr w:type="gramEnd"/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abstract is clear and arranged according to the idea of </w:t>
            </w:r>
            <w:proofErr w:type="spellStart"/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aricle</w:t>
            </w:r>
            <w:proofErr w:type="spellEnd"/>
          </w:p>
        </w:tc>
        <w:tc>
          <w:tcPr>
            <w:tcW w:w="1523" w:type="pct"/>
          </w:tcPr>
          <w:p w14:paraId="1D54B730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285C10" w14:paraId="2F579F54" w14:textId="77777777" w:rsidTr="00281E5D">
        <w:trPr>
          <w:trHeight w:val="319"/>
        </w:trPr>
        <w:tc>
          <w:tcPr>
            <w:tcW w:w="1265" w:type="pct"/>
            <w:noWrap/>
          </w:tcPr>
          <w:p w14:paraId="04361F46" w14:textId="368783AB" w:rsidR="00F1171E" w:rsidRPr="00285C10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7DB00D5A" w:rsidR="00F1171E" w:rsidRPr="00285C10" w:rsidRDefault="00CD070B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Yes, the manuscript is corrected</w:t>
            </w:r>
          </w:p>
        </w:tc>
        <w:tc>
          <w:tcPr>
            <w:tcW w:w="1523" w:type="pct"/>
          </w:tcPr>
          <w:p w14:paraId="4898F764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285C10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285C1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285C10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105D6CE9" w:rsidR="00F1171E" w:rsidRPr="00285C10" w:rsidRDefault="00CD070B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No, the </w:t>
            </w:r>
            <w:proofErr w:type="spellStart"/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referenace</w:t>
            </w:r>
            <w:proofErr w:type="spellEnd"/>
            <w:r w:rsidRPr="00285C1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not update</w:t>
            </w:r>
          </w:p>
        </w:tc>
        <w:tc>
          <w:tcPr>
            <w:tcW w:w="1523" w:type="pct"/>
          </w:tcPr>
          <w:p w14:paraId="40220055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285C10" w14:paraId="73CC4A50" w14:textId="77777777" w:rsidTr="00E96DDE">
        <w:trPr>
          <w:trHeight w:val="953"/>
        </w:trPr>
        <w:tc>
          <w:tcPr>
            <w:tcW w:w="1265" w:type="pct"/>
            <w:noWrap/>
          </w:tcPr>
          <w:p w14:paraId="029CE8D0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285C10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285C10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285C1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6CBA4B2A" w14:textId="62D78EE8" w:rsidR="00F1171E" w:rsidRPr="00285C10" w:rsidRDefault="00CD070B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sz w:val="20"/>
                <w:szCs w:val="20"/>
                <w:lang w:val="en-GB"/>
              </w:rPr>
              <w:t xml:space="preserve">Yes, the </w:t>
            </w:r>
            <w:proofErr w:type="spellStart"/>
            <w:r w:rsidRPr="00285C10">
              <w:rPr>
                <w:rFonts w:ascii="Arial" w:hAnsi="Arial" w:cs="Arial"/>
                <w:sz w:val="20"/>
                <w:szCs w:val="20"/>
                <w:lang w:val="en-GB"/>
              </w:rPr>
              <w:t>langugee</w:t>
            </w:r>
            <w:proofErr w:type="spellEnd"/>
            <w:r w:rsidRPr="00285C10">
              <w:rPr>
                <w:rFonts w:ascii="Arial" w:hAnsi="Arial" w:cs="Arial"/>
                <w:sz w:val="20"/>
                <w:szCs w:val="20"/>
                <w:lang w:val="en-GB"/>
              </w:rPr>
              <w:t xml:space="preserve"> is clear and suitable</w:t>
            </w:r>
          </w:p>
          <w:p w14:paraId="149A6CEF" w14:textId="491BAD09" w:rsidR="00F1171E" w:rsidRPr="00285C1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285C1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285C10" w14:paraId="20A16C0C" w14:textId="77777777" w:rsidTr="00281E5D">
        <w:trPr>
          <w:trHeight w:val="70"/>
        </w:trPr>
        <w:tc>
          <w:tcPr>
            <w:tcW w:w="1265" w:type="pct"/>
            <w:noWrap/>
          </w:tcPr>
          <w:p w14:paraId="7F4BCFAE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285C10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285C10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285C10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285C10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7EB58C99" w14:textId="759DE48E" w:rsidR="00F1171E" w:rsidRPr="00285C10" w:rsidRDefault="00CD070B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sz w:val="20"/>
                <w:szCs w:val="20"/>
                <w:lang w:val="en-GB"/>
              </w:rPr>
              <w:t>The paper has minor revision to accepted</w:t>
            </w:r>
          </w:p>
          <w:p w14:paraId="09FA36B0" w14:textId="455601CA" w:rsidR="00E96DDE" w:rsidRPr="00285C10" w:rsidRDefault="00E96DDE" w:rsidP="00E96DD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285C10">
              <w:rPr>
                <w:rFonts w:ascii="Arial" w:hAnsi="Arial" w:cs="Arial"/>
                <w:sz w:val="20"/>
                <w:szCs w:val="20"/>
                <w:lang w:val="en-GB"/>
              </w:rPr>
              <w:t>IR figures not clear it should be more clear</w:t>
            </w:r>
          </w:p>
          <w:p w14:paraId="15DFD0E8" w14:textId="77777777" w:rsidR="00F1171E" w:rsidRPr="00285C1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285C10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285C10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5C1E29" w:rsidRPr="00285C10" w14:paraId="209CC485" w14:textId="77777777" w:rsidTr="00281E5D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310662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bookmarkStart w:id="0" w:name="_Hlk167897572"/>
            <w:r w:rsidRPr="00285C1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PART  2: </w:t>
            </w:r>
          </w:p>
          <w:p w14:paraId="7CCEB258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5C1E29" w:rsidRPr="00285C10" w14:paraId="62AF9F62" w14:textId="77777777" w:rsidTr="00281E5D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2BE12F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A8AC2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095A27A5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Author’s comment </w:t>
            </w:r>
            <w:r w:rsidRPr="00285C10">
              <w:rPr>
                <w:rFonts w:ascii="Arial" w:hAnsi="Arial" w:cs="Arial"/>
                <w:b/>
                <w:bCs/>
                <w:i/>
                <w:sz w:val="20"/>
                <w:szCs w:val="20"/>
                <w:u w:val="single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5C1E29" w:rsidRPr="00285C10" w14:paraId="570D9122" w14:textId="77777777" w:rsidTr="00281E5D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826685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Are there ethical issues in this manuscript? </w:t>
            </w:r>
          </w:p>
          <w:p w14:paraId="53A3AFB7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98F08C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285C10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285C10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0B510860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3EBAF25D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24F0A910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3F928508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730662EA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</w:tbl>
    <w:p w14:paraId="3E85B55F" w14:textId="77777777" w:rsidR="005C1E29" w:rsidRPr="00285C10" w:rsidRDefault="005C1E29" w:rsidP="005C1E29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5C1E29" w:rsidRPr="00285C10" w14:paraId="72A64CA9" w14:textId="77777777" w:rsidTr="00281E5D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83ADAD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285C1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68AA91BF" w14:textId="77777777" w:rsidR="005C1E29" w:rsidRPr="00285C10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5C1E29" w:rsidRPr="00285C10" w14:paraId="3706E2B3" w14:textId="77777777" w:rsidTr="00281E5D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D7EE65" w14:textId="77777777" w:rsidR="005C1E29" w:rsidRPr="00281E5D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E19466" w14:textId="7FBA853C" w:rsidR="005C1E29" w:rsidRPr="00281E5D" w:rsidRDefault="00281E5D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Salwa</w:t>
            </w:r>
            <w:proofErr w:type="spellEnd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 xml:space="preserve"> M. </w:t>
            </w:r>
            <w:proofErr w:type="spellStart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Elmesallamy</w:t>
            </w:r>
            <w:proofErr w:type="spellEnd"/>
          </w:p>
        </w:tc>
      </w:tr>
      <w:tr w:rsidR="005C1E29" w:rsidRPr="00285C10" w14:paraId="1FC01AB8" w14:textId="77777777" w:rsidTr="00281E5D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33B81C" w14:textId="77777777" w:rsidR="005C1E29" w:rsidRPr="00281E5D" w:rsidRDefault="005C1E29" w:rsidP="005C1E29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2ABDCC" w14:textId="2DAD6DAC" w:rsidR="005C1E29" w:rsidRPr="00281E5D" w:rsidRDefault="00281E5D" w:rsidP="00281E5D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Egyptain</w:t>
            </w:r>
            <w:proofErr w:type="spellEnd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Petrolume</w:t>
            </w:r>
            <w:proofErr w:type="spellEnd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Resaerch</w:t>
            </w:r>
            <w:proofErr w:type="spellEnd"/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Institute (EPRI)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281E5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Egypt</w:t>
            </w:r>
          </w:p>
        </w:tc>
      </w:tr>
    </w:tbl>
    <w:p w14:paraId="0821307F" w14:textId="77777777" w:rsidR="00F1171E" w:rsidRPr="00285C10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1" w:name="_GoBack"/>
      <w:bookmarkEnd w:id="0"/>
      <w:bookmarkEnd w:id="1"/>
    </w:p>
    <w:sectPr w:rsidR="00F1171E" w:rsidRPr="00285C10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2B6840" w14:textId="77777777" w:rsidR="00BD5099" w:rsidRPr="0000007A" w:rsidRDefault="00BD5099" w:rsidP="0099583E">
      <w:r>
        <w:separator/>
      </w:r>
    </w:p>
  </w:endnote>
  <w:endnote w:type="continuationSeparator" w:id="0">
    <w:p w14:paraId="22EDC11B" w14:textId="77777777" w:rsidR="00BD5099" w:rsidRPr="0000007A" w:rsidRDefault="00BD5099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A3E6A9" w14:textId="77777777" w:rsidR="00BD5099" w:rsidRPr="0000007A" w:rsidRDefault="00BD5099" w:rsidP="0099583E">
      <w:r>
        <w:separator/>
      </w:r>
    </w:p>
  </w:footnote>
  <w:footnote w:type="continuationSeparator" w:id="0">
    <w:p w14:paraId="35421168" w14:textId="77777777" w:rsidR="00BD5099" w:rsidRPr="0000007A" w:rsidRDefault="00BD5099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3FD3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0A33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0C34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0FCC"/>
    <w:rsid w:val="00262634"/>
    <w:rsid w:val="002650C5"/>
    <w:rsid w:val="00275984"/>
    <w:rsid w:val="00280EC9"/>
    <w:rsid w:val="00281E5D"/>
    <w:rsid w:val="00282BEE"/>
    <w:rsid w:val="002859CC"/>
    <w:rsid w:val="00285C10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6F95"/>
    <w:rsid w:val="00567DE0"/>
    <w:rsid w:val="005735A5"/>
    <w:rsid w:val="005757CF"/>
    <w:rsid w:val="00581FF9"/>
    <w:rsid w:val="005A2684"/>
    <w:rsid w:val="005A4F17"/>
    <w:rsid w:val="005B3509"/>
    <w:rsid w:val="005C1E2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2D3F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71665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5671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5099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70B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0267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6DDE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454F3482-2A57-48F6-B9BF-1A54965AF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hemical-and-materials-sciences-developments-and-innovation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2327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109</cp:revision>
  <dcterms:created xsi:type="dcterms:W3CDTF">2023-08-30T09:21:00Z</dcterms:created>
  <dcterms:modified xsi:type="dcterms:W3CDTF">2025-02-27T06:01:00Z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