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B1FD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B1FD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B1FDB" w14:paraId="127EAD7E" w14:textId="77777777" w:rsidTr="00E36320">
        <w:trPr>
          <w:trHeight w:val="70"/>
        </w:trPr>
        <w:tc>
          <w:tcPr>
            <w:tcW w:w="1234" w:type="pct"/>
          </w:tcPr>
          <w:p w14:paraId="3C159AA5" w14:textId="77777777" w:rsidR="0000007A" w:rsidRPr="001B1FD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1F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B1FD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859F86F" w:rsidR="0000007A" w:rsidRPr="001B1FDB" w:rsidRDefault="003F728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C4005" w:rsidRPr="001B1FD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Achievements and Challenges of Medicine and Medical Science</w:t>
              </w:r>
            </w:hyperlink>
          </w:p>
        </w:tc>
      </w:tr>
      <w:tr w:rsidR="0000007A" w:rsidRPr="001B1FDB" w14:paraId="73C90375" w14:textId="77777777" w:rsidTr="00E36320">
        <w:trPr>
          <w:trHeight w:val="70"/>
        </w:trPr>
        <w:tc>
          <w:tcPr>
            <w:tcW w:w="1234" w:type="pct"/>
          </w:tcPr>
          <w:p w14:paraId="20D28135" w14:textId="77777777" w:rsidR="0000007A" w:rsidRPr="001B1F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1FD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7E0B66F" w:rsidR="0000007A" w:rsidRPr="001B1FDB" w:rsidRDefault="00546DA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B1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</w:t>
            </w:r>
            <w:r w:rsidR="00E72A8E" w:rsidRPr="001B1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_BP</w:t>
            </w:r>
            <w:r w:rsidR="00FC432A" w:rsidRPr="001B1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="00E72A8E" w:rsidRPr="001B1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C4005" w:rsidRPr="001B1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4143</w:t>
            </w:r>
          </w:p>
        </w:tc>
      </w:tr>
      <w:tr w:rsidR="0000007A" w:rsidRPr="001B1FDB" w14:paraId="05B60576" w14:textId="77777777" w:rsidTr="00E36320">
        <w:trPr>
          <w:trHeight w:val="70"/>
        </w:trPr>
        <w:tc>
          <w:tcPr>
            <w:tcW w:w="1234" w:type="pct"/>
          </w:tcPr>
          <w:p w14:paraId="0196A627" w14:textId="77777777" w:rsidR="0000007A" w:rsidRPr="001B1F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1F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904AE2D" w:rsidR="0000007A" w:rsidRPr="001B1FDB" w:rsidRDefault="00CC400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B1FDB">
              <w:rPr>
                <w:rFonts w:ascii="Arial" w:hAnsi="Arial" w:cs="Arial"/>
                <w:b/>
                <w:sz w:val="20"/>
                <w:szCs w:val="20"/>
                <w:lang w:val="en-GB"/>
              </w:rPr>
              <w:t>Natural Compounds as Promising Modulators of Breast Cancer Signalling: The Role of Tea Polyphenols</w:t>
            </w:r>
          </w:p>
        </w:tc>
      </w:tr>
      <w:tr w:rsidR="00CF0BBB" w:rsidRPr="001B1FDB" w14:paraId="6D508B1C" w14:textId="77777777" w:rsidTr="00E36320">
        <w:trPr>
          <w:trHeight w:val="70"/>
        </w:trPr>
        <w:tc>
          <w:tcPr>
            <w:tcW w:w="1234" w:type="pct"/>
          </w:tcPr>
          <w:p w14:paraId="32FC28F7" w14:textId="77777777" w:rsidR="00CF0BBB" w:rsidRPr="001B1FD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1FD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BFA5C38" w:rsidR="00CF0BBB" w:rsidRPr="001B1FDB" w:rsidRDefault="00CC400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FD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1B1FDB" w:rsidRDefault="00D27A79" w:rsidP="00CC400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9213"/>
        <w:gridCol w:w="6015"/>
      </w:tblGrid>
      <w:tr w:rsidR="00F1171E" w:rsidRPr="001B1FD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B1F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B1FD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B1FD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B1F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B1FDB" w14:paraId="5EA12279" w14:textId="77777777" w:rsidTr="00E36320">
        <w:tc>
          <w:tcPr>
            <w:tcW w:w="1400" w:type="pct"/>
            <w:noWrap/>
          </w:tcPr>
          <w:p w14:paraId="7AE9682F" w14:textId="77777777" w:rsidR="00F1171E" w:rsidRPr="001B1F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78" w:type="pct"/>
          </w:tcPr>
          <w:p w14:paraId="674EDCCA" w14:textId="77777777" w:rsidR="00F1171E" w:rsidRPr="001B1F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B1FD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422" w:type="pct"/>
          </w:tcPr>
          <w:p w14:paraId="57792C30" w14:textId="77777777" w:rsidR="00F1171E" w:rsidRPr="001B1F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B1FDB">
              <w:rPr>
                <w:rFonts w:ascii="Arial" w:hAnsi="Arial" w:cs="Arial"/>
                <w:lang w:val="en-GB"/>
              </w:rPr>
              <w:t>Author’s Feedback</w:t>
            </w:r>
            <w:r w:rsidRPr="001B1FD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B1FD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B1FDB" w14:paraId="5C0AB4EC" w14:textId="77777777" w:rsidTr="00E36320">
        <w:trPr>
          <w:trHeight w:val="516"/>
        </w:trPr>
        <w:tc>
          <w:tcPr>
            <w:tcW w:w="1400" w:type="pct"/>
            <w:noWrap/>
          </w:tcPr>
          <w:p w14:paraId="66B47184" w14:textId="48030299" w:rsidR="00F1171E" w:rsidRPr="001B1F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1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B1FD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78" w:type="pct"/>
          </w:tcPr>
          <w:p w14:paraId="7DBC9196" w14:textId="1D9AAEBD" w:rsidR="00F1171E" w:rsidRPr="001B1FDB" w:rsidRDefault="004961F0" w:rsidP="007222C8">
            <w:pPr>
              <w:pStyle w:val="ListParagraph"/>
              <w:ind w:left="0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1B1FD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Good topic </w:t>
            </w:r>
            <w:r w:rsidR="00CD30A8" w:rsidRPr="001B1FD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selected</w:t>
            </w:r>
            <w:r w:rsidRPr="001B1FD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by the author</w:t>
            </w:r>
          </w:p>
        </w:tc>
        <w:tc>
          <w:tcPr>
            <w:tcW w:w="1422" w:type="pct"/>
          </w:tcPr>
          <w:p w14:paraId="462A339C" w14:textId="77777777" w:rsidR="00F1171E" w:rsidRPr="001B1F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1FDB" w14:paraId="0D8B5B2C" w14:textId="77777777" w:rsidTr="00E36320">
        <w:trPr>
          <w:trHeight w:val="70"/>
        </w:trPr>
        <w:tc>
          <w:tcPr>
            <w:tcW w:w="1400" w:type="pct"/>
            <w:noWrap/>
          </w:tcPr>
          <w:p w14:paraId="21CBA5FE" w14:textId="77777777" w:rsidR="00F1171E" w:rsidRPr="001B1F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1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B1F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1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B1FD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78" w:type="pct"/>
          </w:tcPr>
          <w:p w14:paraId="794AA9A7" w14:textId="086231F0" w:rsidR="00F1171E" w:rsidRPr="001B1FDB" w:rsidRDefault="004961F0" w:rsidP="007222C8">
            <w:pPr>
              <w:ind w:left="360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1B1FD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422" w:type="pct"/>
          </w:tcPr>
          <w:p w14:paraId="405B6701" w14:textId="77777777" w:rsidR="00F1171E" w:rsidRPr="001B1F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1FDB" w14:paraId="5604762A" w14:textId="77777777" w:rsidTr="00E36320">
        <w:trPr>
          <w:trHeight w:val="531"/>
        </w:trPr>
        <w:tc>
          <w:tcPr>
            <w:tcW w:w="1400" w:type="pct"/>
            <w:noWrap/>
          </w:tcPr>
          <w:p w14:paraId="3635573D" w14:textId="77777777" w:rsidR="00F1171E" w:rsidRPr="001B1FD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B1FD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B1FD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78" w:type="pct"/>
          </w:tcPr>
          <w:p w14:paraId="0FB7E83A" w14:textId="52439858" w:rsidR="00F1171E" w:rsidRPr="001B1FDB" w:rsidRDefault="004961F0" w:rsidP="007222C8">
            <w:pPr>
              <w:ind w:left="360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1B1FD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422" w:type="pct"/>
          </w:tcPr>
          <w:p w14:paraId="1D54B730" w14:textId="77777777" w:rsidR="00F1171E" w:rsidRPr="001B1F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1FDB" w14:paraId="2F579F54" w14:textId="77777777" w:rsidTr="00E36320">
        <w:trPr>
          <w:trHeight w:val="70"/>
        </w:trPr>
        <w:tc>
          <w:tcPr>
            <w:tcW w:w="1400" w:type="pct"/>
            <w:noWrap/>
          </w:tcPr>
          <w:p w14:paraId="04361F46" w14:textId="368783AB" w:rsidR="00F1171E" w:rsidRPr="001B1FD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B1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78" w:type="pct"/>
          </w:tcPr>
          <w:p w14:paraId="2B5A7721" w14:textId="550DCFF6" w:rsidR="00F1171E" w:rsidRPr="001B1FDB" w:rsidRDefault="004961F0" w:rsidP="007222C8">
            <w:pPr>
              <w:pStyle w:val="ListParagraph"/>
              <w:ind w:left="0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proofErr w:type="gramStart"/>
            <w:r w:rsidRPr="001B1FD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Yes</w:t>
            </w:r>
            <w:proofErr w:type="gramEnd"/>
            <w:r w:rsidRPr="001B1FD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but needs some revisions</w:t>
            </w:r>
          </w:p>
        </w:tc>
        <w:tc>
          <w:tcPr>
            <w:tcW w:w="1422" w:type="pct"/>
          </w:tcPr>
          <w:p w14:paraId="4898F764" w14:textId="77777777" w:rsidR="00F1171E" w:rsidRPr="001B1F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1FDB" w14:paraId="73739464" w14:textId="77777777" w:rsidTr="00E36320">
        <w:trPr>
          <w:trHeight w:val="703"/>
        </w:trPr>
        <w:tc>
          <w:tcPr>
            <w:tcW w:w="1400" w:type="pct"/>
            <w:noWrap/>
          </w:tcPr>
          <w:p w14:paraId="09C25322" w14:textId="77777777" w:rsidR="00F1171E" w:rsidRPr="001B1F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1F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B1F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B1F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78" w:type="pct"/>
          </w:tcPr>
          <w:p w14:paraId="24FE0567" w14:textId="3B07FE10" w:rsidR="00F1171E" w:rsidRPr="001B1FDB" w:rsidRDefault="004961F0" w:rsidP="007222C8">
            <w:pPr>
              <w:pStyle w:val="ListParagraph"/>
              <w:ind w:left="0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1B1FD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More references needed</w:t>
            </w:r>
          </w:p>
        </w:tc>
        <w:tc>
          <w:tcPr>
            <w:tcW w:w="1422" w:type="pct"/>
          </w:tcPr>
          <w:p w14:paraId="40220055" w14:textId="77777777" w:rsidR="00F1171E" w:rsidRPr="001B1F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1FDB" w14:paraId="73CC4A50" w14:textId="77777777" w:rsidTr="00E36320">
        <w:trPr>
          <w:trHeight w:val="386"/>
        </w:trPr>
        <w:tc>
          <w:tcPr>
            <w:tcW w:w="1400" w:type="pct"/>
            <w:noWrap/>
          </w:tcPr>
          <w:p w14:paraId="029CE8D0" w14:textId="77777777" w:rsidR="00F1171E" w:rsidRPr="001B1F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B1FD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B1FD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B1F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8" w:type="pct"/>
          </w:tcPr>
          <w:p w14:paraId="6CBA4B2A" w14:textId="450322E0" w:rsidR="00F1171E" w:rsidRPr="001B1FDB" w:rsidRDefault="004961F0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1B1FD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English quality is good</w:t>
            </w:r>
          </w:p>
          <w:p w14:paraId="41E28118" w14:textId="77777777" w:rsidR="00F1171E" w:rsidRPr="001B1FDB" w:rsidRDefault="00F1171E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297F52DB" w14:textId="77777777" w:rsidR="00F1171E" w:rsidRPr="001B1FDB" w:rsidRDefault="00F1171E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149A6CEF" w14:textId="77777777" w:rsidR="00F1171E" w:rsidRPr="001B1FDB" w:rsidRDefault="00F1171E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422" w:type="pct"/>
          </w:tcPr>
          <w:p w14:paraId="0351CA58" w14:textId="77777777" w:rsidR="00F1171E" w:rsidRPr="001B1F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B1FDB" w14:paraId="20A16C0C" w14:textId="77777777" w:rsidTr="00E36320">
        <w:trPr>
          <w:trHeight w:val="70"/>
        </w:trPr>
        <w:tc>
          <w:tcPr>
            <w:tcW w:w="1400" w:type="pct"/>
            <w:noWrap/>
          </w:tcPr>
          <w:p w14:paraId="7F4BCFAE" w14:textId="77777777" w:rsidR="00F1171E" w:rsidRPr="001B1F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B1FD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B1FD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B1FD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B1F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78" w:type="pct"/>
          </w:tcPr>
          <w:p w14:paraId="1E347C61" w14:textId="77777777" w:rsidR="00F1171E" w:rsidRPr="001B1F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AE41C8" w14:textId="77777777" w:rsidR="00546DA5" w:rsidRPr="001B1FDB" w:rsidRDefault="00546DA5" w:rsidP="00546DA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1B1F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If author is focussing on effect of natural products viz. polyphenols in breast cancer then some more references should be in the body of manuscript because single reference is not </w:t>
            </w:r>
            <w:proofErr w:type="spellStart"/>
            <w:r w:rsidRPr="001B1F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suuficient</w:t>
            </w:r>
            <w:proofErr w:type="spellEnd"/>
            <w:r w:rsidRPr="001B1F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1B1F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eleaborate</w:t>
            </w:r>
            <w:proofErr w:type="spellEnd"/>
            <w:r w:rsidRPr="001B1F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the effect.</w:t>
            </w:r>
          </w:p>
          <w:p w14:paraId="15DFD0E8" w14:textId="17FD27D8" w:rsidR="00F1171E" w:rsidRPr="00E36320" w:rsidRDefault="00546DA5" w:rsidP="007222C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1B1F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If author mention structures of targeted natural products then will be more effective with some biological significance.</w:t>
            </w:r>
          </w:p>
        </w:tc>
        <w:tc>
          <w:tcPr>
            <w:tcW w:w="1422" w:type="pct"/>
          </w:tcPr>
          <w:p w14:paraId="465E098E" w14:textId="77777777" w:rsidR="00F1171E" w:rsidRPr="001B1F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1B1F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6B4672" w:rsidRPr="001B1FDB" w14:paraId="55B24974" w14:textId="77777777" w:rsidTr="00E3632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862B" w14:textId="77777777" w:rsidR="006B4672" w:rsidRPr="001B1FDB" w:rsidRDefault="006B4672" w:rsidP="006B467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1B1FD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B1FD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716EDEC" w14:textId="77777777" w:rsidR="006B4672" w:rsidRPr="001B1FDB" w:rsidRDefault="006B4672" w:rsidP="006B467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B4672" w:rsidRPr="001B1FDB" w14:paraId="03834FA9" w14:textId="77777777" w:rsidTr="00E3632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D55C" w14:textId="77777777" w:rsidR="006B4672" w:rsidRPr="001B1FDB" w:rsidRDefault="006B4672" w:rsidP="006B467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E0BAE" w14:textId="77777777" w:rsidR="006B4672" w:rsidRPr="001B1FDB" w:rsidRDefault="006B4672" w:rsidP="006B467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B1FD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E335" w14:textId="77777777" w:rsidR="006B4672" w:rsidRPr="001B1FDB" w:rsidRDefault="006B4672" w:rsidP="006B467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B1FD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B1FD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B1FD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B4672" w:rsidRPr="001B1FDB" w14:paraId="6FE36C71" w14:textId="77777777" w:rsidTr="00E36320">
        <w:trPr>
          <w:trHeight w:val="7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ACFB" w14:textId="77777777" w:rsidR="006B4672" w:rsidRPr="001B1FDB" w:rsidRDefault="006B4672" w:rsidP="006B467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B1FD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F6007EE" w14:textId="77777777" w:rsidR="006B4672" w:rsidRPr="001B1FDB" w:rsidRDefault="006B4672" w:rsidP="006B467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FAC5" w14:textId="77777777" w:rsidR="006B4672" w:rsidRPr="001B1FDB" w:rsidRDefault="006B4672" w:rsidP="006B467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B1F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B1F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B1F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CCD3215" w14:textId="77777777" w:rsidR="006B4672" w:rsidRPr="001B1FDB" w:rsidRDefault="006B4672" w:rsidP="006B467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07134A" w14:textId="77777777" w:rsidR="006B4672" w:rsidRPr="001B1FDB" w:rsidRDefault="006B4672" w:rsidP="006B467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D88C" w14:textId="77777777" w:rsidR="006B4672" w:rsidRPr="001B1FDB" w:rsidRDefault="006B4672" w:rsidP="006B467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B2F4475" w14:textId="77777777" w:rsidR="006B4672" w:rsidRPr="001B1FDB" w:rsidRDefault="006B4672" w:rsidP="006B467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620EEC" w14:textId="77777777" w:rsidR="006B4672" w:rsidRPr="001B1FDB" w:rsidRDefault="006B4672" w:rsidP="006B467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2C41CDF" w14:textId="77777777" w:rsidR="006B4672" w:rsidRPr="001B1FDB" w:rsidRDefault="006B4672" w:rsidP="006B467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6B4672" w:rsidRPr="001B1FDB" w14:paraId="7EA0076A" w14:textId="77777777" w:rsidTr="00E3632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BF4C7" w14:textId="77777777" w:rsidR="006B4672" w:rsidRPr="001B1FDB" w:rsidRDefault="006B4672" w:rsidP="006B46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1FD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D6A35D5" w14:textId="77777777" w:rsidR="006B4672" w:rsidRPr="001B1FDB" w:rsidRDefault="006B4672" w:rsidP="006B467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B4672" w:rsidRPr="001B1FDB" w14:paraId="491BDDAE" w14:textId="77777777" w:rsidTr="00E36320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961F2" w14:textId="77777777" w:rsidR="006B4672" w:rsidRPr="001B1FDB" w:rsidRDefault="006B4672" w:rsidP="006B46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FD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F653F" w14:textId="1C7B07B0" w:rsidR="006B4672" w:rsidRPr="001B1FDB" w:rsidRDefault="00E36320" w:rsidP="006B467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36320">
              <w:rPr>
                <w:rFonts w:ascii="Arial" w:hAnsi="Arial" w:cs="Arial"/>
                <w:b/>
                <w:bCs/>
                <w:sz w:val="20"/>
                <w:szCs w:val="20"/>
              </w:rPr>
              <w:t>Hament</w:t>
            </w:r>
            <w:proofErr w:type="spellEnd"/>
            <w:r w:rsidRPr="00E363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Panwar</w:t>
            </w:r>
          </w:p>
        </w:tc>
      </w:tr>
      <w:tr w:rsidR="006B4672" w:rsidRPr="001B1FDB" w14:paraId="2826D4ED" w14:textId="77777777" w:rsidTr="00E36320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341A" w14:textId="77777777" w:rsidR="006B4672" w:rsidRPr="001B1FDB" w:rsidRDefault="006B4672" w:rsidP="006B46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FD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A5C2" w14:textId="41F47D21" w:rsidR="006B4672" w:rsidRPr="001B1FDB" w:rsidRDefault="00E36320" w:rsidP="00E3632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363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Sridev</w:t>
            </w:r>
            <w:proofErr w:type="spellEnd"/>
            <w:r w:rsidRPr="00E363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Suman Uttarakhand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E363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1B1F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0"/>
      <w:bookmarkEnd w:id="2"/>
    </w:p>
    <w:sectPr w:rsidR="00F1171E" w:rsidRPr="001B1FD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013DF" w14:textId="77777777" w:rsidR="003F728E" w:rsidRPr="0000007A" w:rsidRDefault="003F728E" w:rsidP="0099583E">
      <w:r>
        <w:separator/>
      </w:r>
    </w:p>
  </w:endnote>
  <w:endnote w:type="continuationSeparator" w:id="0">
    <w:p w14:paraId="56805C50" w14:textId="77777777" w:rsidR="003F728E" w:rsidRPr="0000007A" w:rsidRDefault="003F728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E8C48" w14:textId="77777777" w:rsidR="003F728E" w:rsidRPr="0000007A" w:rsidRDefault="003F728E" w:rsidP="0099583E">
      <w:r>
        <w:separator/>
      </w:r>
    </w:p>
  </w:footnote>
  <w:footnote w:type="continuationSeparator" w:id="0">
    <w:p w14:paraId="1556685A" w14:textId="77777777" w:rsidR="003F728E" w:rsidRPr="0000007A" w:rsidRDefault="003F728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141B75"/>
    <w:multiLevelType w:val="hybridMultilevel"/>
    <w:tmpl w:val="AD8A36E0"/>
    <w:lvl w:ilvl="0" w:tplc="D0F8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1FDB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728E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61F0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DA5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524D"/>
    <w:rsid w:val="00676845"/>
    <w:rsid w:val="00680547"/>
    <w:rsid w:val="0068243C"/>
    <w:rsid w:val="0068446F"/>
    <w:rsid w:val="00686DCE"/>
    <w:rsid w:val="00690EDE"/>
    <w:rsid w:val="006936D1"/>
    <w:rsid w:val="00696CAD"/>
    <w:rsid w:val="006A3930"/>
    <w:rsid w:val="006A5E0B"/>
    <w:rsid w:val="006A7405"/>
    <w:rsid w:val="006B4672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07CA7"/>
    <w:rsid w:val="00722B15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5B30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497A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459F3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59AC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58BA"/>
    <w:rsid w:val="00AB1ED6"/>
    <w:rsid w:val="00AB28C3"/>
    <w:rsid w:val="00AB397D"/>
    <w:rsid w:val="00AB638A"/>
    <w:rsid w:val="00AB65BF"/>
    <w:rsid w:val="00AB6E43"/>
    <w:rsid w:val="00AC1349"/>
    <w:rsid w:val="00AD6C51"/>
    <w:rsid w:val="00AE0E9B"/>
    <w:rsid w:val="00AE54CD"/>
    <w:rsid w:val="00AF07A8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4005"/>
    <w:rsid w:val="00CD093E"/>
    <w:rsid w:val="00CD1556"/>
    <w:rsid w:val="00CD1FD7"/>
    <w:rsid w:val="00CD30A8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36320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2E56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112</cp:revision>
  <dcterms:created xsi:type="dcterms:W3CDTF">2023-08-30T09:21:00Z</dcterms:created>
  <dcterms:modified xsi:type="dcterms:W3CDTF">2025-02-19T05:12:00Z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