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5167"/>
        <w:gridCol w:w="15767"/>
      </w:tblGrid>
      <w:tr w:rsidR="00602F7D" w:rsidRPr="000E0BDC" w:rsidTr="004847FF">
        <w:trPr>
          <w:trHeight w:val="450"/>
        </w:trPr>
        <w:tc>
          <w:tcPr>
            <w:tcW w:w="5000" w:type="pct"/>
            <w:gridSpan w:val="2"/>
            <w:tcBorders>
              <w:top w:val="nil"/>
              <w:left w:val="nil"/>
              <w:right w:val="nil"/>
            </w:tcBorders>
          </w:tcPr>
          <w:p w:rsidR="00602F7D" w:rsidRPr="000E0BDC" w:rsidRDefault="00602F7D" w:rsidP="00F2643C">
            <w:pPr>
              <w:pStyle w:val="Heading2"/>
              <w:jc w:val="left"/>
              <w:rPr>
                <w:rFonts w:ascii="Arial" w:hAnsi="Arial" w:cs="Arial"/>
                <w:b w:val="0"/>
                <w:bCs w:val="0"/>
                <w:lang w:val="en-US"/>
              </w:rPr>
            </w:pPr>
          </w:p>
        </w:tc>
      </w:tr>
      <w:tr w:rsidR="0000007A" w:rsidRPr="000E0BDC" w:rsidTr="00F33C84">
        <w:trPr>
          <w:trHeight w:val="413"/>
        </w:trPr>
        <w:tc>
          <w:tcPr>
            <w:tcW w:w="1234" w:type="pct"/>
          </w:tcPr>
          <w:p w:rsidR="0000007A" w:rsidRPr="000E0BDC" w:rsidRDefault="00D27A79" w:rsidP="00696CAD">
            <w:pPr>
              <w:pStyle w:val="BodyText"/>
              <w:ind w:left="90"/>
              <w:jc w:val="left"/>
              <w:rPr>
                <w:rFonts w:ascii="Arial" w:hAnsi="Arial" w:cs="Arial"/>
                <w:bCs/>
                <w:sz w:val="20"/>
                <w:szCs w:val="20"/>
                <w:lang w:val="en-GB"/>
              </w:rPr>
            </w:pPr>
            <w:r w:rsidRPr="000E0BDC">
              <w:rPr>
                <w:rFonts w:ascii="Arial" w:hAnsi="Arial" w:cs="Arial"/>
                <w:bCs/>
                <w:sz w:val="20"/>
                <w:szCs w:val="20"/>
                <w:lang w:val="en-GB"/>
              </w:rPr>
              <w:t xml:space="preserve">Book </w:t>
            </w:r>
            <w:r w:rsidR="0000007A" w:rsidRPr="000E0BDC">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0E0BDC" w:rsidRDefault="00052837" w:rsidP="00054BC4">
            <w:pPr>
              <w:pStyle w:val="NormalWeb"/>
              <w:rPr>
                <w:rFonts w:ascii="Arial" w:hAnsi="Arial" w:cs="Arial"/>
                <w:b/>
                <w:bCs/>
                <w:sz w:val="20"/>
                <w:szCs w:val="20"/>
                <w:u w:val="single"/>
              </w:rPr>
            </w:pPr>
            <w:hyperlink r:id="rId7" w:history="1">
              <w:r w:rsidR="001D1952" w:rsidRPr="000E0BDC">
                <w:rPr>
                  <w:rStyle w:val="Hyperlink"/>
                  <w:rFonts w:ascii="Arial" w:hAnsi="Arial" w:cs="Arial"/>
                  <w:b/>
                  <w:sz w:val="20"/>
                  <w:szCs w:val="20"/>
                </w:rPr>
                <w:t>Mathematics and Computer Science: Research Updates</w:t>
              </w:r>
            </w:hyperlink>
          </w:p>
        </w:tc>
      </w:tr>
      <w:tr w:rsidR="0000007A" w:rsidRPr="000E0BDC" w:rsidTr="002E7787">
        <w:trPr>
          <w:trHeight w:val="290"/>
        </w:trPr>
        <w:tc>
          <w:tcPr>
            <w:tcW w:w="1234" w:type="pct"/>
          </w:tcPr>
          <w:p w:rsidR="0000007A" w:rsidRPr="000E0BDC" w:rsidRDefault="0000007A" w:rsidP="00696CAD">
            <w:pPr>
              <w:pStyle w:val="BodyText"/>
              <w:ind w:left="90"/>
              <w:jc w:val="left"/>
              <w:rPr>
                <w:rFonts w:ascii="Arial" w:hAnsi="Arial" w:cs="Arial"/>
                <w:bCs/>
                <w:sz w:val="20"/>
                <w:szCs w:val="20"/>
                <w:lang w:val="en-GB"/>
              </w:rPr>
            </w:pPr>
            <w:r w:rsidRPr="000E0BDC">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0E0BDC" w:rsidRDefault="00E72A8E" w:rsidP="00F3669D">
            <w:pPr>
              <w:pStyle w:val="NormalWeb"/>
              <w:spacing w:before="0" w:beforeAutospacing="0" w:after="0" w:afterAutospacing="0"/>
              <w:rPr>
                <w:rFonts w:ascii="Arial" w:hAnsi="Arial" w:cs="Arial"/>
                <w:b/>
                <w:bCs/>
                <w:sz w:val="20"/>
                <w:szCs w:val="20"/>
                <w:highlight w:val="yellow"/>
                <w:lang w:val="en-GB"/>
              </w:rPr>
            </w:pPr>
            <w:r w:rsidRPr="000E0BDC">
              <w:rPr>
                <w:rFonts w:ascii="Arial" w:hAnsi="Arial" w:cs="Arial"/>
                <w:b/>
                <w:bCs/>
                <w:sz w:val="20"/>
                <w:szCs w:val="20"/>
                <w:lang w:val="en-GB"/>
              </w:rPr>
              <w:t>Ms_BP</w:t>
            </w:r>
            <w:r w:rsidR="00FC432A" w:rsidRPr="000E0BDC">
              <w:rPr>
                <w:rFonts w:ascii="Arial" w:hAnsi="Arial" w:cs="Arial"/>
                <w:b/>
                <w:bCs/>
                <w:sz w:val="20"/>
                <w:szCs w:val="20"/>
                <w:lang w:val="en-GB"/>
              </w:rPr>
              <w:t>R</w:t>
            </w:r>
            <w:r w:rsidRPr="000E0BDC">
              <w:rPr>
                <w:rFonts w:ascii="Arial" w:hAnsi="Arial" w:cs="Arial"/>
                <w:b/>
                <w:bCs/>
                <w:sz w:val="20"/>
                <w:szCs w:val="20"/>
                <w:lang w:val="en-GB"/>
              </w:rPr>
              <w:t>_</w:t>
            </w:r>
            <w:r w:rsidR="00633F9C" w:rsidRPr="000E0BDC">
              <w:rPr>
                <w:rFonts w:ascii="Arial" w:hAnsi="Arial" w:cs="Arial"/>
                <w:b/>
                <w:bCs/>
                <w:sz w:val="20"/>
                <w:szCs w:val="20"/>
                <w:lang w:val="en-GB"/>
              </w:rPr>
              <w:t>4190</w:t>
            </w:r>
          </w:p>
        </w:tc>
      </w:tr>
      <w:tr w:rsidR="0000007A" w:rsidRPr="000E0BDC" w:rsidTr="002109D6">
        <w:trPr>
          <w:trHeight w:val="331"/>
        </w:trPr>
        <w:tc>
          <w:tcPr>
            <w:tcW w:w="1234" w:type="pct"/>
          </w:tcPr>
          <w:p w:rsidR="0000007A" w:rsidRPr="000E0BDC" w:rsidRDefault="0000007A" w:rsidP="00696CAD">
            <w:pPr>
              <w:pStyle w:val="BodyText"/>
              <w:ind w:left="90"/>
              <w:jc w:val="left"/>
              <w:rPr>
                <w:rFonts w:ascii="Arial" w:hAnsi="Arial" w:cs="Arial"/>
                <w:bCs/>
                <w:sz w:val="20"/>
                <w:szCs w:val="20"/>
                <w:lang w:val="en-GB"/>
              </w:rPr>
            </w:pPr>
            <w:r w:rsidRPr="000E0BDC">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0E0BDC" w:rsidRDefault="00ED1E7B" w:rsidP="000450FC">
            <w:pPr>
              <w:pStyle w:val="NormalWeb"/>
              <w:spacing w:before="0" w:beforeAutospacing="0" w:after="0" w:afterAutospacing="0"/>
              <w:rPr>
                <w:rFonts w:ascii="Arial" w:hAnsi="Arial" w:cs="Arial"/>
                <w:b/>
                <w:sz w:val="20"/>
                <w:szCs w:val="20"/>
                <w:highlight w:val="yellow"/>
                <w:lang w:val="en-GB"/>
              </w:rPr>
            </w:pPr>
            <w:r w:rsidRPr="000E0BDC">
              <w:rPr>
                <w:rFonts w:ascii="Arial" w:hAnsi="Arial" w:cs="Arial"/>
                <w:b/>
                <w:sz w:val="20"/>
                <w:szCs w:val="20"/>
                <w:lang w:val="en-GB"/>
              </w:rPr>
              <w:t>A Comprehensive Study on Scope and Challenges in Digital Inheritance</w:t>
            </w:r>
          </w:p>
        </w:tc>
      </w:tr>
      <w:tr w:rsidR="00CF0BBB" w:rsidRPr="000E0BDC" w:rsidTr="002E7787">
        <w:trPr>
          <w:trHeight w:val="332"/>
        </w:trPr>
        <w:tc>
          <w:tcPr>
            <w:tcW w:w="1234" w:type="pct"/>
          </w:tcPr>
          <w:p w:rsidR="00CF0BBB" w:rsidRPr="000E0BDC" w:rsidRDefault="00CF0BBB" w:rsidP="00696CAD">
            <w:pPr>
              <w:pStyle w:val="BodyText"/>
              <w:ind w:left="90"/>
              <w:jc w:val="left"/>
              <w:rPr>
                <w:rFonts w:ascii="Arial" w:hAnsi="Arial" w:cs="Arial"/>
                <w:bCs/>
                <w:sz w:val="20"/>
                <w:szCs w:val="20"/>
                <w:lang w:val="en-GB"/>
              </w:rPr>
            </w:pPr>
            <w:r w:rsidRPr="000E0BDC">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0E0BDC" w:rsidRDefault="00633F9C" w:rsidP="000450FC">
            <w:pPr>
              <w:pStyle w:val="NormalWeb"/>
              <w:spacing w:before="0" w:beforeAutospacing="0" w:after="0" w:afterAutospacing="0"/>
              <w:rPr>
                <w:rFonts w:ascii="Arial" w:hAnsi="Arial" w:cs="Arial"/>
                <w:b/>
                <w:sz w:val="20"/>
                <w:szCs w:val="20"/>
                <w:lang w:val="en-GB"/>
              </w:rPr>
            </w:pPr>
            <w:r w:rsidRPr="000E0BDC">
              <w:rPr>
                <w:rFonts w:ascii="Arial" w:hAnsi="Arial" w:cs="Arial"/>
                <w:b/>
                <w:sz w:val="20"/>
                <w:szCs w:val="20"/>
                <w:lang w:val="en-GB"/>
              </w:rPr>
              <w:t>Book Chapter</w:t>
            </w:r>
          </w:p>
        </w:tc>
      </w:tr>
    </w:tbl>
    <w:p w:rsidR="00D27A79" w:rsidRPr="000E0BDC"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1"/>
        <w:gridCol w:w="9357"/>
        <w:gridCol w:w="6442"/>
      </w:tblGrid>
      <w:tr w:rsidR="00F1171E" w:rsidRPr="000E0BDC" w:rsidTr="007222C8">
        <w:tc>
          <w:tcPr>
            <w:tcW w:w="5000" w:type="pct"/>
            <w:gridSpan w:val="3"/>
            <w:tcBorders>
              <w:top w:val="nil"/>
              <w:left w:val="nil"/>
              <w:right w:val="nil"/>
            </w:tcBorders>
            <w:noWrap/>
          </w:tcPr>
          <w:p w:rsidR="00F1171E" w:rsidRPr="000E0BDC" w:rsidRDefault="00F1171E" w:rsidP="007222C8">
            <w:pPr>
              <w:pStyle w:val="Heading2"/>
              <w:jc w:val="left"/>
              <w:rPr>
                <w:rFonts w:ascii="Arial" w:hAnsi="Arial" w:cs="Arial"/>
                <w:lang w:val="en-GB"/>
              </w:rPr>
            </w:pPr>
            <w:r w:rsidRPr="000E0BDC">
              <w:rPr>
                <w:rFonts w:ascii="Arial" w:hAnsi="Arial" w:cs="Arial"/>
                <w:highlight w:val="yellow"/>
                <w:lang w:val="en-GB"/>
              </w:rPr>
              <w:t>PART  1:</w:t>
            </w:r>
            <w:r w:rsidRPr="000E0BDC">
              <w:rPr>
                <w:rFonts w:ascii="Arial" w:hAnsi="Arial" w:cs="Arial"/>
                <w:lang w:val="en-GB"/>
              </w:rPr>
              <w:t xml:space="preserve"> Comments</w:t>
            </w:r>
          </w:p>
          <w:p w:rsidR="00F1171E" w:rsidRPr="000E0BDC" w:rsidRDefault="00F1171E" w:rsidP="007222C8">
            <w:pPr>
              <w:rPr>
                <w:rFonts w:ascii="Arial" w:hAnsi="Arial" w:cs="Arial"/>
                <w:sz w:val="20"/>
                <w:szCs w:val="20"/>
                <w:lang w:val="en-GB"/>
              </w:rPr>
            </w:pPr>
          </w:p>
        </w:tc>
      </w:tr>
      <w:tr w:rsidR="00F1171E" w:rsidRPr="000E0BDC" w:rsidTr="007222C8">
        <w:tc>
          <w:tcPr>
            <w:tcW w:w="1265" w:type="pct"/>
            <w:noWrap/>
          </w:tcPr>
          <w:p w:rsidR="00F1171E" w:rsidRPr="000E0BDC" w:rsidRDefault="00F1171E" w:rsidP="007222C8">
            <w:pPr>
              <w:pStyle w:val="Heading2"/>
              <w:jc w:val="left"/>
              <w:rPr>
                <w:rFonts w:ascii="Arial" w:hAnsi="Arial" w:cs="Arial"/>
                <w:lang w:val="en-GB"/>
              </w:rPr>
            </w:pPr>
          </w:p>
        </w:tc>
        <w:tc>
          <w:tcPr>
            <w:tcW w:w="2212" w:type="pct"/>
          </w:tcPr>
          <w:p w:rsidR="00F1171E" w:rsidRPr="000E0BDC" w:rsidRDefault="00F1171E" w:rsidP="007222C8">
            <w:pPr>
              <w:pStyle w:val="Heading2"/>
              <w:jc w:val="left"/>
              <w:rPr>
                <w:rFonts w:ascii="Arial" w:hAnsi="Arial" w:cs="Arial"/>
                <w:lang w:val="en-GB"/>
              </w:rPr>
            </w:pPr>
            <w:r w:rsidRPr="000E0BDC">
              <w:rPr>
                <w:rFonts w:ascii="Arial" w:hAnsi="Arial" w:cs="Arial"/>
                <w:lang w:val="en-GB"/>
              </w:rPr>
              <w:t>Reviewer’s comment</w:t>
            </w:r>
          </w:p>
        </w:tc>
        <w:tc>
          <w:tcPr>
            <w:tcW w:w="1523" w:type="pct"/>
          </w:tcPr>
          <w:p w:rsidR="00F1171E" w:rsidRPr="000E0BDC" w:rsidRDefault="00F1171E" w:rsidP="007222C8">
            <w:pPr>
              <w:pStyle w:val="Heading2"/>
              <w:jc w:val="left"/>
              <w:rPr>
                <w:rFonts w:ascii="Arial" w:hAnsi="Arial" w:cs="Arial"/>
                <w:b w:val="0"/>
                <w:lang w:val="en-GB"/>
              </w:rPr>
            </w:pPr>
            <w:r w:rsidRPr="000E0BDC">
              <w:rPr>
                <w:rFonts w:ascii="Arial" w:hAnsi="Arial" w:cs="Arial"/>
                <w:lang w:val="en-GB"/>
              </w:rPr>
              <w:t>Author’s Feedback</w:t>
            </w:r>
            <w:r w:rsidRPr="000E0BDC">
              <w:rPr>
                <w:rFonts w:ascii="Arial" w:hAnsi="Arial" w:cs="Arial"/>
                <w:b w:val="0"/>
                <w:i/>
                <w:lang w:val="en-GB"/>
              </w:rPr>
              <w:t>(Please correct the manuscript and highlight that part in the manuscript. It is mandatory that authors should write his/her feedback here)</w:t>
            </w:r>
          </w:p>
        </w:tc>
      </w:tr>
      <w:tr w:rsidR="00F1171E" w:rsidRPr="000E0BDC" w:rsidTr="007222C8">
        <w:trPr>
          <w:trHeight w:val="1264"/>
        </w:trPr>
        <w:tc>
          <w:tcPr>
            <w:tcW w:w="1265" w:type="pct"/>
            <w:noWrap/>
          </w:tcPr>
          <w:p w:rsidR="00F1171E" w:rsidRPr="000E0BDC" w:rsidRDefault="00F1171E" w:rsidP="007222C8">
            <w:pPr>
              <w:ind w:left="360"/>
              <w:rPr>
                <w:rFonts w:ascii="Arial" w:hAnsi="Arial" w:cs="Arial"/>
                <w:b/>
                <w:bCs/>
                <w:sz w:val="20"/>
                <w:szCs w:val="20"/>
                <w:lang w:val="en-GB"/>
              </w:rPr>
            </w:pPr>
            <w:r w:rsidRPr="000E0BDC">
              <w:rPr>
                <w:rFonts w:ascii="Arial" w:hAnsi="Arial" w:cs="Arial"/>
                <w:b/>
                <w:bCs/>
                <w:sz w:val="20"/>
                <w:szCs w:val="20"/>
                <w:lang w:val="en-GB"/>
              </w:rPr>
              <w:t>Please write a few sentences regarding the importance of this manuscript for the scientific community. A minimumof 3-4 sentences may be required for this part.</w:t>
            </w:r>
          </w:p>
          <w:p w:rsidR="00F1171E" w:rsidRPr="000E0BDC" w:rsidRDefault="00F1171E" w:rsidP="007222C8">
            <w:pPr>
              <w:ind w:left="360"/>
              <w:rPr>
                <w:rFonts w:ascii="Arial" w:eastAsia="MS Mincho" w:hAnsi="Arial" w:cs="Arial"/>
                <w:b/>
                <w:bCs/>
                <w:sz w:val="20"/>
                <w:szCs w:val="20"/>
                <w:lang w:val="en-GB"/>
              </w:rPr>
            </w:pPr>
          </w:p>
        </w:tc>
        <w:tc>
          <w:tcPr>
            <w:tcW w:w="2212" w:type="pct"/>
          </w:tcPr>
          <w:p w:rsidR="00F1171E" w:rsidRPr="000E0BDC" w:rsidRDefault="00690A09" w:rsidP="007222C8">
            <w:pPr>
              <w:pStyle w:val="ListParagraph"/>
              <w:ind w:left="0"/>
              <w:rPr>
                <w:rFonts w:ascii="Arial" w:hAnsi="Arial" w:cs="Arial"/>
                <w:b/>
                <w:bCs/>
                <w:sz w:val="20"/>
                <w:szCs w:val="20"/>
                <w:lang w:bidi="fa-IR"/>
              </w:rPr>
            </w:pPr>
            <w:r w:rsidRPr="000E0BDC">
              <w:rPr>
                <w:rFonts w:ascii="Arial" w:hAnsi="Arial" w:cs="Arial"/>
                <w:b/>
                <w:bCs/>
                <w:sz w:val="20"/>
                <w:szCs w:val="20"/>
                <w:lang w:bidi="fa-IR"/>
              </w:rPr>
              <w:t>The topic of the article is very important.</w:t>
            </w:r>
          </w:p>
        </w:tc>
        <w:tc>
          <w:tcPr>
            <w:tcW w:w="1523" w:type="pct"/>
          </w:tcPr>
          <w:p w:rsidR="00F1171E" w:rsidRPr="000E0BDC" w:rsidRDefault="00F1171E" w:rsidP="007222C8">
            <w:pPr>
              <w:pStyle w:val="Heading2"/>
              <w:jc w:val="left"/>
              <w:rPr>
                <w:rFonts w:ascii="Arial" w:hAnsi="Arial" w:cs="Arial"/>
                <w:b w:val="0"/>
                <w:lang w:val="en-GB"/>
              </w:rPr>
            </w:pPr>
          </w:p>
        </w:tc>
      </w:tr>
      <w:tr w:rsidR="00F1171E" w:rsidRPr="000E0BDC" w:rsidTr="007222C8">
        <w:trPr>
          <w:trHeight w:val="1262"/>
        </w:trPr>
        <w:tc>
          <w:tcPr>
            <w:tcW w:w="1265" w:type="pct"/>
            <w:noWrap/>
          </w:tcPr>
          <w:p w:rsidR="00F1171E" w:rsidRPr="000E0BDC" w:rsidRDefault="00F1171E" w:rsidP="007222C8">
            <w:pPr>
              <w:ind w:left="360"/>
              <w:rPr>
                <w:rFonts w:ascii="Arial" w:hAnsi="Arial" w:cs="Arial"/>
                <w:b/>
                <w:bCs/>
                <w:sz w:val="20"/>
                <w:szCs w:val="20"/>
                <w:lang w:val="en-GB"/>
              </w:rPr>
            </w:pPr>
            <w:r w:rsidRPr="000E0BDC">
              <w:rPr>
                <w:rFonts w:ascii="Arial" w:hAnsi="Arial" w:cs="Arial"/>
                <w:b/>
                <w:bCs/>
                <w:sz w:val="20"/>
                <w:szCs w:val="20"/>
                <w:lang w:val="en-GB"/>
              </w:rPr>
              <w:t>Is the title of the article suitable?</w:t>
            </w:r>
          </w:p>
          <w:p w:rsidR="00F1171E" w:rsidRPr="000E0BDC" w:rsidRDefault="00F1171E" w:rsidP="007222C8">
            <w:pPr>
              <w:ind w:left="360"/>
              <w:rPr>
                <w:rFonts w:ascii="Arial" w:hAnsi="Arial" w:cs="Arial"/>
                <w:b/>
                <w:bCs/>
                <w:sz w:val="20"/>
                <w:szCs w:val="20"/>
                <w:lang w:val="en-GB"/>
              </w:rPr>
            </w:pPr>
            <w:r w:rsidRPr="000E0BDC">
              <w:rPr>
                <w:rFonts w:ascii="Arial" w:hAnsi="Arial" w:cs="Arial"/>
                <w:b/>
                <w:bCs/>
                <w:sz w:val="20"/>
                <w:szCs w:val="20"/>
                <w:lang w:val="en-GB"/>
              </w:rPr>
              <w:t>(If not please suggest an alternative title)</w:t>
            </w:r>
          </w:p>
          <w:p w:rsidR="00F1171E" w:rsidRPr="000E0BDC" w:rsidRDefault="00F1171E" w:rsidP="007222C8">
            <w:pPr>
              <w:pStyle w:val="Heading2"/>
              <w:jc w:val="left"/>
              <w:rPr>
                <w:rFonts w:ascii="Arial" w:hAnsi="Arial" w:cs="Arial"/>
                <w:u w:val="single"/>
                <w:lang w:val="en-GB"/>
              </w:rPr>
            </w:pPr>
          </w:p>
        </w:tc>
        <w:tc>
          <w:tcPr>
            <w:tcW w:w="2212" w:type="pct"/>
          </w:tcPr>
          <w:p w:rsidR="00F1171E" w:rsidRPr="000E0BDC" w:rsidRDefault="00690A09" w:rsidP="007222C8">
            <w:pPr>
              <w:ind w:left="360"/>
              <w:rPr>
                <w:rFonts w:ascii="Arial" w:hAnsi="Arial" w:cs="Arial"/>
                <w:b/>
                <w:bCs/>
                <w:sz w:val="20"/>
                <w:szCs w:val="20"/>
              </w:rPr>
            </w:pPr>
            <w:r w:rsidRPr="000E0BDC">
              <w:rPr>
                <w:rFonts w:ascii="Arial" w:hAnsi="Arial" w:cs="Arial"/>
                <w:b/>
                <w:bCs/>
                <w:sz w:val="20"/>
                <w:szCs w:val="20"/>
              </w:rPr>
              <w:t>yes</w:t>
            </w:r>
          </w:p>
        </w:tc>
        <w:tc>
          <w:tcPr>
            <w:tcW w:w="1523" w:type="pct"/>
          </w:tcPr>
          <w:p w:rsidR="00F1171E" w:rsidRPr="000E0BDC" w:rsidRDefault="00F1171E" w:rsidP="007222C8">
            <w:pPr>
              <w:pStyle w:val="Heading2"/>
              <w:jc w:val="left"/>
              <w:rPr>
                <w:rFonts w:ascii="Arial" w:hAnsi="Arial" w:cs="Arial"/>
                <w:b w:val="0"/>
                <w:lang w:val="en-GB"/>
              </w:rPr>
            </w:pPr>
          </w:p>
        </w:tc>
      </w:tr>
      <w:tr w:rsidR="00F1171E" w:rsidRPr="000E0BDC" w:rsidTr="007222C8">
        <w:trPr>
          <w:trHeight w:val="1262"/>
        </w:trPr>
        <w:tc>
          <w:tcPr>
            <w:tcW w:w="1265" w:type="pct"/>
            <w:noWrap/>
          </w:tcPr>
          <w:p w:rsidR="00F1171E" w:rsidRPr="000E0BDC" w:rsidRDefault="00F1171E" w:rsidP="007222C8">
            <w:pPr>
              <w:pStyle w:val="Heading2"/>
              <w:ind w:left="360"/>
              <w:jc w:val="left"/>
              <w:rPr>
                <w:rFonts w:ascii="Arial" w:hAnsi="Arial" w:cs="Arial"/>
                <w:lang w:val="en-GB"/>
              </w:rPr>
            </w:pPr>
            <w:r w:rsidRPr="000E0BDC">
              <w:rPr>
                <w:rFonts w:ascii="Arial" w:hAnsi="Arial" w:cs="Arial"/>
                <w:lang w:val="en-GB"/>
              </w:rPr>
              <w:t>Is the abstract of the article comprehensive? Do you suggest the addition (or deletion) of some points in this section? Please write your suggestions here.</w:t>
            </w:r>
          </w:p>
          <w:p w:rsidR="00F1171E" w:rsidRPr="000E0BDC" w:rsidRDefault="00F1171E" w:rsidP="007222C8">
            <w:pPr>
              <w:pStyle w:val="Heading2"/>
              <w:jc w:val="left"/>
              <w:rPr>
                <w:rFonts w:ascii="Arial" w:hAnsi="Arial" w:cs="Arial"/>
                <w:u w:val="single"/>
                <w:lang w:val="en-GB"/>
              </w:rPr>
            </w:pPr>
          </w:p>
        </w:tc>
        <w:tc>
          <w:tcPr>
            <w:tcW w:w="2212" w:type="pct"/>
          </w:tcPr>
          <w:p w:rsidR="00F1171E" w:rsidRPr="000E0BDC" w:rsidRDefault="00690A09" w:rsidP="007222C8">
            <w:pPr>
              <w:ind w:left="360"/>
              <w:rPr>
                <w:rFonts w:ascii="Arial" w:hAnsi="Arial" w:cs="Arial"/>
                <w:b/>
                <w:bCs/>
                <w:sz w:val="20"/>
                <w:szCs w:val="20"/>
                <w:lang w:val="en-GB"/>
              </w:rPr>
            </w:pPr>
            <w:r w:rsidRPr="000E0BDC">
              <w:rPr>
                <w:rFonts w:ascii="Arial" w:hAnsi="Arial" w:cs="Arial"/>
                <w:b/>
                <w:bCs/>
                <w:sz w:val="20"/>
                <w:szCs w:val="20"/>
                <w:lang w:val="en-GB"/>
              </w:rPr>
              <w:t>yes</w:t>
            </w:r>
          </w:p>
        </w:tc>
        <w:tc>
          <w:tcPr>
            <w:tcW w:w="1523" w:type="pct"/>
          </w:tcPr>
          <w:p w:rsidR="00F1171E" w:rsidRPr="000E0BDC" w:rsidRDefault="00F1171E" w:rsidP="007222C8">
            <w:pPr>
              <w:pStyle w:val="Heading2"/>
              <w:jc w:val="left"/>
              <w:rPr>
                <w:rFonts w:ascii="Arial" w:hAnsi="Arial" w:cs="Arial"/>
                <w:b w:val="0"/>
                <w:lang w:val="en-GB"/>
              </w:rPr>
            </w:pPr>
          </w:p>
        </w:tc>
      </w:tr>
      <w:tr w:rsidR="00F1171E" w:rsidRPr="000E0BDC" w:rsidTr="007222C8">
        <w:trPr>
          <w:trHeight w:val="859"/>
        </w:trPr>
        <w:tc>
          <w:tcPr>
            <w:tcW w:w="1265" w:type="pct"/>
            <w:noWrap/>
          </w:tcPr>
          <w:p w:rsidR="00F1171E" w:rsidRPr="000E0BDC" w:rsidRDefault="00DC6FED" w:rsidP="007222C8">
            <w:pPr>
              <w:ind w:left="360"/>
              <w:rPr>
                <w:rFonts w:ascii="Arial" w:hAnsi="Arial" w:cs="Arial"/>
                <w:b/>
                <w:bCs/>
                <w:sz w:val="20"/>
                <w:szCs w:val="20"/>
                <w:u w:val="single"/>
                <w:lang w:val="en-GB"/>
              </w:rPr>
            </w:pPr>
            <w:r w:rsidRPr="000E0BDC">
              <w:rPr>
                <w:rFonts w:ascii="Arial" w:hAnsi="Arial" w:cs="Arial"/>
                <w:b/>
                <w:bCs/>
                <w:sz w:val="20"/>
                <w:szCs w:val="20"/>
                <w:lang w:val="en-GB"/>
              </w:rPr>
              <w:t>Is the manuscript scientifically, correct? Please write here.</w:t>
            </w:r>
          </w:p>
        </w:tc>
        <w:tc>
          <w:tcPr>
            <w:tcW w:w="2212" w:type="pct"/>
          </w:tcPr>
          <w:p w:rsidR="00F1171E" w:rsidRPr="000E0BDC" w:rsidRDefault="00690A09" w:rsidP="007222C8">
            <w:pPr>
              <w:pStyle w:val="ListParagraph"/>
              <w:ind w:left="0"/>
              <w:rPr>
                <w:rFonts w:ascii="Arial" w:hAnsi="Arial" w:cs="Arial"/>
                <w:b/>
                <w:bCs/>
                <w:sz w:val="20"/>
                <w:szCs w:val="20"/>
                <w:lang w:val="en-GB"/>
              </w:rPr>
            </w:pPr>
            <w:r w:rsidRPr="000E0BDC">
              <w:rPr>
                <w:rFonts w:ascii="Arial" w:hAnsi="Arial" w:cs="Arial"/>
                <w:b/>
                <w:bCs/>
                <w:sz w:val="20"/>
                <w:szCs w:val="20"/>
                <w:lang w:val="en-GB"/>
              </w:rPr>
              <w:t>correct</w:t>
            </w:r>
          </w:p>
        </w:tc>
        <w:tc>
          <w:tcPr>
            <w:tcW w:w="1523" w:type="pct"/>
          </w:tcPr>
          <w:p w:rsidR="00F1171E" w:rsidRPr="000E0BDC" w:rsidRDefault="00F1171E" w:rsidP="007222C8">
            <w:pPr>
              <w:pStyle w:val="Heading2"/>
              <w:jc w:val="left"/>
              <w:rPr>
                <w:rFonts w:ascii="Arial" w:hAnsi="Arial" w:cs="Arial"/>
                <w:b w:val="0"/>
                <w:lang w:val="en-GB"/>
              </w:rPr>
            </w:pPr>
          </w:p>
        </w:tc>
      </w:tr>
      <w:tr w:rsidR="00F1171E" w:rsidRPr="000E0BDC" w:rsidTr="007222C8">
        <w:trPr>
          <w:trHeight w:val="703"/>
        </w:trPr>
        <w:tc>
          <w:tcPr>
            <w:tcW w:w="1265" w:type="pct"/>
            <w:noWrap/>
          </w:tcPr>
          <w:p w:rsidR="00F1171E" w:rsidRPr="000E0BDC" w:rsidRDefault="00F1171E" w:rsidP="007222C8">
            <w:pPr>
              <w:ind w:left="360"/>
              <w:rPr>
                <w:rFonts w:ascii="Arial" w:hAnsi="Arial" w:cs="Arial"/>
                <w:b/>
                <w:bCs/>
                <w:sz w:val="20"/>
                <w:szCs w:val="20"/>
                <w:lang w:val="en-GB"/>
              </w:rPr>
            </w:pPr>
            <w:r w:rsidRPr="000E0BDC">
              <w:rPr>
                <w:rFonts w:ascii="Arial" w:hAnsi="Arial" w:cs="Arial"/>
                <w:b/>
                <w:bCs/>
                <w:sz w:val="20"/>
                <w:szCs w:val="20"/>
                <w:lang w:val="en-GB"/>
              </w:rPr>
              <w:t>Are the references sufficient and recent? If you have suggestions of additional references, please mention them in the review form.</w:t>
            </w:r>
          </w:p>
          <w:p w:rsidR="00F1171E" w:rsidRPr="000E0BDC" w:rsidRDefault="00F1171E" w:rsidP="007222C8">
            <w:pPr>
              <w:ind w:left="360"/>
              <w:rPr>
                <w:rFonts w:ascii="Arial" w:hAnsi="Arial" w:cs="Arial"/>
                <w:b/>
                <w:bCs/>
                <w:sz w:val="20"/>
                <w:szCs w:val="20"/>
                <w:u w:val="single"/>
                <w:lang w:val="en-GB"/>
              </w:rPr>
            </w:pPr>
            <w:r w:rsidRPr="000E0BDC">
              <w:rPr>
                <w:rFonts w:ascii="Arial" w:hAnsi="Arial" w:cs="Arial"/>
                <w:b/>
                <w:bCs/>
                <w:sz w:val="20"/>
                <w:szCs w:val="20"/>
                <w:u w:val="single"/>
                <w:lang w:val="en-GB"/>
              </w:rPr>
              <w:t>-</w:t>
            </w:r>
          </w:p>
        </w:tc>
        <w:tc>
          <w:tcPr>
            <w:tcW w:w="2212" w:type="pct"/>
          </w:tcPr>
          <w:p w:rsidR="00F1171E" w:rsidRPr="000E0BDC" w:rsidRDefault="00690A09" w:rsidP="007222C8">
            <w:pPr>
              <w:pStyle w:val="ListParagraph"/>
              <w:ind w:left="0"/>
              <w:rPr>
                <w:rFonts w:ascii="Arial" w:hAnsi="Arial" w:cs="Arial"/>
                <w:b/>
                <w:bCs/>
                <w:sz w:val="20"/>
                <w:szCs w:val="20"/>
                <w:rtl/>
                <w:lang w:val="en-GB" w:bidi="fa-IR"/>
              </w:rPr>
            </w:pPr>
            <w:r w:rsidRPr="000E0BDC">
              <w:rPr>
                <w:rFonts w:ascii="Arial" w:hAnsi="Arial" w:cs="Arial"/>
                <w:b/>
                <w:bCs/>
                <w:sz w:val="20"/>
                <w:szCs w:val="20"/>
                <w:lang w:val="en-GB" w:bidi="fa-IR"/>
              </w:rPr>
              <w:t>The article's sources are few.</w:t>
            </w:r>
          </w:p>
        </w:tc>
        <w:tc>
          <w:tcPr>
            <w:tcW w:w="1523" w:type="pct"/>
          </w:tcPr>
          <w:p w:rsidR="00F1171E" w:rsidRPr="000E0BDC" w:rsidRDefault="00F1171E" w:rsidP="007222C8">
            <w:pPr>
              <w:pStyle w:val="Heading2"/>
              <w:jc w:val="left"/>
              <w:rPr>
                <w:rFonts w:ascii="Arial" w:hAnsi="Arial" w:cs="Arial"/>
                <w:b w:val="0"/>
                <w:lang w:val="en-GB"/>
              </w:rPr>
            </w:pPr>
          </w:p>
        </w:tc>
      </w:tr>
      <w:tr w:rsidR="00F1171E" w:rsidRPr="000E0BDC" w:rsidTr="007222C8">
        <w:trPr>
          <w:trHeight w:val="386"/>
        </w:trPr>
        <w:tc>
          <w:tcPr>
            <w:tcW w:w="1265" w:type="pct"/>
            <w:noWrap/>
          </w:tcPr>
          <w:p w:rsidR="00F1171E" w:rsidRPr="000E0BDC" w:rsidRDefault="00F1171E" w:rsidP="007222C8">
            <w:pPr>
              <w:pStyle w:val="Heading2"/>
              <w:jc w:val="left"/>
              <w:rPr>
                <w:rFonts w:ascii="Arial" w:hAnsi="Arial" w:cs="Arial"/>
                <w:b w:val="0"/>
                <w:lang w:val="en-GB"/>
              </w:rPr>
            </w:pPr>
          </w:p>
          <w:p w:rsidR="00F1171E" w:rsidRPr="000E0BDC" w:rsidRDefault="00F1171E" w:rsidP="007222C8">
            <w:pPr>
              <w:pStyle w:val="Heading2"/>
              <w:ind w:left="360"/>
              <w:jc w:val="left"/>
              <w:rPr>
                <w:rFonts w:ascii="Arial" w:hAnsi="Arial" w:cs="Arial"/>
                <w:bCs w:val="0"/>
                <w:lang w:val="en-GB"/>
              </w:rPr>
            </w:pPr>
            <w:r w:rsidRPr="000E0BDC">
              <w:rPr>
                <w:rFonts w:ascii="Arial" w:hAnsi="Arial" w:cs="Arial"/>
                <w:bCs w:val="0"/>
                <w:lang w:val="en-GB"/>
              </w:rPr>
              <w:t>Is the language/English quality of the article suitable for scholarly communications?</w:t>
            </w:r>
          </w:p>
          <w:p w:rsidR="00F1171E" w:rsidRPr="000E0BDC" w:rsidRDefault="00F1171E" w:rsidP="007222C8">
            <w:pPr>
              <w:rPr>
                <w:rFonts w:ascii="Arial" w:hAnsi="Arial" w:cs="Arial"/>
                <w:sz w:val="20"/>
                <w:szCs w:val="20"/>
                <w:lang w:val="en-GB"/>
              </w:rPr>
            </w:pPr>
          </w:p>
        </w:tc>
        <w:tc>
          <w:tcPr>
            <w:tcW w:w="2212" w:type="pct"/>
          </w:tcPr>
          <w:p w:rsidR="00F1171E" w:rsidRPr="000E0BDC" w:rsidRDefault="00690A09" w:rsidP="007222C8">
            <w:pPr>
              <w:rPr>
                <w:rFonts w:ascii="Arial" w:hAnsi="Arial" w:cs="Arial"/>
                <w:sz w:val="20"/>
                <w:szCs w:val="20"/>
              </w:rPr>
            </w:pPr>
            <w:r w:rsidRPr="000E0BDC">
              <w:rPr>
                <w:rFonts w:ascii="Arial" w:hAnsi="Arial" w:cs="Arial"/>
                <w:sz w:val="20"/>
                <w:szCs w:val="20"/>
              </w:rPr>
              <w:t>yes</w:t>
            </w:r>
          </w:p>
          <w:p w:rsidR="00F1171E" w:rsidRPr="000E0BDC" w:rsidRDefault="00F1171E" w:rsidP="007222C8">
            <w:pPr>
              <w:rPr>
                <w:rFonts w:ascii="Arial" w:hAnsi="Arial" w:cs="Arial"/>
                <w:sz w:val="20"/>
                <w:szCs w:val="20"/>
                <w:lang w:val="en-GB"/>
              </w:rPr>
            </w:pPr>
          </w:p>
          <w:p w:rsidR="00F1171E" w:rsidRPr="000E0BDC" w:rsidRDefault="00F1171E" w:rsidP="007222C8">
            <w:pPr>
              <w:rPr>
                <w:rFonts w:ascii="Arial" w:hAnsi="Arial" w:cs="Arial"/>
                <w:sz w:val="20"/>
                <w:szCs w:val="20"/>
                <w:lang w:val="en-GB"/>
              </w:rPr>
            </w:pPr>
          </w:p>
          <w:p w:rsidR="00F1171E" w:rsidRPr="000E0BDC" w:rsidRDefault="00F1171E" w:rsidP="007222C8">
            <w:pPr>
              <w:rPr>
                <w:rFonts w:ascii="Arial" w:hAnsi="Arial" w:cs="Arial"/>
                <w:sz w:val="20"/>
                <w:szCs w:val="20"/>
                <w:lang w:val="en-GB"/>
              </w:rPr>
            </w:pPr>
          </w:p>
          <w:p w:rsidR="00F1171E" w:rsidRPr="000E0BDC" w:rsidRDefault="00F1171E" w:rsidP="007222C8">
            <w:pPr>
              <w:rPr>
                <w:rFonts w:ascii="Arial" w:hAnsi="Arial" w:cs="Arial"/>
                <w:sz w:val="20"/>
                <w:szCs w:val="20"/>
                <w:lang w:val="en-GB"/>
              </w:rPr>
            </w:pPr>
          </w:p>
        </w:tc>
        <w:tc>
          <w:tcPr>
            <w:tcW w:w="1523" w:type="pct"/>
          </w:tcPr>
          <w:p w:rsidR="00F1171E" w:rsidRPr="000E0BDC" w:rsidRDefault="00F1171E" w:rsidP="007222C8">
            <w:pPr>
              <w:rPr>
                <w:rFonts w:ascii="Arial" w:hAnsi="Arial" w:cs="Arial"/>
                <w:sz w:val="20"/>
                <w:szCs w:val="20"/>
                <w:lang w:val="en-GB"/>
              </w:rPr>
            </w:pPr>
          </w:p>
        </w:tc>
      </w:tr>
      <w:tr w:rsidR="00F1171E" w:rsidRPr="000E0BDC" w:rsidTr="007222C8">
        <w:trPr>
          <w:trHeight w:val="1178"/>
        </w:trPr>
        <w:tc>
          <w:tcPr>
            <w:tcW w:w="1265" w:type="pct"/>
            <w:noWrap/>
          </w:tcPr>
          <w:p w:rsidR="00F1171E" w:rsidRPr="000E0BDC" w:rsidRDefault="00F1171E" w:rsidP="007222C8">
            <w:pPr>
              <w:pStyle w:val="Heading2"/>
              <w:jc w:val="left"/>
              <w:rPr>
                <w:rFonts w:ascii="Arial" w:hAnsi="Arial" w:cs="Arial"/>
                <w:b w:val="0"/>
                <w:bCs w:val="0"/>
                <w:lang w:val="en-GB"/>
              </w:rPr>
            </w:pPr>
            <w:r w:rsidRPr="000E0BDC">
              <w:rPr>
                <w:rFonts w:ascii="Arial" w:hAnsi="Arial" w:cs="Arial"/>
                <w:bCs w:val="0"/>
                <w:u w:val="single"/>
                <w:lang w:val="en-GB"/>
              </w:rPr>
              <w:t>Optional/General</w:t>
            </w:r>
            <w:r w:rsidRPr="000E0BDC">
              <w:rPr>
                <w:rFonts w:ascii="Arial" w:hAnsi="Arial" w:cs="Arial"/>
                <w:b w:val="0"/>
                <w:bCs w:val="0"/>
                <w:lang w:val="en-GB"/>
              </w:rPr>
              <w:t>comments</w:t>
            </w:r>
          </w:p>
          <w:p w:rsidR="00F1171E" w:rsidRPr="000E0BDC" w:rsidRDefault="00F1171E" w:rsidP="007222C8">
            <w:pPr>
              <w:pStyle w:val="Heading2"/>
              <w:jc w:val="left"/>
              <w:rPr>
                <w:rFonts w:ascii="Arial" w:hAnsi="Arial" w:cs="Arial"/>
                <w:b w:val="0"/>
                <w:lang w:val="en-GB"/>
              </w:rPr>
            </w:pPr>
          </w:p>
        </w:tc>
        <w:tc>
          <w:tcPr>
            <w:tcW w:w="2212" w:type="pct"/>
          </w:tcPr>
          <w:p w:rsidR="00690A09" w:rsidRPr="000E0BDC" w:rsidRDefault="00690A09" w:rsidP="00690A09">
            <w:pPr>
              <w:jc w:val="both"/>
              <w:rPr>
                <w:rFonts w:ascii="Arial" w:hAnsi="Arial" w:cs="Arial"/>
                <w:sz w:val="20"/>
                <w:szCs w:val="20"/>
              </w:rPr>
            </w:pPr>
            <w:r w:rsidRPr="000E0BDC">
              <w:rPr>
                <w:rFonts w:ascii="Arial" w:hAnsi="Arial" w:cs="Arial"/>
                <w:sz w:val="20"/>
                <w:szCs w:val="20"/>
              </w:rPr>
              <w:t>I have read the article in its entirety. The topic of the article is of great importance. I am also interested in researching it. In my opinion, the article is acceptable. However, the following amendments are needed:</w:t>
            </w:r>
          </w:p>
          <w:p w:rsidR="00690A09" w:rsidRPr="000E0BDC" w:rsidRDefault="0084085F" w:rsidP="00690A09">
            <w:pPr>
              <w:pStyle w:val="ListParagraph"/>
              <w:numPr>
                <w:ilvl w:val="0"/>
                <w:numId w:val="11"/>
              </w:numPr>
              <w:spacing w:after="160" w:line="259" w:lineRule="auto"/>
              <w:jc w:val="both"/>
              <w:rPr>
                <w:rFonts w:ascii="Arial" w:hAnsi="Arial" w:cs="Arial"/>
                <w:sz w:val="20"/>
                <w:szCs w:val="20"/>
              </w:rPr>
            </w:pPr>
            <w:r w:rsidRPr="000E0BDC">
              <w:rPr>
                <w:rFonts w:ascii="Arial" w:hAnsi="Arial" w:cs="Arial"/>
                <w:sz w:val="20"/>
                <w:szCs w:val="20"/>
              </w:rPr>
              <w:t xml:space="preserve">In </w:t>
            </w:r>
            <w:r w:rsidR="00690A09" w:rsidRPr="000E0BDC">
              <w:rPr>
                <w:rFonts w:ascii="Arial" w:hAnsi="Arial" w:cs="Arial"/>
                <w:sz w:val="20"/>
                <w:szCs w:val="20"/>
              </w:rPr>
              <w:t>the discussion of digital inheritance, privacy is of great importance. The privacy of the account holder is important and its role cannot be ignored. I request the respected author to dedicate a separate section to the discussion of the privacy of the account holder. In this section, he should discuss the concept of privacy and its possible impact on the article.</w:t>
            </w:r>
          </w:p>
          <w:p w:rsidR="00690A09" w:rsidRPr="000E0BDC" w:rsidRDefault="00690A09" w:rsidP="00690A09">
            <w:pPr>
              <w:pStyle w:val="ListParagraph"/>
              <w:numPr>
                <w:ilvl w:val="0"/>
                <w:numId w:val="11"/>
              </w:numPr>
              <w:spacing w:after="160" w:line="259" w:lineRule="auto"/>
              <w:jc w:val="both"/>
              <w:rPr>
                <w:rFonts w:ascii="Arial" w:hAnsi="Arial" w:cs="Arial"/>
                <w:sz w:val="20"/>
                <w:szCs w:val="20"/>
              </w:rPr>
            </w:pPr>
            <w:r w:rsidRPr="000E0BDC">
              <w:rPr>
                <w:rFonts w:ascii="Arial" w:hAnsi="Arial" w:cs="Arial"/>
                <w:sz w:val="20"/>
                <w:szCs w:val="20"/>
              </w:rPr>
              <w:t>The respected author has briefly discussed the financial value of an account. This is an important issue. In this regard, it is necessary to make a precise distinction between the types of accounts. The value of an account can be analyzed according to its use.</w:t>
            </w:r>
          </w:p>
          <w:p w:rsidR="00690A09" w:rsidRPr="000E0BDC" w:rsidRDefault="00690A09" w:rsidP="00690A09">
            <w:pPr>
              <w:pStyle w:val="ListParagraph"/>
              <w:numPr>
                <w:ilvl w:val="0"/>
                <w:numId w:val="11"/>
              </w:numPr>
              <w:spacing w:after="160" w:line="259" w:lineRule="auto"/>
              <w:jc w:val="both"/>
              <w:rPr>
                <w:rFonts w:ascii="Arial" w:hAnsi="Arial" w:cs="Arial"/>
                <w:sz w:val="20"/>
                <w:szCs w:val="20"/>
              </w:rPr>
            </w:pPr>
            <w:r w:rsidRPr="000E0BDC">
              <w:rPr>
                <w:rFonts w:ascii="Arial" w:hAnsi="Arial" w:cs="Arial"/>
                <w:sz w:val="20"/>
                <w:szCs w:val="20"/>
              </w:rPr>
              <w:t>This issue is not only a theoretical question but also has been raised in other countries' jurisdictions. For example, after the death of a person named Ellsworth, his family in America decided to collect photos and pictures of him. In this regard, they asked Yahoo to give those copies of their child's emails, but Yahoo considered the account non-transferable by resorting to the contractual terms that the user had accepted when opening the account. It also claimed that the publication of the emails violates the privacy of those who sent or received the message. After litigation by her father, a court in Michigan ordered Yahoo to provide copies of all received emails without giving them access to their account (John Ellsworth's vs Yahoo). We expect the author to address more practical aspects of the subject.</w:t>
            </w:r>
          </w:p>
          <w:p w:rsidR="00690A09" w:rsidRPr="000E0BDC" w:rsidRDefault="00690A09" w:rsidP="00690A09">
            <w:pPr>
              <w:pStyle w:val="ListParagraph"/>
              <w:numPr>
                <w:ilvl w:val="0"/>
                <w:numId w:val="11"/>
              </w:numPr>
              <w:spacing w:after="160" w:line="259" w:lineRule="auto"/>
              <w:jc w:val="both"/>
              <w:rPr>
                <w:rFonts w:ascii="Arial" w:hAnsi="Arial" w:cs="Arial"/>
                <w:sz w:val="20"/>
                <w:szCs w:val="20"/>
              </w:rPr>
            </w:pPr>
            <w:r w:rsidRPr="000E0BDC">
              <w:rPr>
                <w:rFonts w:ascii="Arial" w:hAnsi="Arial" w:cs="Arial"/>
                <w:sz w:val="20"/>
                <w:szCs w:val="20"/>
              </w:rPr>
              <w:t>I would really like to know the approach of the legal system of the author's country. Certainly, expressing and explaining this approach can be of great help to researchers. But in the peer-reviewed article, I did not see any good point in this regard. In this regard, the article must be completed and strengthened.</w:t>
            </w:r>
          </w:p>
          <w:p w:rsidR="00690A09" w:rsidRPr="000E0BDC" w:rsidRDefault="00690A09" w:rsidP="00690A09">
            <w:pPr>
              <w:pStyle w:val="ListParagraph"/>
              <w:numPr>
                <w:ilvl w:val="0"/>
                <w:numId w:val="11"/>
              </w:numPr>
              <w:spacing w:after="160" w:line="259" w:lineRule="auto"/>
              <w:jc w:val="both"/>
              <w:rPr>
                <w:rStyle w:val="rynqvb"/>
                <w:rFonts w:ascii="Arial" w:eastAsia="MS Mincho" w:hAnsi="Arial" w:cs="Arial"/>
                <w:sz w:val="20"/>
                <w:szCs w:val="20"/>
              </w:rPr>
            </w:pPr>
            <w:r w:rsidRPr="000E0BDC">
              <w:rPr>
                <w:rFonts w:ascii="Arial" w:hAnsi="Arial" w:cs="Arial"/>
                <w:sz w:val="20"/>
                <w:szCs w:val="20"/>
              </w:rPr>
              <w:t>It was very useful to explain the service</w:t>
            </w:r>
            <w:r w:rsidRPr="000E0BDC">
              <w:rPr>
                <w:rFonts w:ascii="Arial" w:hAnsi="Arial" w:cs="Arial"/>
                <w:spacing w:val="-2"/>
                <w:sz w:val="20"/>
                <w:szCs w:val="20"/>
              </w:rPr>
              <w:t>providers</w:t>
            </w:r>
            <w:r w:rsidRPr="000E0BDC">
              <w:rPr>
                <w:rFonts w:ascii="Arial" w:hAnsi="Arial" w:cs="Arial"/>
                <w:sz w:val="20"/>
                <w:szCs w:val="20"/>
              </w:rPr>
              <w:t>' approach.</w:t>
            </w:r>
            <w:r w:rsidRPr="000E0BDC">
              <w:rPr>
                <w:rStyle w:val="rynqvb"/>
                <w:rFonts w:ascii="Arial" w:eastAsia="MS Mincho" w:hAnsi="Arial" w:cs="Arial"/>
                <w:sz w:val="20"/>
                <w:szCs w:val="20"/>
                <w:lang/>
              </w:rPr>
              <w:t>but a more detailed comparison of them would have made the article more valuable.In addition, it is necessary to present a proposed model by the author.</w:t>
            </w:r>
          </w:p>
          <w:p w:rsidR="00690A09" w:rsidRPr="000E0BDC" w:rsidRDefault="00690A09" w:rsidP="00690A09">
            <w:pPr>
              <w:pStyle w:val="ListParagraph"/>
              <w:numPr>
                <w:ilvl w:val="0"/>
                <w:numId w:val="11"/>
              </w:numPr>
              <w:spacing w:after="160" w:line="259" w:lineRule="auto"/>
              <w:jc w:val="both"/>
              <w:rPr>
                <w:rFonts w:ascii="Arial" w:hAnsi="Arial" w:cs="Arial"/>
                <w:sz w:val="20"/>
                <w:szCs w:val="20"/>
              </w:rPr>
            </w:pPr>
            <w:r w:rsidRPr="000E0BDC">
              <w:rPr>
                <w:rFonts w:ascii="Arial" w:hAnsi="Arial" w:cs="Arial"/>
                <w:sz w:val="20"/>
                <w:szCs w:val="20"/>
              </w:rPr>
              <w:t>The sources cited by the author need to be strengthened and supplemented. I will introduce some sources. It may be useful to refer to them.</w:t>
            </w:r>
          </w:p>
          <w:p w:rsidR="00690A09" w:rsidRPr="000E0BDC" w:rsidRDefault="00690A09" w:rsidP="00690A09">
            <w:pPr>
              <w:ind w:left="1418"/>
              <w:jc w:val="both"/>
              <w:rPr>
                <w:rFonts w:ascii="Arial" w:hAnsi="Arial" w:cs="Arial"/>
                <w:sz w:val="20"/>
                <w:szCs w:val="20"/>
              </w:rPr>
            </w:pPr>
            <w:r w:rsidRPr="000E0BDC">
              <w:rPr>
                <w:rFonts w:ascii="Arial" w:hAnsi="Arial" w:cs="Arial"/>
                <w:sz w:val="20"/>
                <w:szCs w:val="20"/>
              </w:rPr>
              <w:t xml:space="preserve">PawełSzwajdler, Digital assets and inheritance law: How to create fundamental principles of digital succession system?, </w:t>
            </w:r>
            <w:r w:rsidRPr="000E0BDC">
              <w:rPr>
                <w:rStyle w:val="Emphasis"/>
                <w:rFonts w:ascii="Arial" w:eastAsia="Arial Unicode MS" w:hAnsi="Arial" w:cs="Arial"/>
                <w:sz w:val="20"/>
                <w:szCs w:val="20"/>
              </w:rPr>
              <w:t>International Journal of Law and Information Technology</w:t>
            </w:r>
            <w:r w:rsidRPr="000E0BDC">
              <w:rPr>
                <w:rFonts w:ascii="Arial" w:hAnsi="Arial" w:cs="Arial"/>
                <w:sz w:val="20"/>
                <w:szCs w:val="20"/>
              </w:rPr>
              <w:t xml:space="preserve">, Volume 31, Issue 2, Summer 2023, Pages 144–168, </w:t>
            </w:r>
            <w:hyperlink r:id="rId8" w:history="1">
              <w:r w:rsidRPr="000E0BDC">
                <w:rPr>
                  <w:rStyle w:val="Hyperlink"/>
                  <w:rFonts w:ascii="Arial" w:hAnsi="Arial" w:cs="Arial"/>
                  <w:sz w:val="20"/>
                  <w:szCs w:val="20"/>
                </w:rPr>
                <w:t>https://doi.org/10.1093/ijlit/eaad014</w:t>
              </w:r>
            </w:hyperlink>
          </w:p>
          <w:p w:rsidR="00690A09" w:rsidRPr="000E0BDC" w:rsidRDefault="00690A09" w:rsidP="00690A09">
            <w:pPr>
              <w:ind w:left="1418"/>
              <w:jc w:val="both"/>
              <w:rPr>
                <w:rFonts w:ascii="Arial" w:hAnsi="Arial" w:cs="Arial"/>
                <w:sz w:val="20"/>
                <w:szCs w:val="20"/>
              </w:rPr>
            </w:pPr>
            <w:r w:rsidRPr="000E0BDC">
              <w:rPr>
                <w:rFonts w:ascii="Arial" w:hAnsi="Arial" w:cs="Arial"/>
                <w:sz w:val="20"/>
                <w:szCs w:val="20"/>
              </w:rPr>
              <w:t xml:space="preserve">Bram Maeschaelck, 'Digital Inheritance in Belgium', (2018), 7, Journal of European Consumer and Market Law, Issue 1, pp. 37-41, </w:t>
            </w:r>
            <w:hyperlink r:id="rId9" w:history="1">
              <w:r w:rsidRPr="000E0BDC">
                <w:rPr>
                  <w:rStyle w:val="Hyperlink"/>
                  <w:rFonts w:ascii="Arial" w:hAnsi="Arial" w:cs="Arial"/>
                  <w:sz w:val="20"/>
                  <w:szCs w:val="20"/>
                </w:rPr>
                <w:t>https://kluwerlawonline.com/journalarticle/Journal+of+European+Consumer+and+Market+Law/7.1/EuCML2018007</w:t>
              </w:r>
            </w:hyperlink>
          </w:p>
          <w:p w:rsidR="00690A09" w:rsidRPr="000E0BDC" w:rsidRDefault="00690A09" w:rsidP="00690A09">
            <w:pPr>
              <w:ind w:left="1418"/>
              <w:jc w:val="both"/>
              <w:rPr>
                <w:rFonts w:ascii="Arial" w:hAnsi="Arial" w:cs="Arial"/>
                <w:sz w:val="20"/>
                <w:szCs w:val="20"/>
              </w:rPr>
            </w:pPr>
            <w:r w:rsidRPr="000E0BDC">
              <w:rPr>
                <w:rFonts w:ascii="Arial" w:hAnsi="Arial" w:cs="Arial"/>
                <w:sz w:val="20"/>
                <w:szCs w:val="20"/>
              </w:rPr>
              <w:t xml:space="preserve">Mark-Oliver Mackenrodt, 'Digital Inheritance in Germany', (2018), 7, Journal of European Consumer and Market Law, Issue 1, pp. 41-47, </w:t>
            </w:r>
            <w:hyperlink r:id="rId10" w:history="1">
              <w:r w:rsidRPr="000E0BDC">
                <w:rPr>
                  <w:rStyle w:val="Hyperlink"/>
                  <w:rFonts w:ascii="Arial" w:hAnsi="Arial" w:cs="Arial"/>
                  <w:sz w:val="20"/>
                  <w:szCs w:val="20"/>
                </w:rPr>
                <w:t>https://kluwerlawonline.com/journalarticle/Journal+of+European+Consumer+and+Market+Law/7.1/EuCML2018008</w:t>
              </w:r>
            </w:hyperlink>
          </w:p>
          <w:p w:rsidR="00690A09" w:rsidRPr="000E0BDC" w:rsidRDefault="00690A09" w:rsidP="00690A09">
            <w:pPr>
              <w:ind w:left="1418"/>
              <w:jc w:val="both"/>
              <w:rPr>
                <w:rFonts w:ascii="Arial" w:hAnsi="Arial" w:cs="Arial"/>
                <w:sz w:val="20"/>
                <w:szCs w:val="20"/>
              </w:rPr>
            </w:pPr>
            <w:r w:rsidRPr="000E0BDC">
              <w:rPr>
                <w:rFonts w:ascii="Arial" w:hAnsi="Arial" w:cs="Arial"/>
                <w:sz w:val="20"/>
                <w:szCs w:val="20"/>
              </w:rPr>
              <w:t>Mirshekari, A., Ghasemi, R., &amp;Fattahi, A. (2020). Digital accounts after death: A case study of Iranian law. UUM Journal of Legal Studies, 11(2), 153-182. https://doi.org/10.32890/uumjls.11.2.2020.7505</w:t>
            </w:r>
          </w:p>
          <w:p w:rsidR="00F1171E" w:rsidRPr="000E0BDC" w:rsidRDefault="00690A09" w:rsidP="007222C8">
            <w:pPr>
              <w:pStyle w:val="ListParagraph"/>
              <w:numPr>
                <w:ilvl w:val="0"/>
                <w:numId w:val="11"/>
              </w:numPr>
              <w:spacing w:after="160" w:line="259" w:lineRule="auto"/>
              <w:jc w:val="both"/>
              <w:rPr>
                <w:rFonts w:ascii="Arial" w:hAnsi="Arial" w:cs="Arial"/>
                <w:sz w:val="20"/>
                <w:szCs w:val="20"/>
              </w:rPr>
            </w:pPr>
            <w:r w:rsidRPr="000E0BDC">
              <w:rPr>
                <w:rFonts w:ascii="Arial" w:hAnsi="Arial" w:cs="Arial"/>
                <w:sz w:val="20"/>
                <w:szCs w:val="20"/>
              </w:rPr>
              <w:t>The article under review, in my opinion, is valuable. What I said above can be useful for improving the article.I hope the respected author will be successful in improving the article.</w:t>
            </w:r>
          </w:p>
        </w:tc>
        <w:tc>
          <w:tcPr>
            <w:tcW w:w="1523" w:type="pct"/>
          </w:tcPr>
          <w:p w:rsidR="00F1171E" w:rsidRPr="000E0BDC" w:rsidRDefault="00F1171E" w:rsidP="007222C8">
            <w:pPr>
              <w:rPr>
                <w:rFonts w:ascii="Arial" w:hAnsi="Arial" w:cs="Arial"/>
                <w:sz w:val="20"/>
                <w:szCs w:val="20"/>
                <w:lang w:val="en-GB"/>
              </w:rPr>
            </w:pPr>
          </w:p>
        </w:tc>
      </w:tr>
    </w:tbl>
    <w:p w:rsidR="00F1171E" w:rsidRPr="000E0BDC" w:rsidRDefault="00F1171E" w:rsidP="00F1171E">
      <w:pPr>
        <w:pStyle w:val="BodyText"/>
        <w:rPr>
          <w:rFonts w:ascii="Arial" w:hAnsi="Arial" w:cs="Arial"/>
          <w:b/>
          <w:bCs/>
          <w:sz w:val="20"/>
          <w:szCs w:val="20"/>
          <w:u w:val="single"/>
          <w:lang w:val="en-GB"/>
        </w:rPr>
      </w:pPr>
    </w:p>
    <w:p w:rsidR="00F1171E" w:rsidRDefault="00F1171E" w:rsidP="00F1171E">
      <w:pPr>
        <w:pStyle w:val="BodyText"/>
        <w:rPr>
          <w:rFonts w:ascii="Arial" w:hAnsi="Arial" w:cs="Arial"/>
          <w:b/>
          <w:bCs/>
          <w:sz w:val="20"/>
          <w:szCs w:val="20"/>
          <w:u w:val="single"/>
          <w:lang w:val="en-GB"/>
        </w:rPr>
      </w:pPr>
    </w:p>
    <w:p w:rsidR="000E0BDC" w:rsidRPr="000E0BDC" w:rsidRDefault="000E0BDC"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6831"/>
        <w:gridCol w:w="7166"/>
        <w:gridCol w:w="7153"/>
      </w:tblGrid>
      <w:tr w:rsidR="002D1A53" w:rsidRPr="000E0BDC" w:rsidTr="00AD6123">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2D1A53" w:rsidRPr="000E0BDC" w:rsidRDefault="002D1A53" w:rsidP="002D1A53">
            <w:pPr>
              <w:rPr>
                <w:rFonts w:ascii="Arial" w:eastAsia="Arial Unicode MS" w:hAnsi="Arial" w:cs="Arial"/>
                <w:b/>
                <w:sz w:val="20"/>
                <w:szCs w:val="20"/>
                <w:u w:val="single"/>
                <w:lang w:val="en-GB"/>
              </w:rPr>
            </w:pPr>
            <w:bookmarkStart w:id="0" w:name="_Hlk156057883"/>
            <w:bookmarkStart w:id="1" w:name="_Hlk156057704"/>
            <w:r w:rsidRPr="000E0BDC">
              <w:rPr>
                <w:rFonts w:ascii="Arial" w:eastAsia="Arial Unicode MS" w:hAnsi="Arial" w:cs="Arial"/>
                <w:b/>
                <w:sz w:val="20"/>
                <w:szCs w:val="20"/>
                <w:highlight w:val="yellow"/>
                <w:u w:val="single"/>
                <w:lang w:val="en-GB"/>
              </w:rPr>
              <w:lastRenderedPageBreak/>
              <w:t>PART  2:</w:t>
            </w:r>
          </w:p>
          <w:p w:rsidR="002D1A53" w:rsidRPr="000E0BDC" w:rsidRDefault="002D1A53" w:rsidP="002D1A53">
            <w:pPr>
              <w:rPr>
                <w:rFonts w:ascii="Arial" w:eastAsia="Arial Unicode MS" w:hAnsi="Arial" w:cs="Arial"/>
                <w:b/>
                <w:sz w:val="20"/>
                <w:szCs w:val="20"/>
                <w:u w:val="single"/>
                <w:lang w:val="en-GB"/>
              </w:rPr>
            </w:pPr>
          </w:p>
        </w:tc>
      </w:tr>
      <w:tr w:rsidR="002D1A53" w:rsidRPr="000E0BDC" w:rsidTr="00AD6123">
        <w:tc>
          <w:tcPr>
            <w:tcW w:w="1615" w:type="pct"/>
            <w:shd w:val="clear" w:color="auto" w:fill="auto"/>
            <w:noWrap/>
            <w:tcMar>
              <w:top w:w="0" w:type="dxa"/>
              <w:left w:w="108" w:type="dxa"/>
              <w:bottom w:w="0" w:type="dxa"/>
              <w:right w:w="108" w:type="dxa"/>
            </w:tcMar>
            <w:vAlign w:val="center"/>
          </w:tcPr>
          <w:p w:rsidR="002D1A53" w:rsidRPr="000E0BDC" w:rsidRDefault="002D1A53" w:rsidP="002D1A53">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rsidR="002D1A53" w:rsidRPr="000E0BDC" w:rsidRDefault="002D1A53" w:rsidP="002D1A53">
            <w:pPr>
              <w:keepNext/>
              <w:outlineLvl w:val="1"/>
              <w:rPr>
                <w:rFonts w:ascii="Arial" w:eastAsia="MS Mincho" w:hAnsi="Arial" w:cs="Arial"/>
                <w:b/>
                <w:bCs/>
                <w:sz w:val="20"/>
                <w:szCs w:val="20"/>
                <w:lang w:val="en-GB"/>
              </w:rPr>
            </w:pPr>
            <w:r w:rsidRPr="000E0BDC">
              <w:rPr>
                <w:rFonts w:ascii="Arial" w:eastAsia="MS Mincho" w:hAnsi="Arial" w:cs="Arial"/>
                <w:b/>
                <w:bCs/>
                <w:sz w:val="20"/>
                <w:szCs w:val="20"/>
                <w:lang w:val="en-GB"/>
              </w:rPr>
              <w:t>Reviewer’s comment</w:t>
            </w:r>
          </w:p>
        </w:tc>
        <w:tc>
          <w:tcPr>
            <w:tcW w:w="1691" w:type="pct"/>
            <w:shd w:val="clear" w:color="auto" w:fill="auto"/>
          </w:tcPr>
          <w:p w:rsidR="002D1A53" w:rsidRPr="000E0BDC" w:rsidRDefault="002D1A53" w:rsidP="002D1A53">
            <w:pPr>
              <w:keepNext/>
              <w:outlineLvl w:val="1"/>
              <w:rPr>
                <w:rFonts w:ascii="Arial" w:eastAsia="MS Mincho" w:hAnsi="Arial" w:cs="Arial"/>
                <w:bCs/>
                <w:sz w:val="20"/>
                <w:szCs w:val="20"/>
                <w:lang w:val="en-GB"/>
              </w:rPr>
            </w:pPr>
            <w:r w:rsidRPr="000E0BDC">
              <w:rPr>
                <w:rFonts w:ascii="Arial" w:eastAsia="MS Mincho" w:hAnsi="Arial" w:cs="Arial"/>
                <w:b/>
                <w:bCs/>
                <w:sz w:val="20"/>
                <w:szCs w:val="20"/>
                <w:lang w:val="en-GB"/>
              </w:rPr>
              <w:t>Author’s comment</w:t>
            </w:r>
            <w:r w:rsidRPr="000E0BDC">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2D1A53" w:rsidRPr="000E0BDC" w:rsidTr="00AD6123">
        <w:trPr>
          <w:trHeight w:val="890"/>
        </w:trPr>
        <w:tc>
          <w:tcPr>
            <w:tcW w:w="1615" w:type="pct"/>
            <w:shd w:val="clear" w:color="auto" w:fill="auto"/>
            <w:noWrap/>
            <w:tcMar>
              <w:top w:w="0" w:type="dxa"/>
              <w:left w:w="108" w:type="dxa"/>
              <w:bottom w:w="0" w:type="dxa"/>
              <w:right w:w="108" w:type="dxa"/>
            </w:tcMar>
            <w:vAlign w:val="center"/>
          </w:tcPr>
          <w:p w:rsidR="002D1A53" w:rsidRPr="000E0BDC" w:rsidRDefault="002D1A53" w:rsidP="002D1A53">
            <w:pPr>
              <w:rPr>
                <w:rFonts w:ascii="Arial" w:eastAsia="Arial Unicode MS" w:hAnsi="Arial" w:cs="Arial"/>
                <w:b/>
                <w:sz w:val="20"/>
                <w:szCs w:val="20"/>
                <w:lang w:val="en-GB"/>
              </w:rPr>
            </w:pPr>
            <w:r w:rsidRPr="000E0BDC">
              <w:rPr>
                <w:rFonts w:ascii="Arial" w:eastAsia="Arial Unicode MS" w:hAnsi="Arial" w:cs="Arial"/>
                <w:b/>
                <w:sz w:val="20"/>
                <w:szCs w:val="20"/>
                <w:lang w:val="en-GB"/>
              </w:rPr>
              <w:t xml:space="preserve">Are there ethical issues in this manuscript? </w:t>
            </w:r>
          </w:p>
          <w:p w:rsidR="002D1A53" w:rsidRPr="000E0BDC" w:rsidRDefault="002D1A53" w:rsidP="002D1A53">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rsidR="002D1A53" w:rsidRPr="000E0BDC" w:rsidRDefault="002D1A53" w:rsidP="002D1A53">
            <w:pPr>
              <w:rPr>
                <w:rFonts w:ascii="Arial" w:eastAsia="Arial Unicode MS" w:hAnsi="Arial" w:cs="Arial"/>
                <w:i/>
                <w:iCs/>
                <w:sz w:val="20"/>
                <w:szCs w:val="20"/>
                <w:u w:val="single"/>
                <w:lang w:val="en-GB"/>
              </w:rPr>
            </w:pPr>
            <w:r w:rsidRPr="000E0BDC">
              <w:rPr>
                <w:rFonts w:ascii="Arial" w:eastAsia="Arial Unicode MS" w:hAnsi="Arial" w:cs="Arial"/>
                <w:i/>
                <w:iCs/>
                <w:sz w:val="20"/>
                <w:szCs w:val="20"/>
                <w:u w:val="single"/>
                <w:lang w:val="en-GB"/>
              </w:rPr>
              <w:t>(If yes, Kindly please write down the ethical issues here in details)</w:t>
            </w:r>
          </w:p>
          <w:p w:rsidR="002D1A53" w:rsidRPr="000E0BDC" w:rsidRDefault="002D1A53" w:rsidP="002D1A53">
            <w:pPr>
              <w:rPr>
                <w:rFonts w:ascii="Arial" w:eastAsia="Arial Unicode MS" w:hAnsi="Arial" w:cs="Arial"/>
                <w:sz w:val="20"/>
                <w:szCs w:val="20"/>
                <w:lang w:val="en-GB"/>
              </w:rPr>
            </w:pPr>
          </w:p>
          <w:p w:rsidR="002D1A53" w:rsidRPr="000E0BDC" w:rsidRDefault="002D1A53" w:rsidP="002D1A53">
            <w:pPr>
              <w:rPr>
                <w:rFonts w:ascii="Arial" w:eastAsia="Arial Unicode MS" w:hAnsi="Arial" w:cs="Arial"/>
                <w:sz w:val="20"/>
                <w:szCs w:val="20"/>
                <w:lang w:val="en-GB"/>
              </w:rPr>
            </w:pPr>
          </w:p>
        </w:tc>
        <w:tc>
          <w:tcPr>
            <w:tcW w:w="1691" w:type="pct"/>
            <w:shd w:val="clear" w:color="auto" w:fill="auto"/>
            <w:vAlign w:val="center"/>
          </w:tcPr>
          <w:p w:rsidR="002D1A53" w:rsidRPr="000E0BDC" w:rsidRDefault="002D1A53" w:rsidP="002D1A53">
            <w:pPr>
              <w:rPr>
                <w:rFonts w:ascii="Arial" w:eastAsia="Arial Unicode MS" w:hAnsi="Arial" w:cs="Arial"/>
                <w:sz w:val="20"/>
                <w:szCs w:val="20"/>
                <w:lang w:val="en-GB"/>
              </w:rPr>
            </w:pPr>
          </w:p>
          <w:p w:rsidR="002D1A53" w:rsidRPr="000E0BDC" w:rsidRDefault="002D1A53" w:rsidP="002D1A53">
            <w:pPr>
              <w:rPr>
                <w:rFonts w:ascii="Arial" w:eastAsia="Arial Unicode MS" w:hAnsi="Arial" w:cs="Arial"/>
                <w:sz w:val="20"/>
                <w:szCs w:val="20"/>
                <w:lang w:val="en-GB"/>
              </w:rPr>
            </w:pPr>
          </w:p>
          <w:p w:rsidR="002D1A53" w:rsidRPr="000E0BDC" w:rsidRDefault="002D1A53" w:rsidP="002D1A53">
            <w:pPr>
              <w:rPr>
                <w:rFonts w:ascii="Arial" w:eastAsia="Arial Unicode MS" w:hAnsi="Arial" w:cs="Arial"/>
                <w:sz w:val="20"/>
                <w:szCs w:val="20"/>
                <w:lang w:val="en-GB"/>
              </w:rPr>
            </w:pPr>
          </w:p>
        </w:tc>
      </w:tr>
      <w:bookmarkEnd w:id="0"/>
    </w:tbl>
    <w:p w:rsidR="002D1A53" w:rsidRPr="000E0BDC" w:rsidRDefault="002D1A53" w:rsidP="002D1A53">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5960"/>
        <w:gridCol w:w="15190"/>
      </w:tblGrid>
      <w:tr w:rsidR="002D1A53" w:rsidRPr="000E0BDC" w:rsidTr="00AD6123">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rsidR="002D1A53" w:rsidRPr="000E0BDC" w:rsidRDefault="002D1A53" w:rsidP="002D1A53">
            <w:pPr>
              <w:rPr>
                <w:rFonts w:ascii="Arial" w:hAnsi="Arial" w:cs="Arial"/>
                <w:bCs/>
                <w:sz w:val="20"/>
                <w:szCs w:val="20"/>
                <w:u w:val="single"/>
                <w:lang w:val="en-GB"/>
              </w:rPr>
            </w:pPr>
          </w:p>
          <w:p w:rsidR="002D1A53" w:rsidRPr="000E0BDC" w:rsidRDefault="002D1A53" w:rsidP="002D1A53">
            <w:pPr>
              <w:rPr>
                <w:rFonts w:ascii="Arial" w:hAnsi="Arial" w:cs="Arial"/>
                <w:b/>
                <w:sz w:val="20"/>
                <w:szCs w:val="20"/>
                <w:u w:val="single"/>
                <w:lang w:val="en-GB"/>
              </w:rPr>
            </w:pPr>
            <w:r w:rsidRPr="000E0BDC">
              <w:rPr>
                <w:rFonts w:ascii="Arial" w:hAnsi="Arial" w:cs="Arial"/>
                <w:b/>
                <w:sz w:val="20"/>
                <w:szCs w:val="20"/>
                <w:u w:val="single"/>
                <w:lang w:val="en-GB"/>
              </w:rPr>
              <w:t>Reviewer Details:</w:t>
            </w:r>
          </w:p>
          <w:p w:rsidR="002D1A53" w:rsidRPr="000E0BDC" w:rsidRDefault="002D1A53" w:rsidP="002D1A53">
            <w:pPr>
              <w:rPr>
                <w:rFonts w:ascii="Arial" w:hAnsi="Arial" w:cs="Arial"/>
                <w:bCs/>
                <w:sz w:val="20"/>
                <w:szCs w:val="20"/>
                <w:u w:val="single"/>
                <w:lang w:val="en-GB"/>
              </w:rPr>
            </w:pPr>
          </w:p>
        </w:tc>
      </w:tr>
      <w:tr w:rsidR="002D1A53" w:rsidRPr="000E0BDC" w:rsidTr="00AD6123">
        <w:trPr>
          <w:trHeight w:val="77"/>
        </w:trPr>
        <w:tc>
          <w:tcPr>
            <w:tcW w:w="1409" w:type="pct"/>
            <w:shd w:val="clear" w:color="auto" w:fill="auto"/>
            <w:noWrap/>
            <w:tcMar>
              <w:top w:w="0" w:type="dxa"/>
              <w:left w:w="108" w:type="dxa"/>
              <w:bottom w:w="0" w:type="dxa"/>
              <w:right w:w="108" w:type="dxa"/>
            </w:tcMar>
            <w:vAlign w:val="center"/>
          </w:tcPr>
          <w:p w:rsidR="002D1A53" w:rsidRPr="000E0BDC" w:rsidRDefault="002D1A53" w:rsidP="002D1A53">
            <w:pPr>
              <w:rPr>
                <w:rFonts w:ascii="Arial" w:hAnsi="Arial" w:cs="Arial"/>
                <w:sz w:val="20"/>
                <w:szCs w:val="20"/>
                <w:lang w:val="en-GB"/>
              </w:rPr>
            </w:pPr>
            <w:r w:rsidRPr="000E0BDC">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rsidR="002D1A53" w:rsidRPr="000E0BDC" w:rsidRDefault="000E0BDC" w:rsidP="002D1A53">
            <w:pPr>
              <w:rPr>
                <w:rFonts w:ascii="Arial" w:hAnsi="Arial" w:cs="Arial"/>
                <w:b/>
                <w:bCs/>
                <w:sz w:val="20"/>
                <w:szCs w:val="20"/>
              </w:rPr>
            </w:pPr>
            <w:r w:rsidRPr="000E0BDC">
              <w:rPr>
                <w:rFonts w:ascii="Arial" w:hAnsi="Arial" w:cs="Arial"/>
                <w:b/>
                <w:bCs/>
                <w:sz w:val="20"/>
                <w:szCs w:val="20"/>
              </w:rPr>
              <w:t>Abbas Mirshekari</w:t>
            </w:r>
          </w:p>
        </w:tc>
      </w:tr>
      <w:tr w:rsidR="002D1A53" w:rsidRPr="000E0BDC" w:rsidTr="00AD6123">
        <w:trPr>
          <w:trHeight w:val="77"/>
        </w:trPr>
        <w:tc>
          <w:tcPr>
            <w:tcW w:w="1409" w:type="pct"/>
            <w:shd w:val="clear" w:color="auto" w:fill="auto"/>
            <w:noWrap/>
            <w:tcMar>
              <w:top w:w="0" w:type="dxa"/>
              <w:left w:w="108" w:type="dxa"/>
              <w:bottom w:w="0" w:type="dxa"/>
              <w:right w:w="108" w:type="dxa"/>
            </w:tcMar>
            <w:vAlign w:val="center"/>
          </w:tcPr>
          <w:p w:rsidR="002D1A53" w:rsidRPr="000E0BDC" w:rsidRDefault="002D1A53" w:rsidP="002D1A53">
            <w:pPr>
              <w:rPr>
                <w:rFonts w:ascii="Arial" w:hAnsi="Arial" w:cs="Arial"/>
                <w:sz w:val="20"/>
                <w:szCs w:val="20"/>
                <w:lang w:val="en-GB"/>
              </w:rPr>
            </w:pPr>
            <w:r w:rsidRPr="000E0BDC">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rsidR="002D1A53" w:rsidRPr="000E0BDC" w:rsidRDefault="000E0BDC" w:rsidP="000E0BDC">
            <w:pPr>
              <w:rPr>
                <w:rFonts w:ascii="Arial" w:hAnsi="Arial" w:cs="Arial"/>
                <w:b/>
                <w:bCs/>
                <w:sz w:val="20"/>
                <w:szCs w:val="20"/>
                <w:lang w:val="en-GB"/>
              </w:rPr>
            </w:pPr>
            <w:r w:rsidRPr="000E0BDC">
              <w:rPr>
                <w:rFonts w:ascii="Arial" w:hAnsi="Arial" w:cs="Arial"/>
                <w:b/>
                <w:bCs/>
                <w:sz w:val="20"/>
                <w:szCs w:val="20"/>
                <w:lang w:val="en-GB"/>
              </w:rPr>
              <w:t xml:space="preserve">Tehran University, </w:t>
            </w:r>
            <w:r w:rsidRPr="000E0BDC">
              <w:rPr>
                <w:rFonts w:ascii="Arial" w:hAnsi="Arial" w:cs="Arial"/>
                <w:b/>
                <w:bCs/>
                <w:sz w:val="20"/>
                <w:szCs w:val="20"/>
                <w:lang w:val="en-GB"/>
              </w:rPr>
              <w:t>Iran</w:t>
            </w:r>
          </w:p>
        </w:tc>
      </w:tr>
      <w:bookmarkEnd w:id="1"/>
    </w:tbl>
    <w:p w:rsidR="002D1A53" w:rsidRPr="000E0BDC" w:rsidRDefault="002D1A53" w:rsidP="002D1A53">
      <w:pPr>
        <w:rPr>
          <w:rFonts w:ascii="Arial" w:hAnsi="Arial" w:cs="Arial"/>
          <w:sz w:val="20"/>
          <w:szCs w:val="20"/>
        </w:rPr>
      </w:pPr>
    </w:p>
    <w:p w:rsidR="00F1171E" w:rsidRPr="000E0BDC" w:rsidRDefault="00F1171E" w:rsidP="00F1171E">
      <w:pPr>
        <w:pStyle w:val="BodyText"/>
        <w:rPr>
          <w:rFonts w:ascii="Arial" w:hAnsi="Arial" w:cs="Arial"/>
          <w:b/>
          <w:bCs/>
          <w:sz w:val="20"/>
          <w:szCs w:val="20"/>
          <w:u w:val="single"/>
          <w:lang w:val="en-GB"/>
        </w:rPr>
      </w:pPr>
      <w:bookmarkStart w:id="2" w:name="_GoBack"/>
      <w:bookmarkEnd w:id="2"/>
    </w:p>
    <w:sectPr w:rsidR="00F1171E" w:rsidRPr="000E0BDC" w:rsidSect="0017545C">
      <w:headerReference w:type="default" r:id="rId11"/>
      <w:footerReference w:type="default" r:id="rId12"/>
      <w:pgSz w:w="23814" w:h="16839" w:orient="landscape" w:code="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2A71" w:rsidRPr="0000007A" w:rsidRDefault="009E2A71" w:rsidP="0099583E">
      <w:r>
        <w:separator/>
      </w:r>
    </w:p>
  </w:endnote>
  <w:endnote w:type="continuationSeparator" w:id="1">
    <w:p w:rsidR="009E2A71" w:rsidRPr="0000007A" w:rsidRDefault="009E2A71" w:rsidP="009958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sidR="00B62F41">
      <w:rPr>
        <w:sz w:val="16"/>
      </w:rPr>
      <w:t xml:space="preserve">Approved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2A71" w:rsidRPr="0000007A" w:rsidRDefault="009E2A71" w:rsidP="0099583E">
      <w:r>
        <w:separator/>
      </w:r>
    </w:p>
  </w:footnote>
  <w:footnote w:type="continuationSeparator" w:id="1">
    <w:p w:rsidR="009E2A71" w:rsidRPr="0000007A" w:rsidRDefault="009E2A71" w:rsidP="00995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5D2528"/>
    <w:multiLevelType w:val="hybridMultilevel"/>
    <w:tmpl w:val="AB3C8C12"/>
    <w:lvl w:ilvl="0" w:tplc="5262F9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7"/>
  </w:num>
  <w:num w:numId="3">
    <w:abstractNumId w:val="5"/>
  </w:num>
  <w:num w:numId="4">
    <w:abstractNumId w:val="8"/>
  </w:num>
  <w:num w:numId="5">
    <w:abstractNumId w:val="4"/>
  </w:num>
  <w:num w:numId="6">
    <w:abstractNumId w:val="0"/>
  </w:num>
  <w:num w:numId="7">
    <w:abstractNumId w:val="1"/>
  </w:num>
  <w:num w:numId="8">
    <w:abstractNumId w:val="10"/>
  </w:num>
  <w:num w:numId="9">
    <w:abstractNumId w:val="9"/>
  </w:num>
  <w:num w:numId="10">
    <w:abstractNumId w:val="2"/>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hideSpellingErrors/>
  <w:hideGrammaticalErrors/>
  <w:defaultTabStop w:val="720"/>
  <w:hyphenationZone w:val="425"/>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22A6"/>
    <w:rsid w:val="00037D52"/>
    <w:rsid w:val="000450FC"/>
    <w:rsid w:val="00052837"/>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E0BDC"/>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1952"/>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1A53"/>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821FC"/>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1E98"/>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764DD"/>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33F9C"/>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A09"/>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085F"/>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2F27"/>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2A71"/>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8779B"/>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8599C"/>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CF7F78"/>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1E7B"/>
    <w:rsid w:val="00ED6B12"/>
    <w:rsid w:val="00ED7400"/>
    <w:rsid w:val="00EE4BAA"/>
    <w:rsid w:val="00EF326D"/>
    <w:rsid w:val="00EF53FE"/>
    <w:rsid w:val="00F07D9F"/>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23B3"/>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Emphasis">
    <w:name w:val="Emphasis"/>
    <w:basedOn w:val="DefaultParagraphFont"/>
    <w:uiPriority w:val="20"/>
    <w:qFormat/>
    <w:rsid w:val="00690A09"/>
    <w:rPr>
      <w:i/>
      <w:iCs/>
    </w:rPr>
  </w:style>
  <w:style w:type="character" w:customStyle="1" w:styleId="hwtze">
    <w:name w:val="hwtze"/>
    <w:basedOn w:val="DefaultParagraphFont"/>
    <w:rsid w:val="00690A09"/>
  </w:style>
  <w:style w:type="character" w:customStyle="1" w:styleId="rynqvb">
    <w:name w:val="rynqvb"/>
    <w:basedOn w:val="DefaultParagraphFont"/>
    <w:rsid w:val="00690A09"/>
  </w:style>
</w:styles>
</file>

<file path=word/webSettings.xml><?xml version="1.0" encoding="utf-8"?>
<w:webSettings xmlns:r="http://schemas.openxmlformats.org/officeDocument/2006/relationships" xmlns:w="http://schemas.openxmlformats.org/wordprocessingml/2006/main">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3/ijlit/eaad0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ookpi.org/bookstore/product/mathematics-and-computer-science-research-updates-vol-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kluwerlawonline.com/journalarticle/Journal+of+European+Consumer+and+Market+Law/7.1/EuCML2018008" TargetMode="External"/><Relationship Id="rId4" Type="http://schemas.openxmlformats.org/officeDocument/2006/relationships/webSettings" Target="webSettings.xml"/><Relationship Id="rId9" Type="http://schemas.openxmlformats.org/officeDocument/2006/relationships/hyperlink" Target="https://kluwerlawonline.com/journalarticle/Journal+of+European+Consumer+and+Market+Law/7.1/EuCML201800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5534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User</cp:lastModifiedBy>
  <cp:revision>5</cp:revision>
  <dcterms:created xsi:type="dcterms:W3CDTF">2025-01-09T19:58:00Z</dcterms:created>
  <dcterms:modified xsi:type="dcterms:W3CDTF">2025-02-23T16:22:00Z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