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3774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3774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37745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A3774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377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3774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50E74D5" w:rsidR="0000007A" w:rsidRPr="00A37745" w:rsidRDefault="007B451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8" w:history="1">
              <w:r w:rsidRPr="00A37745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A37745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A3774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3774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76CDDAC" w:rsidR="0000007A" w:rsidRPr="00A3774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37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37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37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320B0" w:rsidRPr="00A37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4264</w:t>
            </w:r>
          </w:p>
        </w:tc>
      </w:tr>
      <w:tr w:rsidR="0000007A" w:rsidRPr="00A37745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A3774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377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542CDC9" w:rsidR="0000007A" w:rsidRPr="00A37745" w:rsidRDefault="007B451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37745">
              <w:rPr>
                <w:rFonts w:ascii="Arial" w:hAnsi="Arial" w:cs="Arial"/>
                <w:b/>
                <w:sz w:val="20"/>
                <w:szCs w:val="20"/>
                <w:lang w:val="en-GB"/>
              </w:rPr>
              <w:t>Successful Use of Nivolumab in a Patient with Head and Neck Cancer After Allogeneic Bone Marrow Transplantation</w:t>
            </w:r>
          </w:p>
        </w:tc>
      </w:tr>
      <w:tr w:rsidR="00CF0BBB" w:rsidRPr="00A37745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A3774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3774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EC2FA2D" w:rsidR="00CF0BBB" w:rsidRPr="00A37745" w:rsidRDefault="003320B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3774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A37745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2"/>
        <w:gridCol w:w="9352"/>
        <w:gridCol w:w="6374"/>
      </w:tblGrid>
      <w:tr w:rsidR="00F1171E" w:rsidRPr="00A37745" w14:paraId="71A94C1F" w14:textId="77777777" w:rsidTr="00077A3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A3774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3774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3774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A3774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37745" w14:paraId="5EA12279" w14:textId="77777777" w:rsidTr="00077A31">
        <w:tc>
          <w:tcPr>
            <w:tcW w:w="1250" w:type="pct"/>
            <w:noWrap/>
          </w:tcPr>
          <w:p w14:paraId="7AE9682F" w14:textId="77777777" w:rsidR="00F1171E" w:rsidRPr="00A3774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30" w:type="pct"/>
          </w:tcPr>
          <w:p w14:paraId="674EDCCA" w14:textId="77777777" w:rsidR="00F1171E" w:rsidRPr="00A3774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3774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19" w:type="pct"/>
          </w:tcPr>
          <w:p w14:paraId="57792C30" w14:textId="77777777" w:rsidR="00F1171E" w:rsidRPr="00A3774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37745">
              <w:rPr>
                <w:rFonts w:ascii="Arial" w:hAnsi="Arial" w:cs="Arial"/>
                <w:lang w:val="en-GB"/>
              </w:rPr>
              <w:t>Author’s Feedback</w:t>
            </w:r>
            <w:r w:rsidRPr="00A3774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3774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37745" w14:paraId="5C0AB4EC" w14:textId="77777777" w:rsidTr="00FC523D">
        <w:trPr>
          <w:trHeight w:val="1061"/>
        </w:trPr>
        <w:tc>
          <w:tcPr>
            <w:tcW w:w="1250" w:type="pct"/>
            <w:noWrap/>
          </w:tcPr>
          <w:p w14:paraId="3373D4EF" w14:textId="3E54772E" w:rsidR="00F1171E" w:rsidRPr="00FC523D" w:rsidRDefault="00F1171E" w:rsidP="00FC523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37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230" w:type="pct"/>
          </w:tcPr>
          <w:p w14:paraId="7DBC9196" w14:textId="1CC85F6F" w:rsidR="00F1171E" w:rsidRPr="00A37745" w:rsidRDefault="00AA2B87" w:rsidP="004E63E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37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Due to the contradictory results found regarding the </w:t>
            </w:r>
            <w:r w:rsidR="004E63EC" w:rsidRPr="00A37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GVHD with </w:t>
            </w:r>
            <w:r w:rsidRPr="00A37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use of the drug, </w:t>
            </w:r>
            <w:r w:rsidR="004E63EC" w:rsidRPr="00A37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case report adds to existing literature. It aids in knowledge sharing and helps in developing an evidence-based approach. Although, every case may react differently to therapy, the available literature facilitates decision-making.  </w:t>
            </w:r>
          </w:p>
        </w:tc>
        <w:tc>
          <w:tcPr>
            <w:tcW w:w="1519" w:type="pct"/>
          </w:tcPr>
          <w:p w14:paraId="462A339C" w14:textId="77777777" w:rsidR="00F1171E" w:rsidRPr="00A3774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37745" w14:paraId="0D8B5B2C" w14:textId="77777777" w:rsidTr="00FC523D">
        <w:trPr>
          <w:trHeight w:val="503"/>
        </w:trPr>
        <w:tc>
          <w:tcPr>
            <w:tcW w:w="1250" w:type="pct"/>
            <w:noWrap/>
          </w:tcPr>
          <w:p w14:paraId="21CBA5FE" w14:textId="77777777" w:rsidR="00F1171E" w:rsidRPr="00A3774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37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275B919" w14:textId="2E59F8D4" w:rsidR="00F1171E" w:rsidRPr="00FC523D" w:rsidRDefault="00F1171E" w:rsidP="00FC523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37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30" w:type="pct"/>
          </w:tcPr>
          <w:p w14:paraId="794AA9A7" w14:textId="64595008" w:rsidR="00F1171E" w:rsidRPr="00A37745" w:rsidRDefault="0074309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37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9" w:type="pct"/>
          </w:tcPr>
          <w:p w14:paraId="405B6701" w14:textId="77777777" w:rsidR="00F1171E" w:rsidRPr="00A3774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37745" w14:paraId="5604762A" w14:textId="77777777" w:rsidTr="00077A31">
        <w:trPr>
          <w:trHeight w:val="2015"/>
        </w:trPr>
        <w:tc>
          <w:tcPr>
            <w:tcW w:w="1250" w:type="pct"/>
            <w:noWrap/>
          </w:tcPr>
          <w:p w14:paraId="3635573D" w14:textId="77777777" w:rsidR="00F1171E" w:rsidRPr="00A3774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3774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A3774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30" w:type="pct"/>
          </w:tcPr>
          <w:p w14:paraId="0FB7E83A" w14:textId="65ED674C" w:rsidR="00F1171E" w:rsidRPr="00A37745" w:rsidRDefault="0074309D" w:rsidP="007C38E4">
            <w:pPr>
              <w:spacing w:before="109" w:line="300" w:lineRule="auto"/>
              <w:ind w:left="296" w:righ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7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  <w:r w:rsidRPr="00A37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br/>
              <w:t>However, “</w:t>
            </w:r>
            <w:r w:rsidRPr="00A37745">
              <w:rPr>
                <w:rFonts w:ascii="Arial" w:hAnsi="Arial" w:cs="Arial"/>
                <w:sz w:val="20"/>
                <w:szCs w:val="20"/>
              </w:rPr>
              <w:t xml:space="preserve">Here we report the case of a patient who successfully used nivolumab without any GVHD or other immune-related adverse events for HNSCC after allogeneic bone marrow transplantation because of the Philadelphia chromosome-positive T cell acute lymphoblastic leukemia.” </w:t>
            </w:r>
            <w:r w:rsidRPr="00A37745">
              <w:rPr>
                <w:rFonts w:ascii="Arial" w:hAnsi="Arial" w:cs="Arial"/>
                <w:b/>
                <w:bCs/>
                <w:sz w:val="20"/>
                <w:szCs w:val="20"/>
              </w:rPr>
              <w:t>Can be replaced by ---</w:t>
            </w:r>
            <w:r w:rsidRPr="00A37745">
              <w:rPr>
                <w:rFonts w:ascii="Arial" w:hAnsi="Arial" w:cs="Arial"/>
                <w:sz w:val="20"/>
                <w:szCs w:val="20"/>
              </w:rPr>
              <w:t>Here we report the case of a patient who was successfully treated with nivolumab and did not develop any GVHD or other immune-related adverse events for HNSCC after allogeneic bone marrow transplantation because of the Philadelphia chromosome-positive T cell acute lymphoblastic leukemia.</w:t>
            </w:r>
          </w:p>
        </w:tc>
        <w:tc>
          <w:tcPr>
            <w:tcW w:w="1519" w:type="pct"/>
          </w:tcPr>
          <w:p w14:paraId="1D54B730" w14:textId="77777777" w:rsidR="00F1171E" w:rsidRPr="00A3774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37745" w14:paraId="2F579F54" w14:textId="77777777" w:rsidTr="00077A31">
        <w:trPr>
          <w:trHeight w:val="859"/>
        </w:trPr>
        <w:tc>
          <w:tcPr>
            <w:tcW w:w="1250" w:type="pct"/>
            <w:noWrap/>
          </w:tcPr>
          <w:p w14:paraId="04361F46" w14:textId="368783AB" w:rsidR="00F1171E" w:rsidRPr="00A3774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37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30" w:type="pct"/>
          </w:tcPr>
          <w:p w14:paraId="2B5A7721" w14:textId="5BBAA23A" w:rsidR="00F1171E" w:rsidRPr="00A37745" w:rsidRDefault="00AA2B87" w:rsidP="00AA2B8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37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One point needs to be considered-</w:t>
            </w:r>
            <w:r w:rsidRPr="00A37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37745">
              <w:rPr>
                <w:rFonts w:ascii="Arial" w:hAnsi="Arial" w:cs="Arial"/>
                <w:sz w:val="20"/>
                <w:szCs w:val="20"/>
                <w:lang w:val="en-GB"/>
              </w:rPr>
              <w:t>The case report of successful use of the drug requires further investigation in a larger sample size for inferences to be drawn.</w:t>
            </w:r>
          </w:p>
        </w:tc>
        <w:tc>
          <w:tcPr>
            <w:tcW w:w="1519" w:type="pct"/>
          </w:tcPr>
          <w:p w14:paraId="4898F764" w14:textId="77777777" w:rsidR="00F1171E" w:rsidRPr="00A3774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37745" w14:paraId="73739464" w14:textId="77777777" w:rsidTr="00FC523D">
        <w:trPr>
          <w:trHeight w:val="530"/>
        </w:trPr>
        <w:tc>
          <w:tcPr>
            <w:tcW w:w="1250" w:type="pct"/>
            <w:noWrap/>
          </w:tcPr>
          <w:p w14:paraId="09C25322" w14:textId="77777777" w:rsidR="00F1171E" w:rsidRPr="00A3774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37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A3774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3774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30" w:type="pct"/>
          </w:tcPr>
          <w:p w14:paraId="74F2E1B4" w14:textId="1429EE24" w:rsidR="00F1171E" w:rsidRPr="00A37745" w:rsidRDefault="003C78F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37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 However, recent references can be added. Some suggestions-</w:t>
            </w:r>
          </w:p>
          <w:p w14:paraId="599F98A3" w14:textId="77777777" w:rsidR="003C78F6" w:rsidRPr="00A37745" w:rsidRDefault="003C78F6" w:rsidP="003C78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</w:pPr>
            <w:r w:rsidRPr="00A37745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Yamakawa N, Umeda M, Yoshii Y, </w:t>
            </w:r>
            <w:proofErr w:type="spellStart"/>
            <w:r w:rsidRPr="00A37745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Mitsudo</w:t>
            </w:r>
            <w:proofErr w:type="spellEnd"/>
            <w:r w:rsidRPr="00A37745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K, Noguchi M, </w:t>
            </w:r>
            <w:proofErr w:type="spellStart"/>
            <w:r w:rsidRPr="00A37745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Kusukawa</w:t>
            </w:r>
            <w:proofErr w:type="spellEnd"/>
            <w:r w:rsidRPr="00A37745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J, Katakura A, Nakayama H, Sasaki M, Noguchi T, Ueda M, </w:t>
            </w:r>
            <w:proofErr w:type="spellStart"/>
            <w:r w:rsidRPr="00A37745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Bukawa</w:t>
            </w:r>
            <w:proofErr w:type="spellEnd"/>
            <w:r w:rsidRPr="00A37745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H, </w:t>
            </w:r>
            <w:proofErr w:type="spellStart"/>
            <w:r w:rsidRPr="00A37745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Yagihara</w:t>
            </w:r>
            <w:proofErr w:type="spellEnd"/>
            <w:r w:rsidRPr="00A37745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K, Horie A, Miyazaki A, </w:t>
            </w:r>
            <w:proofErr w:type="spellStart"/>
            <w:r w:rsidRPr="00A37745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Chikazu</w:t>
            </w:r>
            <w:proofErr w:type="spellEnd"/>
            <w:r w:rsidRPr="00A37745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D, </w:t>
            </w:r>
            <w:proofErr w:type="spellStart"/>
            <w:r w:rsidRPr="00A37745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Tomihara</w:t>
            </w:r>
            <w:proofErr w:type="spellEnd"/>
            <w:r w:rsidRPr="00A37745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K, Mishima K, </w:t>
            </w:r>
            <w:proofErr w:type="spellStart"/>
            <w:r w:rsidRPr="00A37745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Otsuru</w:t>
            </w:r>
            <w:proofErr w:type="spellEnd"/>
            <w:r w:rsidRPr="00A37745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M, </w:t>
            </w:r>
            <w:proofErr w:type="spellStart"/>
            <w:r w:rsidRPr="00A37745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Asoda</w:t>
            </w:r>
            <w:proofErr w:type="spellEnd"/>
            <w:r w:rsidRPr="00A37745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S, Fujiwara S, Ohyama Y, Kurita H, Kawamata H, Fukuda M, Shintani Y, Kobayashi T, Kanno T, Oh-Iwa I, Kawano K, Yamashita Y, Kobayashi W, </w:t>
            </w:r>
            <w:proofErr w:type="spellStart"/>
            <w:r w:rsidRPr="00A37745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Ohiro</w:t>
            </w:r>
            <w:proofErr w:type="spellEnd"/>
            <w:r w:rsidRPr="00A37745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Y, </w:t>
            </w:r>
            <w:proofErr w:type="spellStart"/>
            <w:r w:rsidRPr="00A37745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Uzawa</w:t>
            </w:r>
            <w:proofErr w:type="spellEnd"/>
            <w:r w:rsidRPr="00A37745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K, Ota Y, Kirita T. Multicenter retrospective study of nivolumab for recurrent/metastatic oral squamous cell carcinoma. Oral Dis. 2024 Mar;30(2):247-258. </w:t>
            </w:r>
            <w:proofErr w:type="spellStart"/>
            <w:r w:rsidRPr="00A37745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A37745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: 10.1111/odi.14471. </w:t>
            </w:r>
            <w:proofErr w:type="spellStart"/>
            <w:r w:rsidRPr="00A37745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Epub</w:t>
            </w:r>
            <w:proofErr w:type="spellEnd"/>
            <w:r w:rsidRPr="00A37745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2023 Jan 4. PMID: 36519515.</w:t>
            </w:r>
          </w:p>
          <w:p w14:paraId="0E54D49D" w14:textId="77777777" w:rsidR="003C78F6" w:rsidRPr="00A37745" w:rsidRDefault="003C78F6" w:rsidP="003C78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37745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Macia-Rivas L, Fernandez-Laguna CL, Alvarez-</w:t>
            </w:r>
            <w:proofErr w:type="spellStart"/>
            <w:r w:rsidRPr="00A37745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Asteinza</w:t>
            </w:r>
            <w:proofErr w:type="spellEnd"/>
            <w:r w:rsidRPr="00A37745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C, Maray I, </w:t>
            </w:r>
            <w:proofErr w:type="spellStart"/>
            <w:r w:rsidRPr="00A37745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Carbajales</w:t>
            </w:r>
            <w:proofErr w:type="spellEnd"/>
            <w:r w:rsidRPr="00A37745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-Alvarez M, Lozano-Blazquez A. Real-world Data Study of the Efficacy and Toxicity of Nivolumab </w:t>
            </w:r>
            <w:r w:rsidRPr="00A37745">
              <w:rPr>
                <w:rFonts w:ascii="Arial" w:hAnsi="Arial" w:cs="Arial"/>
                <w:i/>
                <w:iCs/>
                <w:color w:val="212121"/>
                <w:sz w:val="20"/>
                <w:szCs w:val="20"/>
                <w:shd w:val="clear" w:color="auto" w:fill="FFFFFF"/>
              </w:rPr>
              <w:t>vs</w:t>
            </w:r>
            <w:r w:rsidRPr="00A37745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. Cetuximab and Predictors of Response to Nivolumab in Recurrent/Metastatic Squamous Cell Carcinoma of the Head and Neck in a European Population. Anticancer Res. 2023 Apr;43(4):1681-1688. </w:t>
            </w:r>
            <w:proofErr w:type="spellStart"/>
            <w:r w:rsidRPr="00A37745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A37745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: 10.21873/anticanres.16320. PMID: 36974777.</w:t>
            </w:r>
          </w:p>
          <w:p w14:paraId="2FFBF622" w14:textId="77777777" w:rsidR="003C78F6" w:rsidRPr="00A37745" w:rsidRDefault="003C78F6" w:rsidP="003C78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37745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Fukuzawa S, Yamagata K, Uchida F, Endo M, Sakamoto N, </w:t>
            </w:r>
            <w:proofErr w:type="spellStart"/>
            <w:r w:rsidRPr="00A37745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Bukawa</w:t>
            </w:r>
            <w:proofErr w:type="spellEnd"/>
            <w:r w:rsidRPr="00A37745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H. A Case of Cholangitis as a Nivolumab-Induced Immune-Related Adverse Event in a Patient with Pulmonary Metastasis After Surgery for Oral Cancer. J </w:t>
            </w:r>
            <w:proofErr w:type="spellStart"/>
            <w:r w:rsidRPr="00A37745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Maxillofac</w:t>
            </w:r>
            <w:proofErr w:type="spellEnd"/>
            <w:r w:rsidRPr="00A37745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Oral Surg. 2024 Aug;23(4):979-983. </w:t>
            </w:r>
            <w:proofErr w:type="spellStart"/>
            <w:r w:rsidRPr="00A37745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A37745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: 10.1007/s12663-023-01976-7. </w:t>
            </w:r>
            <w:proofErr w:type="spellStart"/>
            <w:r w:rsidRPr="00A37745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Epub</w:t>
            </w:r>
            <w:proofErr w:type="spellEnd"/>
            <w:r w:rsidRPr="00A37745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2023 Jul 26. PMID: 39118937; PMCID: PMC11303653.</w:t>
            </w:r>
          </w:p>
          <w:p w14:paraId="24FE0567" w14:textId="468D3577" w:rsidR="003C78F6" w:rsidRPr="00A37745" w:rsidRDefault="003C78F6" w:rsidP="003C78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37745">
              <w:rPr>
                <w:rFonts w:ascii="Arial" w:hAnsi="Arial" w:cs="Arial"/>
                <w:color w:val="1B1B1B"/>
                <w:sz w:val="20"/>
                <w:szCs w:val="20"/>
                <w:shd w:val="clear" w:color="auto" w:fill="FFFFFF"/>
              </w:rPr>
              <w:t>Sekido</w:t>
            </w:r>
            <w:proofErr w:type="spellEnd"/>
            <w:r w:rsidRPr="00A37745">
              <w:rPr>
                <w:rFonts w:ascii="Arial" w:hAnsi="Arial" w:cs="Arial"/>
                <w:color w:val="1B1B1B"/>
                <w:sz w:val="20"/>
                <w:szCs w:val="20"/>
                <w:shd w:val="clear" w:color="auto" w:fill="FFFFFF"/>
              </w:rPr>
              <w:t xml:space="preserve"> K, </w:t>
            </w:r>
            <w:proofErr w:type="spellStart"/>
            <w:r w:rsidRPr="00A37745">
              <w:rPr>
                <w:rFonts w:ascii="Arial" w:hAnsi="Arial" w:cs="Arial"/>
                <w:color w:val="1B1B1B"/>
                <w:sz w:val="20"/>
                <w:szCs w:val="20"/>
                <w:shd w:val="clear" w:color="auto" w:fill="FFFFFF"/>
              </w:rPr>
              <w:t>Imaue</w:t>
            </w:r>
            <w:proofErr w:type="spellEnd"/>
            <w:r w:rsidRPr="00A37745">
              <w:rPr>
                <w:rFonts w:ascii="Arial" w:hAnsi="Arial" w:cs="Arial"/>
                <w:color w:val="1B1B1B"/>
                <w:sz w:val="20"/>
                <w:szCs w:val="20"/>
                <w:shd w:val="clear" w:color="auto" w:fill="FFFFFF"/>
              </w:rPr>
              <w:t xml:space="preserve"> S, </w:t>
            </w:r>
            <w:proofErr w:type="spellStart"/>
            <w:r w:rsidRPr="00A37745">
              <w:rPr>
                <w:rFonts w:ascii="Arial" w:hAnsi="Arial" w:cs="Arial"/>
                <w:color w:val="1B1B1B"/>
                <w:sz w:val="20"/>
                <w:szCs w:val="20"/>
                <w:shd w:val="clear" w:color="auto" w:fill="FFFFFF"/>
              </w:rPr>
              <w:t>Tachinami</w:t>
            </w:r>
            <w:proofErr w:type="spellEnd"/>
            <w:r w:rsidRPr="00A37745">
              <w:rPr>
                <w:rFonts w:ascii="Arial" w:hAnsi="Arial" w:cs="Arial"/>
                <w:color w:val="1B1B1B"/>
                <w:sz w:val="20"/>
                <w:szCs w:val="20"/>
                <w:shd w:val="clear" w:color="auto" w:fill="FFFFFF"/>
              </w:rPr>
              <w:t xml:space="preserve"> H, </w:t>
            </w:r>
            <w:proofErr w:type="spellStart"/>
            <w:r w:rsidRPr="00A37745">
              <w:rPr>
                <w:rFonts w:ascii="Arial" w:hAnsi="Arial" w:cs="Arial"/>
                <w:color w:val="1B1B1B"/>
                <w:sz w:val="20"/>
                <w:szCs w:val="20"/>
                <w:shd w:val="clear" w:color="auto" w:fill="FFFFFF"/>
              </w:rPr>
              <w:t>Tomihara</w:t>
            </w:r>
            <w:proofErr w:type="spellEnd"/>
            <w:r w:rsidRPr="00A37745">
              <w:rPr>
                <w:rFonts w:ascii="Arial" w:hAnsi="Arial" w:cs="Arial"/>
                <w:color w:val="1B1B1B"/>
                <w:sz w:val="20"/>
                <w:szCs w:val="20"/>
                <w:shd w:val="clear" w:color="auto" w:fill="FFFFFF"/>
              </w:rPr>
              <w:t xml:space="preserve"> K, Naruto N, Yamagishi K, Ikeda A, Fujiwara K, Noguchi M. Successful treatment with nivolumab in a patient with unresectable oral squamous cell carcinoma following ineffective chemoradiotherapy. Clin Case Rep. 2023 Nov 28;11(12</w:t>
            </w:r>
            <w:proofErr w:type="gramStart"/>
            <w:r w:rsidRPr="00A37745">
              <w:rPr>
                <w:rFonts w:ascii="Arial" w:hAnsi="Arial" w:cs="Arial"/>
                <w:color w:val="1B1B1B"/>
                <w:sz w:val="20"/>
                <w:szCs w:val="20"/>
                <w:shd w:val="clear" w:color="auto" w:fill="FFFFFF"/>
              </w:rPr>
              <w:t>):e</w:t>
            </w:r>
            <w:proofErr w:type="gramEnd"/>
            <w:r w:rsidRPr="00A37745">
              <w:rPr>
                <w:rFonts w:ascii="Arial" w:hAnsi="Arial" w:cs="Arial"/>
                <w:color w:val="1B1B1B"/>
                <w:sz w:val="20"/>
                <w:szCs w:val="20"/>
                <w:shd w:val="clear" w:color="auto" w:fill="FFFFFF"/>
              </w:rPr>
              <w:t xml:space="preserve">8219. </w:t>
            </w:r>
            <w:proofErr w:type="spellStart"/>
            <w:r w:rsidRPr="00A37745">
              <w:rPr>
                <w:rFonts w:ascii="Arial" w:hAnsi="Arial" w:cs="Arial"/>
                <w:color w:val="1B1B1B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A37745">
              <w:rPr>
                <w:rFonts w:ascii="Arial" w:hAnsi="Arial" w:cs="Arial"/>
                <w:color w:val="1B1B1B"/>
                <w:sz w:val="20"/>
                <w:szCs w:val="20"/>
                <w:shd w:val="clear" w:color="auto" w:fill="FFFFFF"/>
              </w:rPr>
              <w:t>: 10.1002/ccr3.8219. PMID: 38033699; PMCID: PMC10683031.</w:t>
            </w:r>
          </w:p>
        </w:tc>
        <w:tc>
          <w:tcPr>
            <w:tcW w:w="1519" w:type="pct"/>
          </w:tcPr>
          <w:p w14:paraId="40220055" w14:textId="77777777" w:rsidR="00F1171E" w:rsidRPr="00A3774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37745" w14:paraId="73CC4A50" w14:textId="77777777" w:rsidTr="00077A31">
        <w:trPr>
          <w:trHeight w:val="386"/>
        </w:trPr>
        <w:tc>
          <w:tcPr>
            <w:tcW w:w="1250" w:type="pct"/>
            <w:noWrap/>
          </w:tcPr>
          <w:p w14:paraId="029CE8D0" w14:textId="77777777" w:rsidR="00F1171E" w:rsidRPr="00A3774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722B85E" w14:textId="1236AEEF" w:rsidR="00F1171E" w:rsidRPr="00FC523D" w:rsidRDefault="00F1171E" w:rsidP="00FC523D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3774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30" w:type="pct"/>
          </w:tcPr>
          <w:p w14:paraId="0A07EA75" w14:textId="77777777" w:rsidR="00F1171E" w:rsidRPr="00A3774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00BBEC3A" w:rsidR="00F1171E" w:rsidRPr="00A37745" w:rsidRDefault="003C78F6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37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  <w:p w14:paraId="149A6CEF" w14:textId="77777777" w:rsidR="00F1171E" w:rsidRPr="00A3774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0351CA58" w14:textId="77777777" w:rsidR="00F1171E" w:rsidRPr="00A3774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37745" w14:paraId="20A16C0C" w14:textId="77777777" w:rsidTr="00FC523D">
        <w:trPr>
          <w:trHeight w:val="548"/>
        </w:trPr>
        <w:tc>
          <w:tcPr>
            <w:tcW w:w="1250" w:type="pct"/>
            <w:noWrap/>
          </w:tcPr>
          <w:p w14:paraId="7F4BCFAE" w14:textId="77777777" w:rsidR="00F1171E" w:rsidRPr="00A3774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3774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3774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3774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A3774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30" w:type="pct"/>
          </w:tcPr>
          <w:p w14:paraId="1E347C61" w14:textId="77777777" w:rsidR="00F1171E" w:rsidRPr="00A3774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A3774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A3774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A3774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465E098E" w14:textId="77777777" w:rsidR="00F1171E" w:rsidRPr="00A3774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A3774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7"/>
        <w:gridCol w:w="9364"/>
        <w:gridCol w:w="6387"/>
      </w:tblGrid>
      <w:tr w:rsidR="001F6883" w:rsidRPr="00A37745" w14:paraId="1F29F1DA" w14:textId="77777777" w:rsidTr="00431A9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C4558" w14:textId="77777777" w:rsidR="001F6883" w:rsidRPr="00A37745" w:rsidRDefault="001F6883" w:rsidP="001F688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A3774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3774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2ED2825" w14:textId="77777777" w:rsidR="001F6883" w:rsidRPr="00A37745" w:rsidRDefault="001F6883" w:rsidP="001F688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F6883" w:rsidRPr="00A37745" w14:paraId="115A5011" w14:textId="77777777" w:rsidTr="00431A9D">
        <w:tc>
          <w:tcPr>
            <w:tcW w:w="124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00CF1" w14:textId="77777777" w:rsidR="001F6883" w:rsidRPr="00A37745" w:rsidRDefault="001F6883" w:rsidP="001F688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D3DBB" w14:textId="77777777" w:rsidR="001F6883" w:rsidRPr="00A37745" w:rsidRDefault="001F6883" w:rsidP="001F6883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3774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23" w:type="pct"/>
            <w:shd w:val="clear" w:color="auto" w:fill="auto"/>
          </w:tcPr>
          <w:p w14:paraId="6EE63A5F" w14:textId="77777777" w:rsidR="001F6883" w:rsidRPr="00A37745" w:rsidRDefault="001F6883" w:rsidP="001F6883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A3774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A3774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A3774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F6883" w:rsidRPr="00A37745" w14:paraId="112E0298" w14:textId="77777777" w:rsidTr="00431A9D">
        <w:trPr>
          <w:trHeight w:val="890"/>
        </w:trPr>
        <w:tc>
          <w:tcPr>
            <w:tcW w:w="124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E51E6" w14:textId="77777777" w:rsidR="001F6883" w:rsidRPr="00A37745" w:rsidRDefault="001F6883" w:rsidP="001F6883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3774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058C776" w14:textId="77777777" w:rsidR="001F6883" w:rsidRPr="00A37745" w:rsidRDefault="001F6883" w:rsidP="001F688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8CAB7" w14:textId="77777777" w:rsidR="001F6883" w:rsidRPr="00A37745" w:rsidRDefault="001F6883" w:rsidP="001F6883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3774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3774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3774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4F8C41B" w14:textId="77777777" w:rsidR="001F6883" w:rsidRPr="00A37745" w:rsidRDefault="001F6883" w:rsidP="001F688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  <w:shd w:val="clear" w:color="auto" w:fill="auto"/>
            <w:vAlign w:val="center"/>
          </w:tcPr>
          <w:p w14:paraId="66882DE0" w14:textId="77777777" w:rsidR="001F6883" w:rsidRPr="00A37745" w:rsidRDefault="001F6883" w:rsidP="001F688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154E410" w14:textId="77777777" w:rsidR="001F6883" w:rsidRPr="00A37745" w:rsidRDefault="001F6883" w:rsidP="001F688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0BDECB1" w14:textId="77777777" w:rsidR="001F6883" w:rsidRPr="00A37745" w:rsidRDefault="001F6883" w:rsidP="001F688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2D262EDA" w14:textId="77777777" w:rsidR="001F6883" w:rsidRPr="00A37745" w:rsidRDefault="001F6883" w:rsidP="001F6883">
      <w:pPr>
        <w:rPr>
          <w:rFonts w:ascii="Arial" w:hAnsi="Arial" w:cs="Arial"/>
          <w:sz w:val="20"/>
          <w:szCs w:val="20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7"/>
        <w:gridCol w:w="15751"/>
      </w:tblGrid>
      <w:tr w:rsidR="001F6883" w:rsidRPr="00A37745" w14:paraId="30396A5D" w14:textId="77777777" w:rsidTr="00970C90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037ED" w14:textId="77777777" w:rsidR="001F6883" w:rsidRPr="00A37745" w:rsidRDefault="001F6883" w:rsidP="001F6883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  <w:p w14:paraId="30CE4F4F" w14:textId="77777777" w:rsidR="001F6883" w:rsidRPr="00A37745" w:rsidRDefault="001F6883" w:rsidP="001F6883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3774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75C5617A" w14:textId="77777777" w:rsidR="001F6883" w:rsidRPr="00A37745" w:rsidRDefault="001F6883" w:rsidP="001F6883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1F6883" w:rsidRPr="00A37745" w14:paraId="46E9948D" w14:textId="77777777" w:rsidTr="00970C90">
        <w:trPr>
          <w:trHeight w:val="77"/>
        </w:trPr>
        <w:tc>
          <w:tcPr>
            <w:tcW w:w="124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23659" w14:textId="77777777" w:rsidR="001F6883" w:rsidRPr="00A37745" w:rsidRDefault="001F6883" w:rsidP="001F688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37745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BAF87" w14:textId="235F3370" w:rsidR="001F6883" w:rsidRPr="00A37745" w:rsidRDefault="00E3710A" w:rsidP="00E371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7745">
              <w:rPr>
                <w:rFonts w:ascii="Arial" w:hAnsi="Arial" w:cs="Arial"/>
                <w:b/>
                <w:bCs/>
                <w:sz w:val="20"/>
                <w:szCs w:val="20"/>
              </w:rPr>
              <w:t>Nilima Prakash</w:t>
            </w:r>
          </w:p>
        </w:tc>
      </w:tr>
      <w:tr w:rsidR="001F6883" w:rsidRPr="00A37745" w14:paraId="68433EB3" w14:textId="77777777" w:rsidTr="00970C90">
        <w:trPr>
          <w:trHeight w:val="77"/>
        </w:trPr>
        <w:tc>
          <w:tcPr>
            <w:tcW w:w="124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4BC25" w14:textId="77777777" w:rsidR="001F6883" w:rsidRPr="00A37745" w:rsidRDefault="001F6883" w:rsidP="001F688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37745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75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27F88" w14:textId="25E8148D" w:rsidR="001F6883" w:rsidRPr="00A37745" w:rsidRDefault="00E3710A" w:rsidP="00E3710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37745">
              <w:rPr>
                <w:rFonts w:ascii="Arial" w:hAnsi="Arial" w:cs="Arial"/>
                <w:b/>
                <w:bCs/>
                <w:sz w:val="20"/>
                <w:szCs w:val="20"/>
              </w:rPr>
              <w:t>MGV’s KBH Dental College and Hospital</w:t>
            </w:r>
            <w:r w:rsidRPr="00A377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A37745">
              <w:rPr>
                <w:rFonts w:ascii="Arial" w:hAnsi="Arial" w:cs="Arial"/>
                <w:b/>
                <w:bCs/>
                <w:sz w:val="20"/>
                <w:szCs w:val="20"/>
              </w:rPr>
              <w:t>India</w:t>
            </w:r>
          </w:p>
        </w:tc>
      </w:tr>
      <w:bookmarkEnd w:id="0"/>
    </w:tbl>
    <w:p w14:paraId="76C93F00" w14:textId="77777777" w:rsidR="001F6883" w:rsidRPr="00A37745" w:rsidRDefault="001F6883" w:rsidP="001F6883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A3774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A37745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B94A9" w14:textId="77777777" w:rsidR="005D2005" w:rsidRPr="0000007A" w:rsidRDefault="005D2005" w:rsidP="0099583E">
      <w:r>
        <w:separator/>
      </w:r>
    </w:p>
  </w:endnote>
  <w:endnote w:type="continuationSeparator" w:id="0">
    <w:p w14:paraId="1BD4E238" w14:textId="77777777" w:rsidR="005D2005" w:rsidRPr="0000007A" w:rsidRDefault="005D200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DBD9E" w14:textId="77777777" w:rsidR="005D2005" w:rsidRPr="0000007A" w:rsidRDefault="005D2005" w:rsidP="0099583E">
      <w:r>
        <w:separator/>
      </w:r>
    </w:p>
  </w:footnote>
  <w:footnote w:type="continuationSeparator" w:id="0">
    <w:p w14:paraId="6461CD59" w14:textId="77777777" w:rsidR="005D2005" w:rsidRPr="0000007A" w:rsidRDefault="005D200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800F9"/>
    <w:multiLevelType w:val="hybridMultilevel"/>
    <w:tmpl w:val="8AD0F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77474531">
    <w:abstractNumId w:val="3"/>
  </w:num>
  <w:num w:numId="2" w16cid:durableId="267588684">
    <w:abstractNumId w:val="6"/>
  </w:num>
  <w:num w:numId="3" w16cid:durableId="1395274403">
    <w:abstractNumId w:val="5"/>
  </w:num>
  <w:num w:numId="4" w16cid:durableId="1417242206">
    <w:abstractNumId w:val="7"/>
  </w:num>
  <w:num w:numId="5" w16cid:durableId="2141417508">
    <w:abstractNumId w:val="4"/>
  </w:num>
  <w:num w:numId="6" w16cid:durableId="1629241263">
    <w:abstractNumId w:val="0"/>
  </w:num>
  <w:num w:numId="7" w16cid:durableId="271209804">
    <w:abstractNumId w:val="1"/>
  </w:num>
  <w:num w:numId="8" w16cid:durableId="323973456">
    <w:abstractNumId w:val="10"/>
  </w:num>
  <w:num w:numId="9" w16cid:durableId="664819882">
    <w:abstractNumId w:val="9"/>
  </w:num>
  <w:num w:numId="10" w16cid:durableId="1992758583">
    <w:abstractNumId w:val="2"/>
  </w:num>
  <w:num w:numId="11" w16cid:durableId="10392047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7A31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6175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688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20B0"/>
    <w:rsid w:val="0033692F"/>
    <w:rsid w:val="00353718"/>
    <w:rsid w:val="00374F93"/>
    <w:rsid w:val="00377F1D"/>
    <w:rsid w:val="0039366D"/>
    <w:rsid w:val="00394901"/>
    <w:rsid w:val="003A04E7"/>
    <w:rsid w:val="003A1C45"/>
    <w:rsid w:val="003A4991"/>
    <w:rsid w:val="003A6E1A"/>
    <w:rsid w:val="003B17B0"/>
    <w:rsid w:val="003B1D0B"/>
    <w:rsid w:val="003B2172"/>
    <w:rsid w:val="003C78F6"/>
    <w:rsid w:val="003D1BDE"/>
    <w:rsid w:val="003E746A"/>
    <w:rsid w:val="00401C12"/>
    <w:rsid w:val="0042465A"/>
    <w:rsid w:val="00431A9D"/>
    <w:rsid w:val="0043505D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38FE"/>
    <w:rsid w:val="004E4915"/>
    <w:rsid w:val="004E63EC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1EFF"/>
    <w:rsid w:val="005B3509"/>
    <w:rsid w:val="005C25A0"/>
    <w:rsid w:val="005D2005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07EF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309D"/>
    <w:rsid w:val="00751520"/>
    <w:rsid w:val="00766889"/>
    <w:rsid w:val="00766A0D"/>
    <w:rsid w:val="00767F8C"/>
    <w:rsid w:val="00780B67"/>
    <w:rsid w:val="00781D07"/>
    <w:rsid w:val="007A62F8"/>
    <w:rsid w:val="007B1099"/>
    <w:rsid w:val="007B4510"/>
    <w:rsid w:val="007B54A4"/>
    <w:rsid w:val="007C38E4"/>
    <w:rsid w:val="007C6CDF"/>
    <w:rsid w:val="007D0246"/>
    <w:rsid w:val="007F5873"/>
    <w:rsid w:val="007F6DB7"/>
    <w:rsid w:val="00804618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1BA6"/>
    <w:rsid w:val="008B265C"/>
    <w:rsid w:val="008C2F62"/>
    <w:rsid w:val="008C4B1F"/>
    <w:rsid w:val="008C75AD"/>
    <w:rsid w:val="008D020E"/>
    <w:rsid w:val="008E2BC0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70C90"/>
    <w:rsid w:val="00982766"/>
    <w:rsid w:val="009833F0"/>
    <w:rsid w:val="009852C4"/>
    <w:rsid w:val="0099583E"/>
    <w:rsid w:val="009A0242"/>
    <w:rsid w:val="009A59ED"/>
    <w:rsid w:val="009B101F"/>
    <w:rsid w:val="009B239B"/>
    <w:rsid w:val="009C5642"/>
    <w:rsid w:val="009D74C6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745"/>
    <w:rsid w:val="00A37DE3"/>
    <w:rsid w:val="00A40B00"/>
    <w:rsid w:val="00A4787C"/>
    <w:rsid w:val="00A51369"/>
    <w:rsid w:val="00A519D1"/>
    <w:rsid w:val="00A5303B"/>
    <w:rsid w:val="00A65C50"/>
    <w:rsid w:val="00A8290F"/>
    <w:rsid w:val="00AA2B87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28DB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3328B"/>
    <w:rsid w:val="00E3710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523D"/>
    <w:rsid w:val="00FC6387"/>
    <w:rsid w:val="00FC6802"/>
    <w:rsid w:val="00FD1FDA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pi.org/bookstore/product/medical-science-trends-and-innovations-vol-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D8646-97B1-42A6-960D-96E260BB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122</cp:revision>
  <dcterms:created xsi:type="dcterms:W3CDTF">2023-08-30T09:21:00Z</dcterms:created>
  <dcterms:modified xsi:type="dcterms:W3CDTF">2025-02-21T04:44:00Z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