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1288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1288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1288F" w14:paraId="127EAD7E" w14:textId="77777777" w:rsidTr="007C647F">
        <w:trPr>
          <w:trHeight w:val="66"/>
        </w:trPr>
        <w:tc>
          <w:tcPr>
            <w:tcW w:w="1234" w:type="pct"/>
          </w:tcPr>
          <w:p w14:paraId="3C159AA5" w14:textId="77777777" w:rsidR="0000007A" w:rsidRPr="0061288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1288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67F7C4" w:rsidR="0000007A" w:rsidRPr="0061288F" w:rsidRDefault="0006391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F6065" w:rsidRPr="0061288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1288F" w14:paraId="73C90375" w14:textId="77777777" w:rsidTr="007C647F">
        <w:trPr>
          <w:trHeight w:val="64"/>
        </w:trPr>
        <w:tc>
          <w:tcPr>
            <w:tcW w:w="1234" w:type="pct"/>
          </w:tcPr>
          <w:p w14:paraId="20D28135" w14:textId="77777777" w:rsidR="0000007A" w:rsidRPr="006128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E98312" w:rsidR="0000007A" w:rsidRPr="0061288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065CE"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4283</w:t>
            </w:r>
          </w:p>
        </w:tc>
      </w:tr>
      <w:tr w:rsidR="0000007A" w:rsidRPr="0061288F" w14:paraId="05B60576" w14:textId="77777777" w:rsidTr="007C647F">
        <w:trPr>
          <w:trHeight w:val="64"/>
        </w:trPr>
        <w:tc>
          <w:tcPr>
            <w:tcW w:w="1234" w:type="pct"/>
          </w:tcPr>
          <w:p w14:paraId="0196A627" w14:textId="77777777" w:rsidR="0000007A" w:rsidRPr="0061288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F4DF88" w:rsidR="0000007A" w:rsidRPr="0061288F" w:rsidRDefault="00E065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1288F">
              <w:rPr>
                <w:rFonts w:ascii="Arial" w:hAnsi="Arial" w:cs="Arial"/>
                <w:b/>
                <w:sz w:val="20"/>
                <w:szCs w:val="20"/>
                <w:lang w:val="en-GB"/>
              </w:rPr>
              <w:t>Non-pharmacological Therapy for Tic Disorders in Children and Adolescents: Methods, Advantages and shortcomings</w:t>
            </w:r>
          </w:p>
        </w:tc>
      </w:tr>
      <w:tr w:rsidR="00CF0BBB" w:rsidRPr="0061288F" w14:paraId="6D508B1C" w14:textId="77777777" w:rsidTr="007C647F">
        <w:trPr>
          <w:trHeight w:val="64"/>
        </w:trPr>
        <w:tc>
          <w:tcPr>
            <w:tcW w:w="1234" w:type="pct"/>
          </w:tcPr>
          <w:p w14:paraId="32FC28F7" w14:textId="77777777" w:rsidR="00CF0BBB" w:rsidRPr="0061288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8B9381" w:rsidR="00CF0BBB" w:rsidRPr="0061288F" w:rsidRDefault="00E065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1288F" w:rsidRDefault="00D27A79" w:rsidP="007C647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9636"/>
        <w:gridCol w:w="6442"/>
      </w:tblGrid>
      <w:tr w:rsidR="00F1171E" w:rsidRPr="0061288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288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1288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128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288F" w14:paraId="5EA12279" w14:textId="77777777" w:rsidTr="007C647F">
        <w:tc>
          <w:tcPr>
            <w:tcW w:w="1199" w:type="pct"/>
            <w:noWrap/>
          </w:tcPr>
          <w:p w14:paraId="7AE9682F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78" w:type="pct"/>
          </w:tcPr>
          <w:p w14:paraId="674EDCCA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288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288F">
              <w:rPr>
                <w:rFonts w:ascii="Arial" w:hAnsi="Arial" w:cs="Arial"/>
                <w:lang w:val="en-GB"/>
              </w:rPr>
              <w:t>Author’s Feedback</w:t>
            </w:r>
            <w:r w:rsidRPr="0061288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288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1288F" w14:paraId="5C0AB4EC" w14:textId="77777777" w:rsidTr="007C647F">
        <w:trPr>
          <w:trHeight w:val="1264"/>
        </w:trPr>
        <w:tc>
          <w:tcPr>
            <w:tcW w:w="1199" w:type="pct"/>
            <w:noWrap/>
          </w:tcPr>
          <w:p w14:paraId="66B47184" w14:textId="48030299" w:rsidR="00F1171E" w:rsidRPr="006128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1288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78" w:type="pct"/>
          </w:tcPr>
          <w:p w14:paraId="7DBC9196" w14:textId="316C4DB7" w:rsidR="00F1171E" w:rsidRPr="0061288F" w:rsidRDefault="0043588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still an underestimation of the importance of non-pharmacological interventions for tic disorders in children and adolescents. </w:t>
            </w:r>
            <w:r w:rsidR="00F3499A" w:rsidRPr="0061288F">
              <w:rPr>
                <w:rFonts w:ascii="Arial" w:hAnsi="Arial" w:cs="Arial"/>
                <w:sz w:val="20"/>
                <w:szCs w:val="20"/>
                <w:lang w:val="en-GB"/>
              </w:rPr>
              <w:t>It is therefore important that knowledge about the different forms of support for people affected by tics is widely available, both to professionals treating tics and to researchers.</w:t>
            </w:r>
            <w:r w:rsidR="003E2A6E" w:rsidRPr="0061288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33927" w:rsidRPr="0061288F">
              <w:rPr>
                <w:rFonts w:ascii="Arial" w:hAnsi="Arial" w:cs="Arial"/>
                <w:sz w:val="20"/>
                <w:szCs w:val="20"/>
                <w:lang w:val="en-GB"/>
              </w:rPr>
              <w:t>Both classical therapeutic techniques and approaches beyond traditional cognitive-behavioural methods are described in the manuscript. It allows the reader to become familiar with a wide range of suggestions for non-pharmacological interventions recommended for paediatric patients.</w:t>
            </w:r>
          </w:p>
        </w:tc>
        <w:tc>
          <w:tcPr>
            <w:tcW w:w="1523" w:type="pct"/>
          </w:tcPr>
          <w:p w14:paraId="462A339C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88F" w14:paraId="0D8B5B2C" w14:textId="77777777" w:rsidTr="007C647F">
        <w:trPr>
          <w:trHeight w:val="275"/>
        </w:trPr>
        <w:tc>
          <w:tcPr>
            <w:tcW w:w="1199" w:type="pct"/>
            <w:noWrap/>
          </w:tcPr>
          <w:p w14:paraId="21CBA5FE" w14:textId="77777777" w:rsidR="00F1171E" w:rsidRPr="006128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4DDB6DF3" w:rsidR="00F1171E" w:rsidRPr="007C647F" w:rsidRDefault="00F1171E" w:rsidP="007C647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78" w:type="pct"/>
          </w:tcPr>
          <w:p w14:paraId="794AA9A7" w14:textId="2455884A" w:rsidR="00F1171E" w:rsidRPr="0061288F" w:rsidRDefault="005234B5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The title adequately describes the content and purpose of the article</w:t>
            </w:r>
          </w:p>
        </w:tc>
        <w:tc>
          <w:tcPr>
            <w:tcW w:w="1523" w:type="pct"/>
          </w:tcPr>
          <w:p w14:paraId="405B6701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88F" w14:paraId="5604762A" w14:textId="77777777" w:rsidTr="007C647F">
        <w:trPr>
          <w:trHeight w:val="64"/>
        </w:trPr>
        <w:tc>
          <w:tcPr>
            <w:tcW w:w="1199" w:type="pct"/>
            <w:noWrap/>
          </w:tcPr>
          <w:p w14:paraId="3635573D" w14:textId="77777777" w:rsidR="00F1171E" w:rsidRPr="0061288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1288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78" w:type="pct"/>
          </w:tcPr>
          <w:p w14:paraId="0FB7E83A" w14:textId="4E08C98E" w:rsidR="00F1171E" w:rsidRPr="0061288F" w:rsidRDefault="00AD6476" w:rsidP="006452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The detailed identification of scientific publication databases should be discussed in the methodology section of the article, which is missing from the chapter submitted for review.</w:t>
            </w:r>
          </w:p>
        </w:tc>
        <w:tc>
          <w:tcPr>
            <w:tcW w:w="1523" w:type="pct"/>
          </w:tcPr>
          <w:p w14:paraId="1D54B730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88F" w14:paraId="2F579F54" w14:textId="77777777" w:rsidTr="007C647F">
        <w:trPr>
          <w:trHeight w:val="223"/>
        </w:trPr>
        <w:tc>
          <w:tcPr>
            <w:tcW w:w="1199" w:type="pct"/>
            <w:noWrap/>
          </w:tcPr>
          <w:p w14:paraId="04361F46" w14:textId="368783AB" w:rsidR="00F1171E" w:rsidRPr="0061288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78" w:type="pct"/>
          </w:tcPr>
          <w:p w14:paraId="2B5A7721" w14:textId="0548BE9B" w:rsidR="00F1171E" w:rsidRPr="0061288F" w:rsidRDefault="008828A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The manuscript submitted for review complies with the conditions of a scientific paper.</w:t>
            </w:r>
          </w:p>
        </w:tc>
        <w:tc>
          <w:tcPr>
            <w:tcW w:w="1523" w:type="pct"/>
          </w:tcPr>
          <w:p w14:paraId="4898F764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88F" w14:paraId="73739464" w14:textId="77777777" w:rsidTr="007C647F">
        <w:trPr>
          <w:trHeight w:val="209"/>
        </w:trPr>
        <w:tc>
          <w:tcPr>
            <w:tcW w:w="1199" w:type="pct"/>
            <w:noWrap/>
          </w:tcPr>
          <w:p w14:paraId="09C25322" w14:textId="77777777" w:rsidR="00F1171E" w:rsidRPr="006128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1288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28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78" w:type="pct"/>
          </w:tcPr>
          <w:p w14:paraId="24FE0567" w14:textId="18076C68" w:rsidR="00F1171E" w:rsidRPr="0061288F" w:rsidRDefault="002D4C8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References</w:t>
            </w:r>
            <w:r w:rsidR="006D18B2" w:rsidRPr="0061288F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reviewed and prepared in accordance with the guidelines - they are currently inconsistent</w:t>
            </w:r>
            <w:r w:rsidR="005234B5" w:rsidRPr="0061288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288F" w14:paraId="73CC4A50" w14:textId="77777777" w:rsidTr="007C647F">
        <w:trPr>
          <w:trHeight w:val="386"/>
        </w:trPr>
        <w:tc>
          <w:tcPr>
            <w:tcW w:w="1199" w:type="pct"/>
            <w:noWrap/>
          </w:tcPr>
          <w:p w14:paraId="029CE8D0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1288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1288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128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78" w:type="pct"/>
          </w:tcPr>
          <w:p w14:paraId="149A6CEF" w14:textId="4D66CEA0" w:rsidR="00F1171E" w:rsidRPr="0061288F" w:rsidRDefault="00D80F8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The language corresponds to the standards of scientific papers.</w:t>
            </w:r>
          </w:p>
        </w:tc>
        <w:tc>
          <w:tcPr>
            <w:tcW w:w="1523" w:type="pct"/>
          </w:tcPr>
          <w:p w14:paraId="0351CA58" w14:textId="77777777" w:rsidR="00F1171E" w:rsidRPr="006128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288F" w14:paraId="20A16C0C" w14:textId="77777777" w:rsidTr="007C647F">
        <w:trPr>
          <w:trHeight w:val="1178"/>
        </w:trPr>
        <w:tc>
          <w:tcPr>
            <w:tcW w:w="1199" w:type="pct"/>
            <w:noWrap/>
          </w:tcPr>
          <w:p w14:paraId="7F4BCFAE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288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1288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1288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1288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78" w:type="pct"/>
          </w:tcPr>
          <w:p w14:paraId="18C38C00" w14:textId="77777777" w:rsidR="005234B5" w:rsidRPr="0061288F" w:rsidRDefault="005234B5" w:rsidP="005234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 xml:space="preserve">Functional tics are not mentioned in the paragraph on characteristics of tic disorders. </w:t>
            </w:r>
          </w:p>
          <w:p w14:paraId="5E946A0E" w14:textId="25392A41" w:rsidR="00F1171E" w:rsidRPr="0061288F" w:rsidRDefault="005234B5" w:rsidP="005234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It should also be added that the choice of therapy is often determined by the presence and nature of co-occurring disorders</w:t>
            </w:r>
            <w:r w:rsidR="00C20205" w:rsidRPr="0061288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1659BDC3" w:rsidR="00F1171E" w:rsidRPr="0061288F" w:rsidRDefault="0034744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With regard to DBS, it should be added that in the paediatric patient group it is still a method reserved for drug-resistant cases and those not amenable to other non-pharmacological methods, with a rigorous procedure to qualify for the procedure.</w:t>
            </w:r>
          </w:p>
        </w:tc>
        <w:tc>
          <w:tcPr>
            <w:tcW w:w="1523" w:type="pct"/>
          </w:tcPr>
          <w:p w14:paraId="465E098E" w14:textId="77777777" w:rsidR="00F1171E" w:rsidRPr="0061288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1288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6459"/>
        <w:gridCol w:w="7859"/>
      </w:tblGrid>
      <w:tr w:rsidR="004B6B9B" w:rsidRPr="0061288F" w14:paraId="387160FF" w14:textId="77777777" w:rsidTr="007C647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AB59" w14:textId="77777777" w:rsidR="004B6B9B" w:rsidRPr="0061288F" w:rsidRDefault="004B6B9B" w:rsidP="004B6B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1288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1288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E7B3A1D" w14:textId="77777777" w:rsidR="004B6B9B" w:rsidRPr="0061288F" w:rsidRDefault="004B6B9B" w:rsidP="004B6B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B6B9B" w:rsidRPr="0061288F" w14:paraId="6753FFE6" w14:textId="77777777" w:rsidTr="007C647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F724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1E7C" w14:textId="77777777" w:rsidR="004B6B9B" w:rsidRPr="0061288F" w:rsidRDefault="004B6B9B" w:rsidP="004B6B9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8" w:type="pct"/>
            <w:shd w:val="clear" w:color="auto" w:fill="auto"/>
          </w:tcPr>
          <w:p w14:paraId="34CE3F02" w14:textId="77777777" w:rsidR="004B6B9B" w:rsidRPr="0061288F" w:rsidRDefault="004B6B9B" w:rsidP="004B6B9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1288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1288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1288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B6B9B" w:rsidRPr="0061288F" w14:paraId="550E0F4C" w14:textId="77777777" w:rsidTr="007C647F">
        <w:trPr>
          <w:trHeight w:val="18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0208" w14:textId="77777777" w:rsidR="004B6B9B" w:rsidRPr="0061288F" w:rsidRDefault="004B6B9B" w:rsidP="004B6B9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1288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93C0D3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4947" w14:textId="77777777" w:rsidR="004B6B9B" w:rsidRPr="0061288F" w:rsidRDefault="004B6B9B" w:rsidP="004B6B9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128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128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128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5CEE7B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359551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09ADF37C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629238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9054B1" w14:textId="77777777" w:rsidR="004B6B9B" w:rsidRPr="0061288F" w:rsidRDefault="004B6B9B" w:rsidP="004B6B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76DC056" w14:textId="77777777" w:rsidR="004B6B9B" w:rsidRPr="0061288F" w:rsidRDefault="004B6B9B" w:rsidP="004B6B9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B6B9B" w:rsidRPr="0061288F" w14:paraId="6FF1FBCF" w14:textId="77777777" w:rsidTr="007C647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AEFC" w14:textId="77777777" w:rsidR="004B6B9B" w:rsidRPr="0061288F" w:rsidRDefault="004B6B9B" w:rsidP="004B6B9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1288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B26F0D6" w14:textId="77777777" w:rsidR="004B6B9B" w:rsidRPr="0061288F" w:rsidRDefault="004B6B9B" w:rsidP="004B6B9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B6B9B" w:rsidRPr="0061288F" w14:paraId="6CE41747" w14:textId="77777777" w:rsidTr="007C647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2BA3" w14:textId="77777777" w:rsidR="004B6B9B" w:rsidRPr="0061288F" w:rsidRDefault="004B6B9B" w:rsidP="004B6B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D45F" w14:textId="1F51C4BF" w:rsidR="004B6B9B" w:rsidRPr="0061288F" w:rsidRDefault="007C647F" w:rsidP="004B6B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Agnieszka </w:t>
            </w:r>
            <w:proofErr w:type="spellStart"/>
            <w:r w:rsidRPr="007C647F">
              <w:rPr>
                <w:rFonts w:ascii="Arial" w:hAnsi="Arial" w:cs="Arial"/>
                <w:b/>
                <w:bCs/>
                <w:sz w:val="20"/>
                <w:szCs w:val="20"/>
              </w:rPr>
              <w:t>Małek</w:t>
            </w:r>
            <w:proofErr w:type="spellEnd"/>
          </w:p>
        </w:tc>
      </w:tr>
      <w:tr w:rsidR="004B6B9B" w:rsidRPr="0061288F" w14:paraId="143016EB" w14:textId="77777777" w:rsidTr="007C647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E5AC" w14:textId="77777777" w:rsidR="004B6B9B" w:rsidRPr="0061288F" w:rsidRDefault="004B6B9B" w:rsidP="004B6B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288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BA18" w14:textId="7C0A4BA0" w:rsidR="004B6B9B" w:rsidRPr="0061288F" w:rsidRDefault="007C647F" w:rsidP="004B6B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7C6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Warmia</w:t>
            </w:r>
            <w:proofErr w:type="spellEnd"/>
            <w:r w:rsidRPr="007C6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7C6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Mazury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C64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Poland</w:t>
            </w:r>
          </w:p>
        </w:tc>
      </w:tr>
    </w:tbl>
    <w:p w14:paraId="0821307F" w14:textId="77777777" w:rsidR="00F1171E" w:rsidRPr="0061288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61288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7F07" w14:textId="77777777" w:rsidR="0006391B" w:rsidRPr="0000007A" w:rsidRDefault="0006391B" w:rsidP="0099583E">
      <w:r>
        <w:separator/>
      </w:r>
    </w:p>
  </w:endnote>
  <w:endnote w:type="continuationSeparator" w:id="0">
    <w:p w14:paraId="4FF27347" w14:textId="77777777" w:rsidR="0006391B" w:rsidRPr="0000007A" w:rsidRDefault="000639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45BC" w14:textId="77777777" w:rsidR="0006391B" w:rsidRPr="0000007A" w:rsidRDefault="0006391B" w:rsidP="0099583E">
      <w:r>
        <w:separator/>
      </w:r>
    </w:p>
  </w:footnote>
  <w:footnote w:type="continuationSeparator" w:id="0">
    <w:p w14:paraId="18D1C24C" w14:textId="77777777" w:rsidR="0006391B" w:rsidRPr="0000007A" w:rsidRDefault="000639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91B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C8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744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A6E"/>
    <w:rsid w:val="003E746A"/>
    <w:rsid w:val="003F6065"/>
    <w:rsid w:val="00401C12"/>
    <w:rsid w:val="0042465A"/>
    <w:rsid w:val="0043588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B9B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4B5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0AF"/>
    <w:rsid w:val="005E29CE"/>
    <w:rsid w:val="005E3241"/>
    <w:rsid w:val="005E7FB0"/>
    <w:rsid w:val="005F184C"/>
    <w:rsid w:val="00602F7D"/>
    <w:rsid w:val="00605952"/>
    <w:rsid w:val="0061288F"/>
    <w:rsid w:val="00620677"/>
    <w:rsid w:val="00624032"/>
    <w:rsid w:val="00626025"/>
    <w:rsid w:val="006311A1"/>
    <w:rsid w:val="00640538"/>
    <w:rsid w:val="00645287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8E7"/>
    <w:rsid w:val="006D18B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47F"/>
    <w:rsid w:val="007C6CDF"/>
    <w:rsid w:val="007D0246"/>
    <w:rsid w:val="007E48C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8A8"/>
    <w:rsid w:val="00893E75"/>
    <w:rsid w:val="00895D0A"/>
    <w:rsid w:val="008A7FCF"/>
    <w:rsid w:val="008B265C"/>
    <w:rsid w:val="008C2F62"/>
    <w:rsid w:val="008C4B1F"/>
    <w:rsid w:val="008C75AD"/>
    <w:rsid w:val="008D020E"/>
    <w:rsid w:val="008D1FC7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9C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47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57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6832"/>
    <w:rsid w:val="00BF5C56"/>
    <w:rsid w:val="00C01111"/>
    <w:rsid w:val="00C03A1D"/>
    <w:rsid w:val="00C10283"/>
    <w:rsid w:val="00C1187E"/>
    <w:rsid w:val="00C11905"/>
    <w:rsid w:val="00C1438B"/>
    <w:rsid w:val="00C150D6"/>
    <w:rsid w:val="00C20205"/>
    <w:rsid w:val="00C22886"/>
    <w:rsid w:val="00C25C8F"/>
    <w:rsid w:val="00C263C6"/>
    <w:rsid w:val="00C268B8"/>
    <w:rsid w:val="00C435C6"/>
    <w:rsid w:val="00C635B6"/>
    <w:rsid w:val="00C70DFC"/>
    <w:rsid w:val="00C81706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927"/>
    <w:rsid w:val="00D40416"/>
    <w:rsid w:val="00D430AB"/>
    <w:rsid w:val="00D4782A"/>
    <w:rsid w:val="00D52967"/>
    <w:rsid w:val="00D709EB"/>
    <w:rsid w:val="00D7603E"/>
    <w:rsid w:val="00D80F89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1267"/>
    <w:rsid w:val="00E03C32"/>
    <w:rsid w:val="00E065CE"/>
    <w:rsid w:val="00E22A2B"/>
    <w:rsid w:val="00E3111A"/>
    <w:rsid w:val="00E3754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99A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61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118</cp:revision>
  <dcterms:created xsi:type="dcterms:W3CDTF">2023-08-30T09:21:00Z</dcterms:created>
  <dcterms:modified xsi:type="dcterms:W3CDTF">2025-02-20T07:03:00Z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