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BF49C" w14:textId="77777777" w:rsidR="00CC33EF" w:rsidRDefault="00CF7836">
      <w:pPr>
        <w:spacing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sz w:val="48"/>
          <w:szCs w:val="48"/>
        </w:rPr>
        <w:t>Isolation and Cultivation of Hair Melanocytes</w:t>
      </w:r>
    </w:p>
    <w:p w14:paraId="2F37AEEE" w14:textId="77777777" w:rsidR="005B2903" w:rsidRDefault="005B2903">
      <w:pPr>
        <w:spacing w:before="280" w:after="280" w:line="240" w:lineRule="auto"/>
        <w:rPr>
          <w:rFonts w:ascii="Times New Roman" w:eastAsia="Times New Roman" w:hAnsi="Times New Roman" w:cs="Times New Roman"/>
          <w:b/>
          <w:sz w:val="36"/>
          <w:szCs w:val="36"/>
        </w:rPr>
      </w:pPr>
    </w:p>
    <w:p w14:paraId="2F80CD84" w14:textId="77777777" w:rsidR="005B2903" w:rsidRDefault="005B2903">
      <w:pPr>
        <w:spacing w:before="280" w:after="280" w:line="240" w:lineRule="auto"/>
        <w:rPr>
          <w:rFonts w:ascii="Times New Roman" w:eastAsia="Times New Roman" w:hAnsi="Times New Roman" w:cs="Times New Roman"/>
          <w:b/>
          <w:sz w:val="36"/>
          <w:szCs w:val="36"/>
        </w:rPr>
      </w:pPr>
    </w:p>
    <w:p w14:paraId="23B6574F" w14:textId="77777777" w:rsidR="005B2903" w:rsidRDefault="005B2903">
      <w:pPr>
        <w:spacing w:before="280" w:after="280" w:line="240" w:lineRule="auto"/>
        <w:rPr>
          <w:rFonts w:ascii="Times New Roman" w:eastAsia="Times New Roman" w:hAnsi="Times New Roman" w:cs="Times New Roman"/>
          <w:b/>
          <w:sz w:val="36"/>
          <w:szCs w:val="36"/>
        </w:rPr>
      </w:pPr>
    </w:p>
    <w:p w14:paraId="4AD2B8B7" w14:textId="7B591638" w:rsidR="004A67F1" w:rsidRDefault="004A67F1">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Abstract</w:t>
      </w:r>
    </w:p>
    <w:p w14:paraId="11052751" w14:textId="77777777" w:rsidR="004A67F1" w:rsidRDefault="004A67F1" w:rsidP="004A67F1">
      <w:pPr>
        <w:spacing w:before="280" w:after="28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sz w:val="24"/>
          <w:szCs w:val="24"/>
        </w:rPr>
        <w:t xml:space="preserve">Hair melanocytes have garnered significant attention for their utility in research and therapeutic applications. Studies have highlighted their applications in pigmentation research and disease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making them an indispensable tool for understanding melanin biosynthesis and disorders associated with pigmentation. </w:t>
      </w:r>
      <w:r w:rsidRPr="004A67F1">
        <w:rPr>
          <w:rFonts w:ascii="Times New Roman" w:eastAsia="Times New Roman" w:hAnsi="Times New Roman" w:cs="Times New Roman"/>
          <w:sz w:val="24"/>
          <w:szCs w:val="24"/>
        </w:rPr>
        <w:t>A reliable protocol for isolating and culturing hair melanocytes ensures consistency in cell yield, viability, and functionality.</w:t>
      </w:r>
      <w:r>
        <w:rPr>
          <w:rFonts w:ascii="Times New Roman" w:eastAsia="Times New Roman" w:hAnsi="Times New Roman" w:cs="Times New Roman"/>
          <w:sz w:val="24"/>
          <w:szCs w:val="24"/>
        </w:rPr>
        <w:t xml:space="preserve"> </w:t>
      </w:r>
      <w:r w:rsidRPr="004A67F1">
        <w:rPr>
          <w:rFonts w:ascii="Times New Roman" w:eastAsia="Times New Roman" w:hAnsi="Times New Roman" w:cs="Times New Roman"/>
          <w:sz w:val="24"/>
          <w:szCs w:val="24"/>
        </w:rPr>
        <w:t>Daily imaging of cultured melanocytes highlights their morphology, proliferation, and pigmentation potential. The inclusion of selective trypsinization with G418 further ensures the removal of contaminating cell types, enhancing culture purity.</w:t>
      </w:r>
      <w:r w:rsidR="00D377B0">
        <w:rPr>
          <w:rFonts w:ascii="Times New Roman" w:eastAsia="Times New Roman" w:hAnsi="Times New Roman" w:cs="Times New Roman"/>
          <w:sz w:val="24"/>
          <w:szCs w:val="24"/>
        </w:rPr>
        <w:t xml:space="preserve"> </w:t>
      </w:r>
      <w:r w:rsidR="00D377B0" w:rsidRPr="00D377B0">
        <w:rPr>
          <w:rFonts w:ascii="Times New Roman" w:eastAsia="Times New Roman" w:hAnsi="Times New Roman" w:cs="Times New Roman"/>
          <w:sz w:val="24"/>
          <w:szCs w:val="24"/>
        </w:rPr>
        <w:t>This methodology can further support advancements in stem cell-based regenerative therapies and the development of precision medicine approaches.</w:t>
      </w:r>
    </w:p>
    <w:p w14:paraId="0DC1FD69" w14:textId="77777777" w:rsidR="004A67F1" w:rsidRPr="00D377B0" w:rsidRDefault="00D377B0">
      <w:pPr>
        <w:spacing w:before="280" w:after="280" w:line="240" w:lineRule="auto"/>
        <w:rPr>
          <w:rFonts w:ascii="Times New Roman" w:eastAsia="Times New Roman" w:hAnsi="Times New Roman" w:cs="Times New Roman"/>
          <w:sz w:val="24"/>
          <w:szCs w:val="36"/>
        </w:rPr>
      </w:pPr>
      <w:r w:rsidRPr="00D377B0">
        <w:rPr>
          <w:rFonts w:ascii="Times New Roman" w:eastAsia="Times New Roman" w:hAnsi="Times New Roman" w:cs="Times New Roman"/>
          <w:b/>
          <w:sz w:val="24"/>
          <w:szCs w:val="36"/>
        </w:rPr>
        <w:t xml:space="preserve">Keywords: </w:t>
      </w:r>
      <w:r w:rsidRPr="00D377B0">
        <w:rPr>
          <w:rFonts w:ascii="Times New Roman" w:eastAsia="Times New Roman" w:hAnsi="Times New Roman" w:cs="Times New Roman"/>
          <w:sz w:val="24"/>
          <w:szCs w:val="36"/>
        </w:rPr>
        <w:t>Hair melanocytes, biosynthesis, Dysfunctions, pigmentary disorders</w:t>
      </w:r>
    </w:p>
    <w:p w14:paraId="66235459" w14:textId="77777777" w:rsidR="004A67F1" w:rsidRDefault="004A67F1">
      <w:pPr>
        <w:spacing w:before="280" w:after="280" w:line="240" w:lineRule="auto"/>
        <w:rPr>
          <w:rFonts w:ascii="Times New Roman" w:eastAsia="Times New Roman" w:hAnsi="Times New Roman" w:cs="Times New Roman"/>
          <w:b/>
          <w:sz w:val="36"/>
          <w:szCs w:val="36"/>
        </w:rPr>
      </w:pPr>
    </w:p>
    <w:p w14:paraId="7467C4CD" w14:textId="77777777" w:rsidR="004A67F1" w:rsidRDefault="004A67F1">
      <w:pPr>
        <w:spacing w:before="280" w:after="280" w:line="240" w:lineRule="auto"/>
        <w:rPr>
          <w:rFonts w:ascii="Times New Roman" w:eastAsia="Times New Roman" w:hAnsi="Times New Roman" w:cs="Times New Roman"/>
          <w:b/>
          <w:sz w:val="36"/>
          <w:szCs w:val="36"/>
        </w:rPr>
      </w:pPr>
    </w:p>
    <w:p w14:paraId="4BF5F0F2" w14:textId="77777777" w:rsidR="00CC33EF" w:rsidRDefault="00CF7836">
      <w:pPr>
        <w:spacing w:before="280" w:after="280" w:line="240" w:lineRule="auto"/>
        <w:rPr>
          <w:rFonts w:ascii="Times New Roman" w:eastAsia="Times New Roman" w:hAnsi="Times New Roman" w:cs="Times New Roman"/>
          <w:b/>
          <w:sz w:val="36"/>
          <w:szCs w:val="36"/>
        </w:rPr>
      </w:pPr>
      <w:commentRangeStart w:id="0"/>
      <w:r>
        <w:rPr>
          <w:rFonts w:ascii="Times New Roman" w:eastAsia="Times New Roman" w:hAnsi="Times New Roman" w:cs="Times New Roman"/>
          <w:b/>
          <w:sz w:val="36"/>
          <w:szCs w:val="36"/>
        </w:rPr>
        <w:t>Introduction</w:t>
      </w:r>
      <w:r w:rsidR="00D377B0">
        <w:rPr>
          <w:rFonts w:ascii="Times New Roman" w:eastAsia="Times New Roman" w:hAnsi="Times New Roman" w:cs="Times New Roman"/>
          <w:b/>
          <w:sz w:val="36"/>
          <w:szCs w:val="36"/>
        </w:rPr>
        <w:t>s</w:t>
      </w:r>
      <w:commentRangeEnd w:id="0"/>
      <w:r w:rsidR="00083223">
        <w:rPr>
          <w:rStyle w:val="CommentReference"/>
        </w:rPr>
        <w:commentReference w:id="0"/>
      </w:r>
    </w:p>
    <w:p w14:paraId="35295326" w14:textId="77777777" w:rsidR="00CC33EF" w:rsidRDefault="00CF7836">
      <w:pP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Hair melanocytes are specialized pigment-producing cells located in the hair follicle, primarily in the bulb region. These cells have been widely studied for their role in pigmentation and as a model system for cellular and molecular studies [1, 2]. Recent advances have further emphasized their relevance in understanding genetic regulation and environmental interactions influencing pigmentation. These cells are responsible for the synthesis and distribution of melanin, the pigment that determines hair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xml:space="preserve">. Melanin production in hair melanocytes is tightly regulated by genetic, environmental, and hormonal factors. The functional integrity of melanocytes is critical not only for pigmentation but also for their roles in oxidative stress regulation and cellular homeostasis. Dysfunctions in melanocyte biology have been linked to conditions such as vitiligo, melanoma, and hair </w:t>
      </w:r>
      <w:proofErr w:type="spellStart"/>
      <w:r>
        <w:rPr>
          <w:rFonts w:ascii="Times New Roman" w:eastAsia="Times New Roman" w:hAnsi="Times New Roman" w:cs="Times New Roman"/>
          <w:sz w:val="24"/>
          <w:szCs w:val="24"/>
        </w:rPr>
        <w:t>graying</w:t>
      </w:r>
      <w:proofErr w:type="spellEnd"/>
      <w:r>
        <w:rPr>
          <w:rFonts w:ascii="Times New Roman" w:eastAsia="Times New Roman" w:hAnsi="Times New Roman" w:cs="Times New Roman"/>
          <w:sz w:val="24"/>
          <w:szCs w:val="24"/>
        </w:rPr>
        <w:t xml:space="preserve"> [2, 3]. Additionally, emerging studies point to their role in systemic metabolic disorders and oxidative stress-related diseases. Dysfunctions in melanocyte biology are associated with various conditions, such as premature hair </w:t>
      </w:r>
      <w:proofErr w:type="spellStart"/>
      <w:r>
        <w:rPr>
          <w:rFonts w:ascii="Times New Roman" w:eastAsia="Times New Roman" w:hAnsi="Times New Roman" w:cs="Times New Roman"/>
          <w:sz w:val="24"/>
          <w:szCs w:val="24"/>
        </w:rPr>
        <w:t>graying</w:t>
      </w:r>
      <w:proofErr w:type="spellEnd"/>
      <w:r>
        <w:rPr>
          <w:rFonts w:ascii="Times New Roman" w:eastAsia="Times New Roman" w:hAnsi="Times New Roman" w:cs="Times New Roman"/>
          <w:sz w:val="24"/>
          <w:szCs w:val="24"/>
        </w:rPr>
        <w:t xml:space="preserve">, alopecia, and </w:t>
      </w:r>
      <w:proofErr w:type="spellStart"/>
      <w:r>
        <w:rPr>
          <w:rFonts w:ascii="Times New Roman" w:eastAsia="Times New Roman" w:hAnsi="Times New Roman" w:cs="Times New Roman"/>
          <w:sz w:val="24"/>
          <w:szCs w:val="24"/>
        </w:rPr>
        <w:t>pigmentary</w:t>
      </w:r>
      <w:proofErr w:type="spellEnd"/>
      <w:r>
        <w:rPr>
          <w:rFonts w:ascii="Times New Roman" w:eastAsia="Times New Roman" w:hAnsi="Times New Roman" w:cs="Times New Roman"/>
          <w:sz w:val="24"/>
          <w:szCs w:val="24"/>
        </w:rPr>
        <w:t xml:space="preserve"> disorders.</w:t>
      </w:r>
    </w:p>
    <w:p w14:paraId="0D67AD7A" w14:textId="77777777" w:rsidR="00CC33EF" w:rsidRDefault="00CF7836">
      <w:pP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Hair melanocytes have garnered significant attention for their utility in research and therapeutic applications. Studies have highlighted their applications in pigmentation research and disease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making them an indispensable tool for understanding melanin biosynthesis and disorders associated with pigmentation [1, 3]. Their use extends to elucidating mechanisms underlying hair follicle biology and developing interventions for pigmentary conditions. They serve as a model system for studying pigmentation pathways, drug screening for pigmentary diseases, and regenerative medicine applications. A robust and reproducible protocol for isolating and culturing hair melanocytes is essential to ensure their utility across these domains.</w:t>
      </w:r>
    </w:p>
    <w:p w14:paraId="5D76DE89" w14:textId="77777777" w:rsidR="00CC33EF" w:rsidRDefault="00CF7836">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Applications of hair melanocytes</w:t>
      </w:r>
    </w:p>
    <w:p w14:paraId="344416F8" w14:textId="77777777" w:rsidR="00CC33EF" w:rsidRDefault="00CF7836">
      <w:pPr>
        <w:numPr>
          <w:ilvl w:val="0"/>
          <w:numId w:val="8"/>
        </w:numPr>
        <w:spacing w:before="28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melanocytes provide a primary cell system to explore melanin biosynthesis and its regulation under physiological and pathological conditions.</w:t>
      </w:r>
    </w:p>
    <w:p w14:paraId="333202D5" w14:textId="77777777" w:rsidR="00CC33EF" w:rsidRDefault="00CF7836">
      <w:pPr>
        <w:numPr>
          <w:ilvl w:val="0"/>
          <w:numId w:val="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cells are instrumental in developing in vitro models for pigmentary disorders like vitiligo and albinism.</w:t>
      </w:r>
    </w:p>
    <w:p w14:paraId="20A37DF2" w14:textId="77777777" w:rsidR="00CC33EF" w:rsidRDefault="00CF7836">
      <w:pPr>
        <w:numPr>
          <w:ilvl w:val="0"/>
          <w:numId w:val="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melanocytes are used to evaluate the efficacy and safety of compounds aimed at modulating pigmentation.</w:t>
      </w:r>
    </w:p>
    <w:p w14:paraId="3B237B37" w14:textId="77777777" w:rsidR="00CC33EF" w:rsidRDefault="00CF7836">
      <w:pPr>
        <w:numPr>
          <w:ilvl w:val="0"/>
          <w:numId w:val="8"/>
        </w:num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 of melanocytes in tissue engineering and regenerative therapies is being explored, particularly for skin grafts in patients with depigmentation disorders.</w:t>
      </w:r>
    </w:p>
    <w:p w14:paraId="5B3ABFB3" w14:textId="77777777" w:rsidR="00CC33EF" w:rsidRDefault="00CF7836">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Importance of a robust protocol</w:t>
      </w:r>
    </w:p>
    <w:p w14:paraId="77D9243E" w14:textId="77777777" w:rsidR="00CC33EF" w:rsidRDefault="00CF7836">
      <w:pP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reliable protocol for isolating and culturing hair melanocytes ensures consistency in cell yield, viability, and functionality. Challenges such as contamination, low cell yield, and loss of phenotypic characteristics necessitate meticulous optimization of each step—from sample collection to cell expansion. </w:t>
      </w:r>
      <w:commentRangeStart w:id="1"/>
      <w:r>
        <w:rPr>
          <w:rFonts w:ascii="Times New Roman" w:eastAsia="Times New Roman" w:hAnsi="Times New Roman" w:cs="Times New Roman"/>
          <w:sz w:val="24"/>
          <w:szCs w:val="24"/>
        </w:rPr>
        <w:t>The following sections detail the optimized protocol for isolating hair melanocytes from human hair follicles</w:t>
      </w:r>
      <w:commentRangeEnd w:id="1"/>
      <w:r w:rsidR="00FF374F">
        <w:rPr>
          <w:rStyle w:val="CommentReference"/>
        </w:rPr>
        <w:commentReference w:id="1"/>
      </w:r>
      <w:r>
        <w:rPr>
          <w:rFonts w:ascii="Times New Roman" w:eastAsia="Times New Roman" w:hAnsi="Times New Roman" w:cs="Times New Roman"/>
          <w:sz w:val="24"/>
          <w:szCs w:val="24"/>
        </w:rPr>
        <w:t>.</w:t>
      </w:r>
    </w:p>
    <w:p w14:paraId="60506624" w14:textId="77777777" w:rsidR="00CC33EF" w:rsidRDefault="00CF7836">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Materials and methods</w:t>
      </w:r>
    </w:p>
    <w:p w14:paraId="076B6A98" w14:textId="77777777" w:rsidR="00CC33EF" w:rsidRDefault="00CF7836">
      <w:pPr>
        <w:spacing w:before="280" w:after="28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Materials</w:t>
      </w:r>
    </w:p>
    <w:p w14:paraId="3EE4F1D5" w14:textId="77777777" w:rsidR="00CC33EF" w:rsidRDefault="00CF7836">
      <w:pPr>
        <w:numPr>
          <w:ilvl w:val="0"/>
          <w:numId w:val="2"/>
        </w:numPr>
        <w:spacing w:before="28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Carrier media:</w:t>
      </w:r>
      <w:r>
        <w:rPr>
          <w:rFonts w:ascii="Times New Roman" w:eastAsia="Times New Roman" w:hAnsi="Times New Roman" w:cs="Times New Roman"/>
          <w:sz w:val="24"/>
          <w:szCs w:val="24"/>
        </w:rPr>
        <w:t xml:space="preserve"> DMEM with high glucose (Gibco - 11965092), 10% </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bovine serum (FBS), and 10X antibiotic-antimycotic (Ab-Am).</w:t>
      </w:r>
    </w:p>
    <w:p w14:paraId="701E3D16" w14:textId="77777777" w:rsidR="00CC33EF" w:rsidRDefault="00CF7836">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Washing buffer:</w:t>
      </w:r>
      <w:r>
        <w:rPr>
          <w:rFonts w:ascii="Times New Roman" w:eastAsia="Times New Roman" w:hAnsi="Times New Roman" w:cs="Times New Roman"/>
          <w:sz w:val="24"/>
          <w:szCs w:val="24"/>
        </w:rPr>
        <w:t xml:space="preserve"> 1X Dulbecco’s phosphate-buffered saline (DPBS) with 1X Ab-Am.</w:t>
      </w:r>
    </w:p>
    <w:p w14:paraId="531A647C" w14:textId="77777777" w:rsidR="00CC33EF" w:rsidRDefault="00CF7836">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Enzymes:</w:t>
      </w:r>
      <w:r>
        <w:rPr>
          <w:rFonts w:ascii="Times New Roman" w:eastAsia="Times New Roman" w:hAnsi="Times New Roman" w:cs="Times New Roman"/>
          <w:sz w:val="24"/>
          <w:szCs w:val="24"/>
        </w:rPr>
        <w:t xml:space="preserve"> Collagenase Type V (Stemcell Technology - 07431) (working stock:0.5%) and Trypsin (0.05%).</w:t>
      </w:r>
    </w:p>
    <w:p w14:paraId="368DCDAD" w14:textId="77777777" w:rsidR="00CC33EF" w:rsidRDefault="00CF7836">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Culture media:</w:t>
      </w:r>
      <w:r>
        <w:rPr>
          <w:rFonts w:ascii="Times New Roman" w:eastAsia="Times New Roman" w:hAnsi="Times New Roman" w:cs="Times New Roman"/>
          <w:sz w:val="24"/>
          <w:szCs w:val="24"/>
        </w:rPr>
        <w:t xml:space="preserve"> MGM Gold media (Lonza - CC-3249)</w:t>
      </w:r>
    </w:p>
    <w:p w14:paraId="79183D83" w14:textId="77777777" w:rsidR="00CC33EF" w:rsidRDefault="00CF7836">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Consumables:</w:t>
      </w:r>
      <w:r>
        <w:rPr>
          <w:rFonts w:ascii="Times New Roman" w:eastAsia="Times New Roman" w:hAnsi="Times New Roman" w:cs="Times New Roman"/>
          <w:sz w:val="24"/>
          <w:szCs w:val="24"/>
        </w:rPr>
        <w:t xml:space="preserve"> Petri dishes, 6-well plates, cell strainers (40–70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and T75 flasks.</w:t>
      </w:r>
    </w:p>
    <w:p w14:paraId="31FCB85C" w14:textId="77777777" w:rsidR="00CC33EF" w:rsidRDefault="00CF7836">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Selective agent:</w:t>
      </w:r>
      <w:r>
        <w:rPr>
          <w:rFonts w:ascii="Times New Roman" w:eastAsia="Times New Roman" w:hAnsi="Times New Roman" w:cs="Times New Roman"/>
          <w:sz w:val="24"/>
          <w:szCs w:val="24"/>
        </w:rPr>
        <w:t xml:space="preserve"> G418 (Sigma - 4727878001) (working stock: 100 </w:t>
      </w:r>
      <w:proofErr w:type="spellStart"/>
      <w:r>
        <w:rPr>
          <w:rFonts w:ascii="Times New Roman" w:eastAsia="Times New Roman" w:hAnsi="Times New Roman" w:cs="Times New Roman"/>
          <w:sz w:val="24"/>
          <w:szCs w:val="24"/>
        </w:rPr>
        <w:t>μg</w:t>
      </w:r>
      <w:proofErr w:type="spellEnd"/>
      <w:r>
        <w:rPr>
          <w:rFonts w:ascii="Times New Roman" w:eastAsia="Times New Roman" w:hAnsi="Times New Roman" w:cs="Times New Roman"/>
          <w:sz w:val="24"/>
          <w:szCs w:val="24"/>
        </w:rPr>
        <w:t>/mL).</w:t>
      </w:r>
    </w:p>
    <w:p w14:paraId="47397F4F" w14:textId="77777777" w:rsidR="00CC33EF" w:rsidRDefault="00CF7836">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Selective marker: </w:t>
      </w:r>
      <w:r>
        <w:rPr>
          <w:rFonts w:ascii="Times New Roman" w:eastAsia="Times New Roman" w:hAnsi="Times New Roman" w:cs="Times New Roman"/>
          <w:sz w:val="24"/>
          <w:szCs w:val="24"/>
        </w:rPr>
        <w:t xml:space="preserve">S100𝝱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sz w:val="24"/>
          <w:szCs w:val="24"/>
        </w:rPr>
        <w:t>ThermoFisher</w:t>
      </w:r>
      <w:proofErr w:type="spellEnd"/>
      <w:r>
        <w:rPr>
          <w:rFonts w:ascii="Times New Roman" w:eastAsia="Times New Roman" w:hAnsi="Times New Roman" w:cs="Times New Roman"/>
          <w:sz w:val="24"/>
          <w:szCs w:val="24"/>
        </w:rPr>
        <w:t xml:space="preserve"> - 6285-MSM2-P1ABX)</w:t>
      </w:r>
      <w:r>
        <w:rPr>
          <w:sz w:val="24"/>
          <w:szCs w:val="24"/>
        </w:rPr>
        <w:t xml:space="preserve"> </w:t>
      </w:r>
    </w:p>
    <w:p w14:paraId="03D5C408" w14:textId="77777777" w:rsidR="00CC33EF" w:rsidRDefault="00CF7836">
      <w:pPr>
        <w:numPr>
          <w:ilvl w:val="0"/>
          <w:numId w:val="2"/>
        </w:num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Instruments:</w:t>
      </w:r>
      <w:r>
        <w:rPr>
          <w:rFonts w:ascii="Times New Roman" w:eastAsia="Times New Roman" w:hAnsi="Times New Roman" w:cs="Times New Roman"/>
          <w:sz w:val="24"/>
          <w:szCs w:val="24"/>
        </w:rPr>
        <w:t xml:space="preserve"> Centrifuge, CO2 incubator, </w:t>
      </w:r>
      <w:proofErr w:type="spellStart"/>
      <w:r>
        <w:rPr>
          <w:rFonts w:ascii="Times New Roman" w:eastAsia="Times New Roman" w:hAnsi="Times New Roman" w:cs="Times New Roman"/>
          <w:sz w:val="24"/>
          <w:szCs w:val="24"/>
        </w:rPr>
        <w:t>hemocytometer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brightfield</w:t>
      </w:r>
      <w:proofErr w:type="spellEnd"/>
      <w:r>
        <w:rPr>
          <w:rFonts w:ascii="Times New Roman" w:eastAsia="Times New Roman" w:hAnsi="Times New Roman" w:cs="Times New Roman"/>
          <w:sz w:val="24"/>
          <w:szCs w:val="24"/>
        </w:rPr>
        <w:t xml:space="preserve"> microscope, flow cytometer, and confocal microscope.</w:t>
      </w:r>
    </w:p>
    <w:p w14:paraId="3ACE2193" w14:textId="77777777" w:rsidR="00CC33EF" w:rsidRDefault="00CF7836">
      <w:pPr>
        <w:spacing w:before="280" w:after="28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Protocol</w:t>
      </w:r>
    </w:p>
    <w:p w14:paraId="10EAE6DC" w14:textId="77777777" w:rsidR="00CC33EF" w:rsidRDefault="00CF7836">
      <w:pPr>
        <w:spacing w:before="280" w:after="28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Preparation</w:t>
      </w:r>
    </w:p>
    <w:p w14:paraId="1EA75353" w14:textId="77777777" w:rsidR="00CC33EF" w:rsidRDefault="00CF7836">
      <w:pPr>
        <w:numPr>
          <w:ilvl w:val="0"/>
          <w:numId w:val="3"/>
        </w:numPr>
        <w:spacing w:before="28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Store hair follicles in carrier media under chilled conditions.</w:t>
      </w:r>
    </w:p>
    <w:p w14:paraId="143462FC" w14:textId="77777777" w:rsidR="00CC33EF" w:rsidRDefault="00CF7836">
      <w:pPr>
        <w:numPr>
          <w:ilvl w:val="0"/>
          <w:numId w:val="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Wash follicles with a washing buffer (5 mL) in a 15 mL Falcon tube. Shake for 1 minute and allow the follicles to settle. Discard the supernatant.</w:t>
      </w:r>
    </w:p>
    <w:p w14:paraId="38C60A21" w14:textId="77777777" w:rsidR="00CC33EF" w:rsidRDefault="00CF7836">
      <w:pPr>
        <w:numPr>
          <w:ilvl w:val="0"/>
          <w:numId w:val="3"/>
        </w:num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Repeat the washing process 7–8 times to ensure thorough cleaning.</w:t>
      </w:r>
    </w:p>
    <w:p w14:paraId="207F70C0" w14:textId="77777777" w:rsidR="00CC33EF" w:rsidRDefault="00CF7836">
      <w:pPr>
        <w:spacing w:before="280" w:after="28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Enzymatic Digestion</w:t>
      </w:r>
    </w:p>
    <w:p w14:paraId="54154AA5" w14:textId="77777777" w:rsidR="00CC33EF" w:rsidRDefault="00CF7836">
      <w:pPr>
        <w:numPr>
          <w:ilvl w:val="0"/>
          <w:numId w:val="4"/>
        </w:numPr>
        <w:spacing w:before="28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 a 0.5% Collagenase Type 5 solution.</w:t>
      </w:r>
    </w:p>
    <w:p w14:paraId="4FDD6E10" w14:textId="77777777" w:rsidR="00CC33EF" w:rsidRDefault="00CF7836">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Incubate hair follicles in 10 mL of collagenase solution in a petri dish for 1 hour at 37°C in a CO2 incubator. (NOTE - Working stock in 10mL DMEM high glucose)</w:t>
      </w:r>
    </w:p>
    <w:p w14:paraId="7CD438A5" w14:textId="77777777" w:rsidR="00CC33EF" w:rsidRDefault="00CF7836">
      <w:pPr>
        <w:numPr>
          <w:ilvl w:val="0"/>
          <w:numId w:val="4"/>
        </w:num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Wash the digested tissue 4 times with 1X DPBS, allowing a 1-minute incubation during each wash.</w:t>
      </w:r>
    </w:p>
    <w:p w14:paraId="748E142A" w14:textId="77777777" w:rsidR="00CC33EF" w:rsidRDefault="00CF783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Trypsinization</w:t>
      </w:r>
    </w:p>
    <w:p w14:paraId="09A883C6" w14:textId="77777777" w:rsidR="00CC33EF" w:rsidRDefault="00CF7836">
      <w:pPr>
        <w:numPr>
          <w:ilvl w:val="0"/>
          <w:numId w:val="5"/>
        </w:numPr>
        <w:spacing w:before="28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3 mL of 0.05% trypsin to hair follicles and incubate at 37°C for 5 minutes.</w:t>
      </w:r>
    </w:p>
    <w:p w14:paraId="20D407CB" w14:textId="77777777" w:rsidR="00CC33EF" w:rsidRDefault="00CF7836">
      <w:pPr>
        <w:numPr>
          <w:ilvl w:val="0"/>
          <w:numId w:val="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 the spent trypsin, neutralize with MGM Gold media supplemented with 10% FBS, and pool in a single tube.</w:t>
      </w:r>
    </w:p>
    <w:p w14:paraId="013BA774" w14:textId="77777777" w:rsidR="00CC33EF" w:rsidRDefault="00CF7836">
      <w:pPr>
        <w:numPr>
          <w:ilvl w:val="0"/>
          <w:numId w:val="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Repeat the trypsinization process two additional times.</w:t>
      </w:r>
    </w:p>
    <w:p w14:paraId="6893C329" w14:textId="77777777" w:rsidR="00CC33EF" w:rsidRDefault="00CF7836">
      <w:pPr>
        <w:numPr>
          <w:ilvl w:val="0"/>
          <w:numId w:val="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 the pooled suspension through a 40–70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xml:space="preserve"> cell strainer.</w:t>
      </w:r>
    </w:p>
    <w:p w14:paraId="07B2FAAE" w14:textId="77777777" w:rsidR="00CC33EF" w:rsidRDefault="00CF7836">
      <w:pPr>
        <w:numPr>
          <w:ilvl w:val="0"/>
          <w:numId w:val="5"/>
        </w:num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Centrifuge at 300 × g for 5 minutes at 22°C. Resuspend the pellet in 1 mL of MGM Gold media. Seed at a density of 10,000–20,000 cells/cm² in MGM Gold media.</w:t>
      </w:r>
    </w:p>
    <w:p w14:paraId="78478AAC" w14:textId="77777777" w:rsidR="00CC33EF" w:rsidRDefault="00CF783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Selective Trypsinization and G418 treatment.</w:t>
      </w:r>
    </w:p>
    <w:p w14:paraId="6B9FE1CA" w14:textId="77777777" w:rsidR="00CC33EF" w:rsidRDefault="00CF7836">
      <w:pPr>
        <w:widowControl w:val="0"/>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Keratinocyte cells can remove with selective trypsinization 0.05% for 2-3 min incubation at 37°C.</w:t>
      </w:r>
    </w:p>
    <w:p w14:paraId="6FA60594" w14:textId="77777777" w:rsidR="00CC33EF" w:rsidRDefault="00CF7836">
      <w:pPr>
        <w:widowControl w:val="0"/>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primary cultures are established, treat cells with G418 at a working concentration of 100 </w:t>
      </w:r>
      <w:proofErr w:type="spellStart"/>
      <w:r>
        <w:rPr>
          <w:rFonts w:ascii="Times New Roman" w:eastAsia="Times New Roman" w:hAnsi="Times New Roman" w:cs="Times New Roman"/>
          <w:sz w:val="24"/>
          <w:szCs w:val="24"/>
        </w:rPr>
        <w:t>μg</w:t>
      </w:r>
      <w:proofErr w:type="spellEnd"/>
      <w:r>
        <w:rPr>
          <w:rFonts w:ascii="Times New Roman" w:eastAsia="Times New Roman" w:hAnsi="Times New Roman" w:cs="Times New Roman"/>
          <w:sz w:val="24"/>
          <w:szCs w:val="24"/>
        </w:rPr>
        <w:t>/mL for 48 hours to selectively eliminate fibroblast cells.</w:t>
      </w:r>
    </w:p>
    <w:p w14:paraId="4F310111" w14:textId="77777777" w:rsidR="00CC33EF" w:rsidRDefault="00CF7836">
      <w:pPr>
        <w:widowControl w:val="0"/>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the culture daily under a brightfield microscope to ensure selective survival of melanocytes.</w:t>
      </w:r>
    </w:p>
    <w:p w14:paraId="2602BE39" w14:textId="77777777" w:rsidR="00CC33EF" w:rsidRDefault="00CF7836">
      <w:pPr>
        <w:widowControl w:val="0"/>
        <w:numPr>
          <w:ilvl w:val="0"/>
          <w:numId w:val="6"/>
        </w:num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Wash cells thoroughly after G418 treatment to remove residual antibiotic.</w:t>
      </w:r>
    </w:p>
    <w:p w14:paraId="52484A67" w14:textId="77777777" w:rsidR="00CC33EF" w:rsidRDefault="00CF783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Cell Culture</w:t>
      </w:r>
    </w:p>
    <w:p w14:paraId="3A5B2603" w14:textId="77777777" w:rsidR="00CC33EF" w:rsidRDefault="00CF7836">
      <w:pPr>
        <w:numPr>
          <w:ilvl w:val="0"/>
          <w:numId w:val="7"/>
        </w:numPr>
        <w:spacing w:before="28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 the cells using Trypan Blue and a </w:t>
      </w:r>
      <w:proofErr w:type="spellStart"/>
      <w:r>
        <w:rPr>
          <w:rFonts w:ascii="Times New Roman" w:eastAsia="Times New Roman" w:hAnsi="Times New Roman" w:cs="Times New Roman"/>
          <w:sz w:val="24"/>
          <w:szCs w:val="24"/>
        </w:rPr>
        <w:t>hemocytometer</w:t>
      </w:r>
      <w:proofErr w:type="spellEnd"/>
      <w:r>
        <w:rPr>
          <w:rFonts w:ascii="Times New Roman" w:eastAsia="Times New Roman" w:hAnsi="Times New Roman" w:cs="Times New Roman"/>
          <w:sz w:val="24"/>
          <w:szCs w:val="24"/>
        </w:rPr>
        <w:t>. Seed at a density of 10,000–20,000 cells/cm² in MGM Gold media.</w:t>
      </w:r>
    </w:p>
    <w:p w14:paraId="55CE1DB3" w14:textId="77777777" w:rsidR="00CC33EF" w:rsidRDefault="00CF7836">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the culture at 37°C in a CO2 incubator. Do not change the media until Day 7.</w:t>
      </w:r>
    </w:p>
    <w:p w14:paraId="5F564959" w14:textId="77777777" w:rsidR="00CC33EF" w:rsidRDefault="00CF7836">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 Day 7, change the media every 3 days.</w:t>
      </w:r>
    </w:p>
    <w:p w14:paraId="0C48B5B3" w14:textId="77777777" w:rsidR="00CC33EF" w:rsidRDefault="00CF7836">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Subculture cells when they reach 80–90% confluence using the trypsinization 0.05% protocol (37°C/3-5 min). </w:t>
      </w:r>
    </w:p>
    <w:p w14:paraId="5C6F49C0" w14:textId="77777777" w:rsidR="00CC33EF" w:rsidRDefault="00CF7836">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Freeze cells in cryopreservation media (90% FBS + 10% DMSO) at a density of 1.5 × 10⁶ cells/vial.</w:t>
      </w:r>
    </w:p>
    <w:p w14:paraId="346D2DA8" w14:textId="77777777" w:rsidR="00CC33EF" w:rsidRDefault="00CF783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5133EB16" wp14:editId="4FCE93AB">
            <wp:extent cx="1854994" cy="1454746"/>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854994" cy="1454746"/>
                    </a:xfrm>
                    <a:prstGeom prst="rect">
                      <a:avLst/>
                    </a:prstGeom>
                    <a:ln/>
                  </pic:spPr>
                </pic:pic>
              </a:graphicData>
            </a:graphic>
          </wp:inline>
        </w:drawing>
      </w:r>
      <w:r>
        <w:t xml:space="preserve"> </w:t>
      </w:r>
      <w:r>
        <w:rPr>
          <w:rFonts w:ascii="Times New Roman" w:eastAsia="Times New Roman" w:hAnsi="Times New Roman" w:cs="Times New Roman"/>
          <w:b/>
          <w:noProof/>
          <w:sz w:val="24"/>
          <w:szCs w:val="24"/>
          <w:lang w:val="en-US" w:eastAsia="en-US"/>
        </w:rPr>
        <w:drawing>
          <wp:inline distT="0" distB="0" distL="0" distR="0" wp14:anchorId="4303D772" wp14:editId="056CFF78">
            <wp:extent cx="1832936" cy="1460766"/>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832936" cy="1460766"/>
                    </a:xfrm>
                    <a:prstGeom prst="rect">
                      <a:avLst/>
                    </a:prstGeom>
                    <a:ln/>
                  </pic:spPr>
                </pic:pic>
              </a:graphicData>
            </a:graphic>
          </wp:inline>
        </w:drawing>
      </w:r>
    </w:p>
    <w:p w14:paraId="5B7D56E1" w14:textId="77777777" w:rsidR="00CC33EF" w:rsidRDefault="00CF7836">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Fig.1: 40X Phase Contrast microscopy images of hair melanocytes at passage 0 and passage 5.</w:t>
      </w:r>
    </w:p>
    <w:p w14:paraId="727ACF33" w14:textId="77777777" w:rsidR="008B0259" w:rsidRDefault="008B0259">
      <w:pPr>
        <w:spacing w:before="280" w:after="280" w:line="240" w:lineRule="auto"/>
        <w:jc w:val="both"/>
        <w:rPr>
          <w:rFonts w:ascii="Times New Roman" w:eastAsia="Times New Roman" w:hAnsi="Times New Roman" w:cs="Times New Roman"/>
          <w:b/>
          <w:sz w:val="24"/>
          <w:szCs w:val="24"/>
        </w:rPr>
      </w:pPr>
    </w:p>
    <w:p w14:paraId="6C6BD315" w14:textId="77777777" w:rsidR="00CC33EF" w:rsidRDefault="00CF7836">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Flow Cytometry</w:t>
      </w:r>
    </w:p>
    <w:p w14:paraId="7F8DBAB2" w14:textId="77777777" w:rsidR="00CC33EF" w:rsidRDefault="00CF783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419143E9" wp14:editId="7CE706A6">
            <wp:extent cx="5578475" cy="1590675"/>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578475" cy="1590675"/>
                    </a:xfrm>
                    <a:prstGeom prst="rect">
                      <a:avLst/>
                    </a:prstGeom>
                    <a:ln/>
                  </pic:spPr>
                </pic:pic>
              </a:graphicData>
            </a:graphic>
          </wp:inline>
        </w:drawing>
      </w:r>
      <w:commentRangeStart w:id="2"/>
      <w:r>
        <w:rPr>
          <w:rFonts w:ascii="Times New Roman" w:eastAsia="Times New Roman" w:hAnsi="Times New Roman" w:cs="Times New Roman"/>
          <w:sz w:val="24"/>
          <w:szCs w:val="24"/>
        </w:rPr>
        <w:t xml:space="preserve">Fig.2: Flow cytometric analysis using the BD </w:t>
      </w:r>
      <w:proofErr w:type="spellStart"/>
      <w:r>
        <w:rPr>
          <w:rFonts w:ascii="Times New Roman" w:eastAsia="Times New Roman" w:hAnsi="Times New Roman" w:cs="Times New Roman"/>
          <w:sz w:val="24"/>
          <w:szCs w:val="24"/>
        </w:rPr>
        <w:t>Accuri</w:t>
      </w:r>
      <w:proofErr w:type="spellEnd"/>
      <w:r>
        <w:rPr>
          <w:rFonts w:ascii="Times New Roman" w:eastAsia="Times New Roman" w:hAnsi="Times New Roman" w:cs="Times New Roman"/>
          <w:sz w:val="24"/>
          <w:szCs w:val="24"/>
        </w:rPr>
        <w:t xml:space="preserve"> C6 Plus shows 82.5% expression of the hair melanocyte marker S100β.</w:t>
      </w:r>
      <w:commentRangeEnd w:id="2"/>
      <w:r w:rsidR="00FF374F">
        <w:rPr>
          <w:rStyle w:val="CommentReference"/>
        </w:rPr>
        <w:commentReference w:id="2"/>
      </w:r>
    </w:p>
    <w:p w14:paraId="7B40386B" w14:textId="77777777" w:rsidR="00CC33EF" w:rsidRDefault="00CF783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Confocal Microscopy</w:t>
      </w:r>
    </w:p>
    <w:p w14:paraId="69C16784" w14:textId="77777777" w:rsidR="00CC33EF" w:rsidRDefault="00CF783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45F719AC" wp14:editId="33A0AFA1">
            <wp:extent cx="5692775" cy="1800225"/>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92775" cy="1800225"/>
                    </a:xfrm>
                    <a:prstGeom prst="rect">
                      <a:avLst/>
                    </a:prstGeom>
                    <a:ln/>
                  </pic:spPr>
                </pic:pic>
              </a:graphicData>
            </a:graphic>
          </wp:inline>
        </w:drawing>
      </w:r>
    </w:p>
    <w:p w14:paraId="3BAD1C87" w14:textId="77777777" w:rsidR="00CC33EF" w:rsidRDefault="00CF783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DAPI</w:t>
      </w:r>
      <w:r>
        <w:rPr>
          <w:rFonts w:ascii="Times New Roman" w:eastAsia="Times New Roman" w:hAnsi="Times New Roman" w:cs="Times New Roman"/>
          <w:sz w:val="24"/>
          <w:szCs w:val="24"/>
        </w:rPr>
        <w:tab/>
        <w:t xml:space="preserve">                    Alexa Fluor 647 -S100β                          Overlay</w:t>
      </w:r>
    </w:p>
    <w:p w14:paraId="7B2C3E42" w14:textId="77777777" w:rsidR="00CC33EF" w:rsidRDefault="00CF7836">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Fig.3: Confocal microscopy images (63X) of passage 5 hair melanocytes show S100β expression </w:t>
      </w:r>
      <w:proofErr w:type="spellStart"/>
      <w:r>
        <w:rPr>
          <w:rFonts w:ascii="Times New Roman" w:eastAsia="Times New Roman" w:hAnsi="Times New Roman" w:cs="Times New Roman"/>
          <w:sz w:val="24"/>
          <w:szCs w:val="24"/>
        </w:rPr>
        <w:t>labeled</w:t>
      </w:r>
      <w:proofErr w:type="spellEnd"/>
      <w:r>
        <w:rPr>
          <w:rFonts w:ascii="Times New Roman" w:eastAsia="Times New Roman" w:hAnsi="Times New Roman" w:cs="Times New Roman"/>
          <w:sz w:val="24"/>
          <w:szCs w:val="24"/>
        </w:rPr>
        <w:t xml:space="preserve"> with Alexa Fluor 647 and Nucleus with DAPI.</w:t>
      </w:r>
    </w:p>
    <w:p w14:paraId="6B5D544C" w14:textId="77777777" w:rsidR="00CC33EF" w:rsidRDefault="00CF7836">
      <w:pPr>
        <w:spacing w:before="280" w:after="280" w:line="240" w:lineRule="auto"/>
        <w:rPr>
          <w:rFonts w:ascii="Times New Roman" w:eastAsia="Times New Roman" w:hAnsi="Times New Roman" w:cs="Times New Roman"/>
          <w:b/>
          <w:sz w:val="36"/>
          <w:szCs w:val="36"/>
        </w:rPr>
      </w:pPr>
      <w:commentRangeStart w:id="3"/>
      <w:r>
        <w:rPr>
          <w:rFonts w:ascii="Times New Roman" w:eastAsia="Times New Roman" w:hAnsi="Times New Roman" w:cs="Times New Roman"/>
          <w:b/>
          <w:sz w:val="36"/>
          <w:szCs w:val="36"/>
        </w:rPr>
        <w:lastRenderedPageBreak/>
        <w:t>Results and Discussion</w:t>
      </w:r>
      <w:commentRangeEnd w:id="3"/>
      <w:r w:rsidR="000B1D49">
        <w:rPr>
          <w:rStyle w:val="CommentReference"/>
        </w:rPr>
        <w:commentReference w:id="3"/>
      </w:r>
    </w:p>
    <w:p w14:paraId="7677DE38" w14:textId="77777777" w:rsidR="00CC33EF" w:rsidRDefault="00CF7836">
      <w:pP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protocol described has been validated for its efficiency in isolating viable and functional hair melanocytes. Results show a post-thaw viability of 89.4% and consistent seeding efficiency. Flow cytometry analysis using S100β, a melanocyte-specific marker, confirmed the purity of the isolated cells, with studies indicating their consistent expression in hair follicle melanocytes [2]. Confocal imaging has also revealed expression of S100β pigmentation capacity, providing a reliable readout for their functional integrity.</w:t>
      </w:r>
    </w:p>
    <w:p w14:paraId="6F94F8DC" w14:textId="77777777" w:rsidR="00CC33EF" w:rsidRDefault="00CF7836">
      <w:pP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Daily imaging of cultured melanocytes highlights their morphology, proliferation, and pigmentation potential. The inclusion of selective trypsinization with G418 further ensures the removal of contaminating cell types, enhancing culture purity.</w:t>
      </w:r>
    </w:p>
    <w:p w14:paraId="411C0D21" w14:textId="77777777" w:rsidR="00CC33EF" w:rsidRDefault="00CC33EF">
      <w:pPr>
        <w:spacing w:before="280" w:after="280" w:line="240" w:lineRule="auto"/>
        <w:rPr>
          <w:rFonts w:ascii="Times New Roman" w:eastAsia="Times New Roman" w:hAnsi="Times New Roman" w:cs="Times New Roman"/>
          <w:b/>
          <w:sz w:val="36"/>
          <w:szCs w:val="36"/>
        </w:rPr>
      </w:pPr>
    </w:p>
    <w:p w14:paraId="6C30728B" w14:textId="77777777" w:rsidR="00CC33EF" w:rsidRDefault="00CF7836">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Conclusion</w:t>
      </w:r>
    </w:p>
    <w:p w14:paraId="19A72A3F" w14:textId="77777777" w:rsidR="00CC33EF" w:rsidRDefault="00CF7836">
      <w:pP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provides a comprehensive guide to the isolation and culture of hair melanocytes, emphasizing their utility in research and clinical applications. The described protocol offers a robust framework for obtaining high-quality melanocytes with consistent yield and viability. Future studies can leverage these protocols to explore advanced applications in pigment biology, drug discovery, and regenerative medicine. These protocols provide a foundation for advanced investigations into melanocyte biology, supporting the development of therapeutic interventions and novel drug targets [1, 3]. This methodology can further support advancements in stem cell-based regenerative therapies and the development of precision medicine approaches.</w:t>
      </w:r>
    </w:p>
    <w:p w14:paraId="3D0C6E28" w14:textId="77777777" w:rsidR="00CC33EF" w:rsidRDefault="00A1308F">
      <w:pPr>
        <w:spacing w:after="0" w:line="240" w:lineRule="auto"/>
        <w:rPr>
          <w:rFonts w:ascii="Times New Roman" w:eastAsia="Times New Roman" w:hAnsi="Times New Roman" w:cs="Times New Roman"/>
          <w:b/>
          <w:sz w:val="24"/>
          <w:szCs w:val="24"/>
        </w:rPr>
      </w:pPr>
      <w:r>
        <w:pict w14:anchorId="367E8CA7">
          <v:rect id="_x0000_i1025" style="width:0;height:1.5pt" o:hralign="center" o:hrstd="t" o:hr="t" fillcolor="#a0a0a0" stroked="f"/>
        </w:pict>
      </w:r>
    </w:p>
    <w:p w14:paraId="20EAC202" w14:textId="77777777" w:rsidR="00CC33EF" w:rsidRDefault="00CF7836">
      <w:pPr>
        <w:spacing w:before="280" w:after="280" w:line="240" w:lineRule="auto"/>
        <w:rPr>
          <w:rFonts w:ascii="Times New Roman" w:eastAsia="Times New Roman" w:hAnsi="Times New Roman" w:cs="Times New Roman"/>
          <w:sz w:val="24"/>
          <w:szCs w:val="24"/>
        </w:rPr>
      </w:pPr>
      <w:commentRangeStart w:id="4"/>
      <w:r>
        <w:rPr>
          <w:rFonts w:ascii="Times New Roman" w:eastAsia="Times New Roman" w:hAnsi="Times New Roman" w:cs="Times New Roman"/>
          <w:b/>
          <w:sz w:val="24"/>
          <w:szCs w:val="24"/>
        </w:rPr>
        <w:t>References</w:t>
      </w:r>
      <w:commentRangeEnd w:id="4"/>
      <w:r w:rsidR="000B1D49">
        <w:rPr>
          <w:rStyle w:val="CommentReference"/>
        </w:rPr>
        <w:commentReference w:id="4"/>
      </w:r>
    </w:p>
    <w:p w14:paraId="69219985" w14:textId="77777777" w:rsidR="00CC33EF" w:rsidRDefault="00CF7836">
      <w:pPr>
        <w:numPr>
          <w:ilvl w:val="0"/>
          <w:numId w:val="1"/>
        </w:numPr>
        <w:spacing w:before="28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Yamaguchi, Y., Brenner, M., &amp; Hearing, V. J. (2007). The regulation of skin pigmentation. </w:t>
      </w:r>
      <w:r>
        <w:rPr>
          <w:rFonts w:ascii="Times New Roman" w:eastAsia="Times New Roman" w:hAnsi="Times New Roman" w:cs="Times New Roman"/>
          <w:i/>
          <w:sz w:val="24"/>
          <w:szCs w:val="24"/>
        </w:rPr>
        <w:t>Journal of Biological Chemistry</w:t>
      </w:r>
      <w:r>
        <w:rPr>
          <w:rFonts w:ascii="Times New Roman" w:eastAsia="Times New Roman" w:hAnsi="Times New Roman" w:cs="Times New Roman"/>
          <w:sz w:val="24"/>
          <w:szCs w:val="24"/>
        </w:rPr>
        <w:t>, 282(38), 27557–27561.</w:t>
      </w:r>
    </w:p>
    <w:p w14:paraId="490B7881" w14:textId="77777777" w:rsidR="00CC33EF" w:rsidRDefault="00CF7836">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Abdel-Malek, Z. A., et al. (2000). </w:t>
      </w:r>
      <w:proofErr w:type="spellStart"/>
      <w:r>
        <w:rPr>
          <w:rFonts w:ascii="Times New Roman" w:eastAsia="Times New Roman" w:hAnsi="Times New Roman" w:cs="Times New Roman"/>
          <w:sz w:val="24"/>
          <w:szCs w:val="24"/>
        </w:rPr>
        <w:t>Melanocortins</w:t>
      </w:r>
      <w:proofErr w:type="spellEnd"/>
      <w:r>
        <w:rPr>
          <w:rFonts w:ascii="Times New Roman" w:eastAsia="Times New Roman" w:hAnsi="Times New Roman" w:cs="Times New Roman"/>
          <w:sz w:val="24"/>
          <w:szCs w:val="24"/>
        </w:rPr>
        <w:t xml:space="preserve"> and their receptors: Their functions in regulating melanocyte biology. </w:t>
      </w:r>
      <w:r>
        <w:rPr>
          <w:rFonts w:ascii="Times New Roman" w:eastAsia="Times New Roman" w:hAnsi="Times New Roman" w:cs="Times New Roman"/>
          <w:i/>
          <w:sz w:val="24"/>
          <w:szCs w:val="24"/>
        </w:rPr>
        <w:t>Annals of the New York Academy of Sciences</w:t>
      </w:r>
      <w:r>
        <w:rPr>
          <w:rFonts w:ascii="Times New Roman" w:eastAsia="Times New Roman" w:hAnsi="Times New Roman" w:cs="Times New Roman"/>
          <w:sz w:val="24"/>
          <w:szCs w:val="24"/>
        </w:rPr>
        <w:t>, 917(1), 290–297.</w:t>
      </w:r>
    </w:p>
    <w:p w14:paraId="581AC9FF" w14:textId="77777777" w:rsidR="00CC33EF" w:rsidRDefault="00CF7836">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Nakamura, M., et al. (2002). Proliferation, differentiation, and apoptosis of murine hair follicle melanocytes during the hair cycle. </w:t>
      </w:r>
      <w:r>
        <w:rPr>
          <w:rFonts w:ascii="Times New Roman" w:eastAsia="Times New Roman" w:hAnsi="Times New Roman" w:cs="Times New Roman"/>
          <w:i/>
          <w:sz w:val="24"/>
          <w:szCs w:val="24"/>
        </w:rPr>
        <w:t>Journal of Investigative Dermatology</w:t>
      </w:r>
      <w:r>
        <w:rPr>
          <w:rFonts w:ascii="Times New Roman" w:eastAsia="Times New Roman" w:hAnsi="Times New Roman" w:cs="Times New Roman"/>
          <w:sz w:val="24"/>
          <w:szCs w:val="24"/>
        </w:rPr>
        <w:t>, 119(5), 1241–1247.</w:t>
      </w:r>
    </w:p>
    <w:p w14:paraId="16C43360" w14:textId="77777777" w:rsidR="00CC33EF" w:rsidRDefault="00CF7836" w:rsidP="00D5289A">
      <w:pPr>
        <w:numPr>
          <w:ilvl w:val="0"/>
          <w:numId w:val="1"/>
        </w:num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Hörmann, K., et al. (2018). Functional hair follicle melanocytes can be generated from induced pluripotent stem cells.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13(4), e0195693.</w:t>
      </w:r>
    </w:p>
    <w:p w14:paraId="7FF3A763" w14:textId="77777777" w:rsidR="00CC33EF" w:rsidRDefault="00CF7836">
      <w:pPr>
        <w:numPr>
          <w:ilvl w:val="0"/>
          <w:numId w:val="1"/>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Passeron</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Ortonne</w:t>
      </w:r>
      <w:proofErr w:type="spellEnd"/>
      <w:r>
        <w:rPr>
          <w:rFonts w:ascii="Times New Roman" w:eastAsia="Times New Roman" w:hAnsi="Times New Roman" w:cs="Times New Roman"/>
          <w:sz w:val="24"/>
          <w:szCs w:val="24"/>
        </w:rPr>
        <w:t xml:space="preserve">, J. P. (2005). Physiological and pathological aspects of skin pigmentation and its modulation by UV radiation. </w:t>
      </w:r>
      <w:r>
        <w:rPr>
          <w:rFonts w:ascii="Times New Roman" w:eastAsia="Times New Roman" w:hAnsi="Times New Roman" w:cs="Times New Roman"/>
          <w:i/>
          <w:sz w:val="24"/>
          <w:szCs w:val="24"/>
        </w:rPr>
        <w:t>Clinics in Derm</w:t>
      </w:r>
      <w:bookmarkStart w:id="5" w:name="_GoBack"/>
      <w:bookmarkEnd w:id="5"/>
      <w:r>
        <w:rPr>
          <w:rFonts w:ascii="Times New Roman" w:eastAsia="Times New Roman" w:hAnsi="Times New Roman" w:cs="Times New Roman"/>
          <w:i/>
          <w:sz w:val="24"/>
          <w:szCs w:val="24"/>
        </w:rPr>
        <w:t>atology</w:t>
      </w:r>
      <w:r>
        <w:rPr>
          <w:rFonts w:ascii="Times New Roman" w:eastAsia="Times New Roman" w:hAnsi="Times New Roman" w:cs="Times New Roman"/>
          <w:sz w:val="24"/>
          <w:szCs w:val="24"/>
        </w:rPr>
        <w:t>, 23(3), 247–252.</w:t>
      </w:r>
    </w:p>
    <w:p w14:paraId="4169860A" w14:textId="77777777" w:rsidR="00CC33EF" w:rsidRDefault="00CF7836">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Costin, G. E., &amp; Hearing, V. J. (2007). Human melanocyte culture system as a model to study melanocyte biology and melanogenesis. </w:t>
      </w:r>
      <w:r>
        <w:rPr>
          <w:rFonts w:ascii="Times New Roman" w:eastAsia="Times New Roman" w:hAnsi="Times New Roman" w:cs="Times New Roman"/>
          <w:i/>
          <w:sz w:val="24"/>
          <w:szCs w:val="24"/>
        </w:rPr>
        <w:t>Pigment Cell Research</w:t>
      </w:r>
      <w:r>
        <w:rPr>
          <w:rFonts w:ascii="Times New Roman" w:eastAsia="Times New Roman" w:hAnsi="Times New Roman" w:cs="Times New Roman"/>
          <w:sz w:val="24"/>
          <w:szCs w:val="24"/>
        </w:rPr>
        <w:t>, 20(1), 63–73.</w:t>
      </w:r>
    </w:p>
    <w:p w14:paraId="0847F7E4" w14:textId="77777777" w:rsidR="00CC33EF" w:rsidRDefault="00CF7836">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Kang, H. Y., et al. (2001). Enhanced pigmentation and melanocyte </w:t>
      </w:r>
      <w:proofErr w:type="spellStart"/>
      <w:r>
        <w:rPr>
          <w:rFonts w:ascii="Times New Roman" w:eastAsia="Times New Roman" w:hAnsi="Times New Roman" w:cs="Times New Roman"/>
          <w:sz w:val="24"/>
          <w:szCs w:val="24"/>
        </w:rPr>
        <w:t>dendricity</w:t>
      </w:r>
      <w:proofErr w:type="spellEnd"/>
      <w:r>
        <w:rPr>
          <w:rFonts w:ascii="Times New Roman" w:eastAsia="Times New Roman" w:hAnsi="Times New Roman" w:cs="Times New Roman"/>
          <w:sz w:val="24"/>
          <w:szCs w:val="24"/>
        </w:rPr>
        <w:t xml:space="preserve"> induced by </w:t>
      </w:r>
      <w:proofErr w:type="spellStart"/>
      <w:r>
        <w:rPr>
          <w:rFonts w:ascii="Times New Roman" w:eastAsia="Times New Roman" w:hAnsi="Times New Roman" w:cs="Times New Roman"/>
          <w:sz w:val="24"/>
          <w:szCs w:val="24"/>
        </w:rPr>
        <w:t>forskolin</w:t>
      </w:r>
      <w:proofErr w:type="spellEnd"/>
      <w:r>
        <w:rPr>
          <w:rFonts w:ascii="Times New Roman" w:eastAsia="Times New Roman" w:hAnsi="Times New Roman" w:cs="Times New Roman"/>
          <w:sz w:val="24"/>
          <w:szCs w:val="24"/>
        </w:rPr>
        <w:t xml:space="preserve">: A cAMP activator. </w:t>
      </w:r>
      <w:r>
        <w:rPr>
          <w:rFonts w:ascii="Times New Roman" w:eastAsia="Times New Roman" w:hAnsi="Times New Roman" w:cs="Times New Roman"/>
          <w:i/>
          <w:sz w:val="24"/>
          <w:szCs w:val="24"/>
        </w:rPr>
        <w:t>Pigment Cell Research</w:t>
      </w:r>
      <w:r>
        <w:rPr>
          <w:rFonts w:ascii="Times New Roman" w:eastAsia="Times New Roman" w:hAnsi="Times New Roman" w:cs="Times New Roman"/>
          <w:sz w:val="24"/>
          <w:szCs w:val="24"/>
        </w:rPr>
        <w:t>, 14(2), 142–146.</w:t>
      </w:r>
    </w:p>
    <w:p w14:paraId="4BFD9987" w14:textId="77777777" w:rsidR="00CC33EF" w:rsidRDefault="00CF7836">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Boissy, R. E., et al. (2012). Modern approaches to the biology of skin pigmentation. </w:t>
      </w:r>
      <w:r>
        <w:rPr>
          <w:rFonts w:ascii="Times New Roman" w:eastAsia="Times New Roman" w:hAnsi="Times New Roman" w:cs="Times New Roman"/>
          <w:i/>
          <w:sz w:val="24"/>
          <w:szCs w:val="24"/>
        </w:rPr>
        <w:t>Pigment Cell Research</w:t>
      </w:r>
      <w:r>
        <w:rPr>
          <w:rFonts w:ascii="Times New Roman" w:eastAsia="Times New Roman" w:hAnsi="Times New Roman" w:cs="Times New Roman"/>
          <w:sz w:val="24"/>
          <w:szCs w:val="24"/>
        </w:rPr>
        <w:t>, 25(4), 259–271.</w:t>
      </w:r>
    </w:p>
    <w:p w14:paraId="5AF7B69E" w14:textId="77777777" w:rsidR="00CC33EF" w:rsidRDefault="00CF7836">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D. J., et al. (2020). Advances in understanding melanocyte stem cell biology. </w:t>
      </w:r>
      <w:r>
        <w:rPr>
          <w:rFonts w:ascii="Times New Roman" w:eastAsia="Times New Roman" w:hAnsi="Times New Roman" w:cs="Times New Roman"/>
          <w:i/>
          <w:sz w:val="24"/>
          <w:szCs w:val="24"/>
        </w:rPr>
        <w:t>Journal of Dermatological Science</w:t>
      </w:r>
      <w:r>
        <w:rPr>
          <w:rFonts w:ascii="Times New Roman" w:eastAsia="Times New Roman" w:hAnsi="Times New Roman" w:cs="Times New Roman"/>
          <w:sz w:val="24"/>
          <w:szCs w:val="24"/>
        </w:rPr>
        <w:t>, 98(2), 65–72.</w:t>
      </w:r>
    </w:p>
    <w:p w14:paraId="6C25BEC9" w14:textId="77777777" w:rsidR="00CC33EF" w:rsidRDefault="00CF7836">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Tobin, D. J. (2009). The role of melanocytes in skin and hair pigmentation. </w:t>
      </w:r>
      <w:r>
        <w:rPr>
          <w:rFonts w:ascii="Times New Roman" w:eastAsia="Times New Roman" w:hAnsi="Times New Roman" w:cs="Times New Roman"/>
          <w:i/>
          <w:sz w:val="24"/>
          <w:szCs w:val="24"/>
        </w:rPr>
        <w:t>Journal of Investigative Dermatology</w:t>
      </w:r>
      <w:r>
        <w:rPr>
          <w:rFonts w:ascii="Times New Roman" w:eastAsia="Times New Roman" w:hAnsi="Times New Roman" w:cs="Times New Roman"/>
          <w:sz w:val="24"/>
          <w:szCs w:val="24"/>
        </w:rPr>
        <w:t>, 129(5), 1030–1038.</w:t>
      </w:r>
    </w:p>
    <w:p w14:paraId="7F151ABA" w14:textId="77777777" w:rsidR="00CC33EF" w:rsidRDefault="00CF7836">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Slominski, A., &amp; Paus, R. (1993). Melanogenesis in the hair follicle. </w:t>
      </w:r>
      <w:r>
        <w:rPr>
          <w:rFonts w:ascii="Times New Roman" w:eastAsia="Times New Roman" w:hAnsi="Times New Roman" w:cs="Times New Roman"/>
          <w:i/>
          <w:sz w:val="24"/>
          <w:szCs w:val="24"/>
        </w:rPr>
        <w:t>Experimental Dermatology</w:t>
      </w:r>
      <w:r>
        <w:rPr>
          <w:rFonts w:ascii="Times New Roman" w:eastAsia="Times New Roman" w:hAnsi="Times New Roman" w:cs="Times New Roman"/>
          <w:sz w:val="24"/>
          <w:szCs w:val="24"/>
        </w:rPr>
        <w:t>, 2(1), 30–46.</w:t>
      </w:r>
    </w:p>
    <w:p w14:paraId="67AF5F8F" w14:textId="77777777" w:rsidR="00CC33EF" w:rsidRDefault="00CF7836">
      <w:pPr>
        <w:numPr>
          <w:ilvl w:val="0"/>
          <w:numId w:val="1"/>
        </w:num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Kauser, S., et al. (2002). Human hair follicle melanocytes as a novel tool for studies of pigmentation and aging. </w:t>
      </w:r>
      <w:r>
        <w:rPr>
          <w:rFonts w:ascii="Times New Roman" w:eastAsia="Times New Roman" w:hAnsi="Times New Roman" w:cs="Times New Roman"/>
          <w:i/>
          <w:sz w:val="24"/>
          <w:szCs w:val="24"/>
        </w:rPr>
        <w:t>FASEB Journal</w:t>
      </w:r>
      <w:r>
        <w:rPr>
          <w:rFonts w:ascii="Times New Roman" w:eastAsia="Times New Roman" w:hAnsi="Times New Roman" w:cs="Times New Roman"/>
          <w:sz w:val="24"/>
          <w:szCs w:val="24"/>
        </w:rPr>
        <w:t>, 16(9), 979–981.</w:t>
      </w:r>
    </w:p>
    <w:sectPr w:rsidR="00CC33E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25-01-30T05:20:00Z" w:initials="U">
    <w:p w14:paraId="2134CCD9" w14:textId="65FE81D9" w:rsidR="00083223" w:rsidRDefault="00083223">
      <w:pPr>
        <w:pStyle w:val="CommentText"/>
      </w:pPr>
      <w:r>
        <w:rPr>
          <w:rStyle w:val="CommentReference"/>
        </w:rPr>
        <w:annotationRef/>
      </w:r>
      <w:r>
        <w:t>Remove “s”, should be singular</w:t>
      </w:r>
    </w:p>
  </w:comment>
  <w:comment w:id="1" w:author="USER" w:date="2025-01-30T05:29:00Z" w:initials="U">
    <w:p w14:paraId="0C593A43" w14:textId="28B9A97B" w:rsidR="00FF374F" w:rsidRDefault="00FF374F">
      <w:pPr>
        <w:pStyle w:val="CommentText"/>
      </w:pPr>
      <w:r>
        <w:rPr>
          <w:rStyle w:val="CommentReference"/>
        </w:rPr>
        <w:annotationRef/>
      </w:r>
      <w:r>
        <w:t>I suggest you mention different methods available for the Isolation and Cultivation; then present the optimized protocol</w:t>
      </w:r>
    </w:p>
  </w:comment>
  <w:comment w:id="2" w:author="USER" w:date="2025-01-30T05:33:00Z" w:initials="U">
    <w:p w14:paraId="75A7A0EF" w14:textId="1C716F20" w:rsidR="00FF374F" w:rsidRDefault="00FF374F">
      <w:pPr>
        <w:pStyle w:val="CommentText"/>
      </w:pPr>
      <w:r>
        <w:rPr>
          <w:rStyle w:val="CommentReference"/>
        </w:rPr>
        <w:annotationRef/>
      </w:r>
      <w:r>
        <w:t>The prints are too faint. I suggest they are made legible</w:t>
      </w:r>
    </w:p>
  </w:comment>
  <w:comment w:id="3" w:author="USER" w:date="2025-01-30T05:46:00Z" w:initials="U">
    <w:p w14:paraId="33BB060D" w14:textId="4B4A0C6B" w:rsidR="000B1D49" w:rsidRDefault="000B1D49">
      <w:pPr>
        <w:pStyle w:val="CommentText"/>
      </w:pPr>
      <w:r>
        <w:rPr>
          <w:rStyle w:val="CommentReference"/>
        </w:rPr>
        <w:annotationRef/>
      </w:r>
      <w:r>
        <w:t>More can be written under this sub-topic</w:t>
      </w:r>
    </w:p>
  </w:comment>
  <w:comment w:id="4" w:author="USER" w:date="2025-01-30T05:47:00Z" w:initials="U">
    <w:p w14:paraId="72CB3D35" w14:textId="2BDB3AF0" w:rsidR="000B1D49" w:rsidRDefault="000B1D49">
      <w:pPr>
        <w:pStyle w:val="CommentText"/>
      </w:pPr>
      <w:r>
        <w:rPr>
          <w:rStyle w:val="CommentReference"/>
        </w:rPr>
        <w:annotationRef/>
      </w:r>
      <w:r>
        <w:t xml:space="preserve">More references can be included. </w:t>
      </w:r>
      <w:r w:rsidR="00CC1EDD">
        <w:t>I suggest you give at least 20.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34CCD9" w15:done="0"/>
  <w15:commentEx w15:paraId="0C593A43" w15:done="0"/>
  <w15:commentEx w15:paraId="75A7A0EF" w15:done="0"/>
  <w15:commentEx w15:paraId="33BB060D" w15:done="0"/>
  <w15:commentEx w15:paraId="72CB3D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91669" w14:textId="77777777" w:rsidR="00A1308F" w:rsidRDefault="00A1308F" w:rsidP="005B2903">
      <w:pPr>
        <w:spacing w:after="0" w:line="240" w:lineRule="auto"/>
      </w:pPr>
      <w:r>
        <w:separator/>
      </w:r>
    </w:p>
  </w:endnote>
  <w:endnote w:type="continuationSeparator" w:id="0">
    <w:p w14:paraId="7D067DF9" w14:textId="77777777" w:rsidR="00A1308F" w:rsidRDefault="00A1308F" w:rsidP="005B2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B1469" w14:textId="77777777" w:rsidR="005B2903" w:rsidRDefault="005B29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8B1C7" w14:textId="77777777" w:rsidR="005B2903" w:rsidRDefault="005B29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4389F" w14:textId="77777777" w:rsidR="005B2903" w:rsidRDefault="005B2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18870" w14:textId="77777777" w:rsidR="00A1308F" w:rsidRDefault="00A1308F" w:rsidP="005B2903">
      <w:pPr>
        <w:spacing w:after="0" w:line="240" w:lineRule="auto"/>
      </w:pPr>
      <w:r>
        <w:separator/>
      </w:r>
    </w:p>
  </w:footnote>
  <w:footnote w:type="continuationSeparator" w:id="0">
    <w:p w14:paraId="3082CFE1" w14:textId="77777777" w:rsidR="00A1308F" w:rsidRDefault="00A1308F" w:rsidP="005B29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BB943" w14:textId="10AE5848" w:rsidR="005B2903" w:rsidRDefault="00A1308F">
    <w:pPr>
      <w:pStyle w:val="Header"/>
    </w:pPr>
    <w:r>
      <w:rPr>
        <w:noProof/>
      </w:rPr>
      <w:pict w14:anchorId="15198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462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81B3" w14:textId="49E9E304" w:rsidR="005B2903" w:rsidRDefault="00A1308F">
    <w:pPr>
      <w:pStyle w:val="Header"/>
    </w:pPr>
    <w:r>
      <w:rPr>
        <w:noProof/>
      </w:rPr>
      <w:pict w14:anchorId="03009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4620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B93D9" w14:textId="49050921" w:rsidR="005B2903" w:rsidRDefault="00A1308F">
    <w:pPr>
      <w:pStyle w:val="Header"/>
    </w:pPr>
    <w:r>
      <w:rPr>
        <w:noProof/>
      </w:rPr>
      <w:pict w14:anchorId="570DD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462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05BE0"/>
    <w:multiLevelType w:val="multilevel"/>
    <w:tmpl w:val="BC92AF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54E732F"/>
    <w:multiLevelType w:val="multilevel"/>
    <w:tmpl w:val="4B1E0E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2095264A"/>
    <w:multiLevelType w:val="multilevel"/>
    <w:tmpl w:val="1B607B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CA459EA"/>
    <w:multiLevelType w:val="multilevel"/>
    <w:tmpl w:val="5E8ED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1F71261"/>
    <w:multiLevelType w:val="multilevel"/>
    <w:tmpl w:val="8E2C98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3F914CC9"/>
    <w:multiLevelType w:val="multilevel"/>
    <w:tmpl w:val="17CA1F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47B11311"/>
    <w:multiLevelType w:val="multilevel"/>
    <w:tmpl w:val="71BA8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57F5351"/>
    <w:multiLevelType w:val="multilevel"/>
    <w:tmpl w:val="25B6FB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3"/>
  </w:num>
  <w:num w:numId="3">
    <w:abstractNumId w:val="4"/>
  </w:num>
  <w:num w:numId="4">
    <w:abstractNumId w:val="2"/>
  </w:num>
  <w:num w:numId="5">
    <w:abstractNumId w:val="7"/>
  </w:num>
  <w:num w:numId="6">
    <w:abstractNumId w:val="1"/>
  </w:num>
  <w:num w:numId="7">
    <w:abstractNumId w:val="5"/>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3EF"/>
    <w:rsid w:val="00083223"/>
    <w:rsid w:val="000B1D49"/>
    <w:rsid w:val="0039110F"/>
    <w:rsid w:val="004A67F1"/>
    <w:rsid w:val="005B2903"/>
    <w:rsid w:val="005E1728"/>
    <w:rsid w:val="00634E56"/>
    <w:rsid w:val="008B0259"/>
    <w:rsid w:val="00A1308F"/>
    <w:rsid w:val="00BC1122"/>
    <w:rsid w:val="00CC1EDD"/>
    <w:rsid w:val="00CC33EF"/>
    <w:rsid w:val="00CF7836"/>
    <w:rsid w:val="00D377B0"/>
    <w:rsid w:val="00D5289A"/>
    <w:rsid w:val="00FF37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9CCC6B"/>
  <w15:docId w15:val="{CC0186DB-93F1-4F1B-AB2C-E12ECD0AF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565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565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565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565D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880EB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1565D6"/>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1565D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1565D6"/>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1565D6"/>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1565D6"/>
    <w:rPr>
      <w:b/>
      <w:bCs/>
    </w:rPr>
  </w:style>
  <w:style w:type="character" w:styleId="Emphasis">
    <w:name w:val="Emphasis"/>
    <w:basedOn w:val="DefaultParagraphFont"/>
    <w:uiPriority w:val="20"/>
    <w:qFormat/>
    <w:rsid w:val="001565D6"/>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B2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903"/>
  </w:style>
  <w:style w:type="paragraph" w:styleId="Footer">
    <w:name w:val="footer"/>
    <w:basedOn w:val="Normal"/>
    <w:link w:val="FooterChar"/>
    <w:uiPriority w:val="99"/>
    <w:unhideWhenUsed/>
    <w:rsid w:val="005B2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903"/>
  </w:style>
  <w:style w:type="character" w:styleId="CommentReference">
    <w:name w:val="annotation reference"/>
    <w:basedOn w:val="DefaultParagraphFont"/>
    <w:uiPriority w:val="99"/>
    <w:semiHidden/>
    <w:unhideWhenUsed/>
    <w:rsid w:val="00083223"/>
    <w:rPr>
      <w:sz w:val="16"/>
      <w:szCs w:val="16"/>
    </w:rPr>
  </w:style>
  <w:style w:type="paragraph" w:styleId="CommentText">
    <w:name w:val="annotation text"/>
    <w:basedOn w:val="Normal"/>
    <w:link w:val="CommentTextChar"/>
    <w:uiPriority w:val="99"/>
    <w:semiHidden/>
    <w:unhideWhenUsed/>
    <w:rsid w:val="00083223"/>
    <w:pPr>
      <w:spacing w:line="240" w:lineRule="auto"/>
    </w:pPr>
    <w:rPr>
      <w:sz w:val="20"/>
      <w:szCs w:val="20"/>
    </w:rPr>
  </w:style>
  <w:style w:type="character" w:customStyle="1" w:styleId="CommentTextChar">
    <w:name w:val="Comment Text Char"/>
    <w:basedOn w:val="DefaultParagraphFont"/>
    <w:link w:val="CommentText"/>
    <w:uiPriority w:val="99"/>
    <w:semiHidden/>
    <w:rsid w:val="00083223"/>
    <w:rPr>
      <w:sz w:val="20"/>
      <w:szCs w:val="20"/>
    </w:rPr>
  </w:style>
  <w:style w:type="paragraph" w:styleId="CommentSubject">
    <w:name w:val="annotation subject"/>
    <w:basedOn w:val="CommentText"/>
    <w:next w:val="CommentText"/>
    <w:link w:val="CommentSubjectChar"/>
    <w:uiPriority w:val="99"/>
    <w:semiHidden/>
    <w:unhideWhenUsed/>
    <w:rsid w:val="00083223"/>
    <w:rPr>
      <w:b/>
      <w:bCs/>
    </w:rPr>
  </w:style>
  <w:style w:type="character" w:customStyle="1" w:styleId="CommentSubjectChar">
    <w:name w:val="Comment Subject Char"/>
    <w:basedOn w:val="CommentTextChar"/>
    <w:link w:val="CommentSubject"/>
    <w:uiPriority w:val="99"/>
    <w:semiHidden/>
    <w:rsid w:val="00083223"/>
    <w:rPr>
      <w:b/>
      <w:bCs/>
      <w:sz w:val="20"/>
      <w:szCs w:val="20"/>
    </w:rPr>
  </w:style>
  <w:style w:type="paragraph" w:styleId="BalloonText">
    <w:name w:val="Balloon Text"/>
    <w:basedOn w:val="Normal"/>
    <w:link w:val="BalloonTextChar"/>
    <w:uiPriority w:val="99"/>
    <w:semiHidden/>
    <w:unhideWhenUsed/>
    <w:rsid w:val="00083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2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y5lfEyBTUUA/Ti9EzZxhzNGw==">CgMxLjA4AHIhMVdlQUhmOGp4T3JreFFmU01ockdFRjU1b1VXUDFPUzl6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 Khanna</dc:creator>
  <cp:lastModifiedBy>USER</cp:lastModifiedBy>
  <cp:revision>10</cp:revision>
  <dcterms:created xsi:type="dcterms:W3CDTF">2025-01-23T08:48:00Z</dcterms:created>
  <dcterms:modified xsi:type="dcterms:W3CDTF">2025-01-30T14:17:00Z</dcterms:modified>
</cp:coreProperties>
</file>