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0DB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80D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0DB5" w:rsidTr="00F33C84">
        <w:trPr>
          <w:trHeight w:val="413"/>
        </w:trPr>
        <w:tc>
          <w:tcPr>
            <w:tcW w:w="1234" w:type="pct"/>
          </w:tcPr>
          <w:p w:rsidR="0000007A" w:rsidRPr="00680D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0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0DB5" w:rsidRDefault="008B72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A3A00" w:rsidRPr="00680DB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680DB5" w:rsidTr="002E7787">
        <w:trPr>
          <w:trHeight w:val="290"/>
        </w:trPr>
        <w:tc>
          <w:tcPr>
            <w:tcW w:w="1234" w:type="pct"/>
          </w:tcPr>
          <w:p w:rsidR="0000007A" w:rsidRPr="00680D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0D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A6B14" w:rsidRPr="00680DB5">
              <w:rPr>
                <w:rFonts w:ascii="Arial" w:hAnsi="Arial" w:cs="Arial"/>
                <w:b/>
                <w:bCs/>
                <w:sz w:val="20"/>
                <w:szCs w:val="20"/>
              </w:rPr>
              <w:t>4389</w:t>
            </w:r>
          </w:p>
        </w:tc>
      </w:tr>
      <w:tr w:rsidR="0000007A" w:rsidRPr="00680DB5" w:rsidTr="002109D6">
        <w:trPr>
          <w:trHeight w:val="331"/>
        </w:trPr>
        <w:tc>
          <w:tcPr>
            <w:tcW w:w="1234" w:type="pct"/>
          </w:tcPr>
          <w:p w:rsidR="0000007A" w:rsidRPr="00680D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0DB5" w:rsidRDefault="00BA3A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0DB5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Studies: The Impact of Artificial Intelligence on STEM Education</w:t>
            </w:r>
          </w:p>
        </w:tc>
      </w:tr>
      <w:tr w:rsidR="00CF0BBB" w:rsidRPr="00680DB5" w:rsidTr="002E7787">
        <w:trPr>
          <w:trHeight w:val="332"/>
        </w:trPr>
        <w:tc>
          <w:tcPr>
            <w:tcW w:w="1234" w:type="pct"/>
          </w:tcPr>
          <w:p w:rsidR="00CF0BBB" w:rsidRPr="00680D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80DB5" w:rsidRDefault="00BA3A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BC1B44" w:rsidRDefault="00D27A79" w:rsidP="00BC1B44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680DB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0D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0DB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680D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0DB5" w:rsidTr="00BC1B44">
        <w:tc>
          <w:tcPr>
            <w:tcW w:w="1366" w:type="pct"/>
            <w:noWrap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0D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0DB5">
              <w:rPr>
                <w:rFonts w:ascii="Arial" w:hAnsi="Arial" w:cs="Arial"/>
                <w:lang w:val="en-GB"/>
              </w:rPr>
              <w:t>Author’s Feedback</w:t>
            </w:r>
            <w:r w:rsidRPr="00680D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0D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80DB5" w:rsidTr="00BC1B44">
        <w:trPr>
          <w:trHeight w:val="375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680DB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A3531A" w:rsidP="00A353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exposes the need for more case studies on the use of artificial </w:t>
            </w:r>
            <w:r w:rsidR="00A81EFF"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intelligence and robo</w:t>
            </w: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tics in </w:t>
            </w:r>
            <w:r w:rsidR="00927C94"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STEM education. It presents curr</w:t>
            </w: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 researchers the opport</w:t>
            </w:r>
            <w:r w:rsidR="00A81EFF"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unity to look at the use of robo</w:t>
            </w: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tics in teaching STEM subjects. The </w:t>
            </w:r>
            <w:r w:rsidRPr="00680DB5">
              <w:rPr>
                <w:rFonts w:ascii="Arial" w:hAnsi="Arial" w:cs="Arial"/>
                <w:sz w:val="20"/>
                <w:szCs w:val="20"/>
                <w:lang w:val="en-GB"/>
              </w:rPr>
              <w:t xml:space="preserve">diagnostic assessments instrument could be used </w:t>
            </w:r>
            <w:r w:rsidR="009A20DA" w:rsidRPr="00680DB5">
              <w:rPr>
                <w:rFonts w:ascii="Arial" w:hAnsi="Arial" w:cs="Arial"/>
                <w:sz w:val="20"/>
                <w:szCs w:val="20"/>
                <w:lang w:val="en-GB"/>
              </w:rPr>
              <w:t>for identifying areas of difficulties as experienced by studen</w:t>
            </w:r>
            <w:r w:rsidR="00927C94" w:rsidRPr="00680DB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A20DA" w:rsidRPr="00680DB5">
              <w:rPr>
                <w:rFonts w:ascii="Arial" w:hAnsi="Arial" w:cs="Arial"/>
                <w:sz w:val="20"/>
                <w:szCs w:val="20"/>
                <w:lang w:val="en-GB"/>
              </w:rPr>
              <w:t>s.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DB5" w:rsidTr="00BC1B44">
        <w:trPr>
          <w:trHeight w:val="809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80D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9A20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tilte</w:t>
            </w:r>
            <w:proofErr w:type="spellEnd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 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DB5" w:rsidTr="00BC1B44">
        <w:trPr>
          <w:trHeight w:val="809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0D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9A20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proofErr w:type="spellStart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comprensive</w:t>
            </w:r>
            <w:proofErr w:type="spellEnd"/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enough 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DB5" w:rsidTr="00BC1B44">
        <w:trPr>
          <w:trHeight w:val="521"/>
        </w:trPr>
        <w:tc>
          <w:tcPr>
            <w:tcW w:w="1366" w:type="pct"/>
            <w:noWrap/>
          </w:tcPr>
          <w:p w:rsidR="00F1171E" w:rsidRPr="00680D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:rsidR="00F1171E" w:rsidRPr="00680DB5" w:rsidRDefault="009A20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DB5" w:rsidTr="00BC1B44">
        <w:trPr>
          <w:trHeight w:val="259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80D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:rsidR="00F1171E" w:rsidRPr="00680DB5" w:rsidRDefault="009A20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not recent. The researcher may need to revisit and use more recent studies.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DB5" w:rsidTr="00BC1B44">
        <w:trPr>
          <w:trHeight w:val="386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680D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0D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680D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9A20DA" w:rsidP="009A20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sz w:val="20"/>
                <w:szCs w:val="20"/>
                <w:lang w:val="en-GB"/>
              </w:rPr>
              <w:t>The language is suitable enough for the scholarly communications.</w:t>
            </w:r>
          </w:p>
        </w:tc>
        <w:tc>
          <w:tcPr>
            <w:tcW w:w="1523" w:type="pct"/>
          </w:tcPr>
          <w:p w:rsidR="00F1171E" w:rsidRPr="00680D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0DB5" w:rsidTr="00BC1B44">
        <w:trPr>
          <w:trHeight w:val="70"/>
        </w:trPr>
        <w:tc>
          <w:tcPr>
            <w:tcW w:w="1366" w:type="pct"/>
            <w:noWrap/>
          </w:tcPr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0D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0D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0D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680D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:rsidR="00F1171E" w:rsidRPr="00680D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80D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680D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9610A" w:rsidRPr="00680DB5" w:rsidTr="004147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80D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0D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9610A" w:rsidRPr="00680DB5" w:rsidTr="004147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10A" w:rsidRPr="00680DB5" w:rsidRDefault="00F9610A" w:rsidP="00F9610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9610A" w:rsidRPr="00680DB5" w:rsidRDefault="00F9610A" w:rsidP="00F9610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0D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0D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0D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9610A" w:rsidRPr="00680DB5" w:rsidTr="004147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0D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0D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0D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0D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9610A" w:rsidRPr="00680DB5" w:rsidRDefault="00F9610A" w:rsidP="00F961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F9610A" w:rsidRPr="00680DB5" w:rsidRDefault="00F9610A" w:rsidP="00F961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9610A" w:rsidRPr="00680DB5" w:rsidTr="00BC1B4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F9610A" w:rsidRPr="00680DB5" w:rsidRDefault="00F9610A" w:rsidP="00F9610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0D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9610A" w:rsidRPr="00680DB5" w:rsidRDefault="00F9610A" w:rsidP="00F961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9610A" w:rsidRPr="00680DB5" w:rsidTr="00BC1B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BC1B44" w:rsidP="00F96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C1B44">
              <w:rPr>
                <w:rFonts w:ascii="Arial" w:hAnsi="Arial" w:cs="Arial"/>
                <w:b/>
                <w:bCs/>
                <w:sz w:val="20"/>
                <w:szCs w:val="20"/>
              </w:rPr>
              <w:t>Ezema</w:t>
            </w:r>
            <w:proofErr w:type="spellEnd"/>
            <w:r w:rsidRPr="00BC1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1B44">
              <w:rPr>
                <w:rFonts w:ascii="Arial" w:hAnsi="Arial" w:cs="Arial"/>
                <w:b/>
                <w:bCs/>
                <w:sz w:val="20"/>
                <w:szCs w:val="20"/>
              </w:rPr>
              <w:t>Jideofor</w:t>
            </w:r>
            <w:proofErr w:type="spellEnd"/>
            <w:r w:rsidRPr="00BC1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Marcus</w:t>
            </w:r>
          </w:p>
        </w:tc>
      </w:tr>
      <w:tr w:rsidR="00F9610A" w:rsidRPr="00680DB5" w:rsidTr="00BC1B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F9610A" w:rsidP="00F961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D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10A" w:rsidRPr="00680DB5" w:rsidRDefault="00BC1B44" w:rsidP="00BC1B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1B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FCT Education Secretariat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C1B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:rsidR="00F1171E" w:rsidRPr="00680D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680D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ED" w:rsidRPr="0000007A" w:rsidRDefault="008B72ED" w:rsidP="0099583E">
      <w:r>
        <w:separator/>
      </w:r>
    </w:p>
  </w:endnote>
  <w:endnote w:type="continuationSeparator" w:id="0">
    <w:p w:rsidR="008B72ED" w:rsidRPr="0000007A" w:rsidRDefault="008B72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ED" w:rsidRPr="0000007A" w:rsidRDefault="008B72ED" w:rsidP="0099583E">
      <w:r>
        <w:separator/>
      </w:r>
    </w:p>
  </w:footnote>
  <w:footnote w:type="continuationSeparator" w:id="0">
    <w:p w:rsidR="008B72ED" w:rsidRPr="0000007A" w:rsidRDefault="008B72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25F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DB3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D98"/>
    <w:rsid w:val="00245E23"/>
    <w:rsid w:val="00246BB9"/>
    <w:rsid w:val="0025286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1F76"/>
    <w:rsid w:val="002D60EF"/>
    <w:rsid w:val="002E10DF"/>
    <w:rsid w:val="002E1211"/>
    <w:rsid w:val="002E2339"/>
    <w:rsid w:val="002E5C81"/>
    <w:rsid w:val="002E6D86"/>
    <w:rsid w:val="002E7787"/>
    <w:rsid w:val="002F6541"/>
    <w:rsid w:val="002F6935"/>
    <w:rsid w:val="00312559"/>
    <w:rsid w:val="003204B8"/>
    <w:rsid w:val="00326D7D"/>
    <w:rsid w:val="0033018A"/>
    <w:rsid w:val="0033692F"/>
    <w:rsid w:val="0035133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E42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DB5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2ED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7C9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0DA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31A"/>
    <w:rsid w:val="00A36C95"/>
    <w:rsid w:val="00A37DE3"/>
    <w:rsid w:val="00A40B00"/>
    <w:rsid w:val="00A4787C"/>
    <w:rsid w:val="00A51369"/>
    <w:rsid w:val="00A519D1"/>
    <w:rsid w:val="00A5303B"/>
    <w:rsid w:val="00A65C50"/>
    <w:rsid w:val="00A81EFF"/>
    <w:rsid w:val="00A8290F"/>
    <w:rsid w:val="00AA41B3"/>
    <w:rsid w:val="00AA49A2"/>
    <w:rsid w:val="00AA5338"/>
    <w:rsid w:val="00AB1ED6"/>
    <w:rsid w:val="00AB397D"/>
    <w:rsid w:val="00AB5C26"/>
    <w:rsid w:val="00AB638A"/>
    <w:rsid w:val="00AB65BF"/>
    <w:rsid w:val="00AB6E43"/>
    <w:rsid w:val="00AB72F8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679"/>
    <w:rsid w:val="00B66599"/>
    <w:rsid w:val="00B760E1"/>
    <w:rsid w:val="00B82FFC"/>
    <w:rsid w:val="00BA1AB3"/>
    <w:rsid w:val="00BA3A00"/>
    <w:rsid w:val="00BA55B7"/>
    <w:rsid w:val="00BA6421"/>
    <w:rsid w:val="00BB21AB"/>
    <w:rsid w:val="00BB4FEC"/>
    <w:rsid w:val="00BC1B44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CF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A9D"/>
    <w:rsid w:val="00D709EB"/>
    <w:rsid w:val="00D7603E"/>
    <w:rsid w:val="00D90124"/>
    <w:rsid w:val="00D9392F"/>
    <w:rsid w:val="00D9427C"/>
    <w:rsid w:val="00DA2679"/>
    <w:rsid w:val="00DA3C3D"/>
    <w:rsid w:val="00DA41F5"/>
    <w:rsid w:val="00DA6B14"/>
    <w:rsid w:val="00DB2A4C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8C3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10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C4FF3"/>
  <w15:docId w15:val="{0059C950-2C9E-4020-BAAC-E460E00D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