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65350" w:rsidTr="004847FF">
        <w:trPr>
          <w:trHeight w:val="450"/>
        </w:trPr>
        <w:tc>
          <w:tcPr>
            <w:tcW w:w="5000" w:type="pct"/>
            <w:gridSpan w:val="2"/>
            <w:tcBorders>
              <w:top w:val="nil"/>
              <w:left w:val="nil"/>
              <w:right w:val="nil"/>
            </w:tcBorders>
          </w:tcPr>
          <w:p w:rsidR="00602F7D" w:rsidRPr="00265350" w:rsidRDefault="00602F7D" w:rsidP="00F2643C">
            <w:pPr>
              <w:pStyle w:val="Heading2"/>
              <w:jc w:val="left"/>
              <w:rPr>
                <w:rFonts w:ascii="Arial" w:hAnsi="Arial" w:cs="Arial"/>
                <w:b w:val="0"/>
                <w:bCs w:val="0"/>
                <w:lang w:val="en-US"/>
              </w:rPr>
            </w:pPr>
          </w:p>
        </w:tc>
      </w:tr>
      <w:tr w:rsidR="0000007A" w:rsidRPr="00265350" w:rsidTr="00F33C84">
        <w:trPr>
          <w:trHeight w:val="413"/>
        </w:trPr>
        <w:tc>
          <w:tcPr>
            <w:tcW w:w="1234" w:type="pct"/>
          </w:tcPr>
          <w:p w:rsidR="0000007A" w:rsidRPr="00265350" w:rsidRDefault="00D27A79" w:rsidP="00696CAD">
            <w:pPr>
              <w:pStyle w:val="BodyText"/>
              <w:ind w:left="90"/>
              <w:jc w:val="left"/>
              <w:rPr>
                <w:rFonts w:ascii="Arial" w:hAnsi="Arial" w:cs="Arial"/>
                <w:bCs/>
                <w:sz w:val="20"/>
                <w:szCs w:val="20"/>
                <w:lang w:val="en-GB"/>
              </w:rPr>
            </w:pPr>
            <w:r w:rsidRPr="00265350">
              <w:rPr>
                <w:rFonts w:ascii="Arial" w:hAnsi="Arial" w:cs="Arial"/>
                <w:bCs/>
                <w:sz w:val="20"/>
                <w:szCs w:val="20"/>
                <w:lang w:val="en-GB"/>
              </w:rPr>
              <w:t xml:space="preserve">Book </w:t>
            </w:r>
            <w:r w:rsidR="0000007A" w:rsidRPr="0026535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265350" w:rsidRDefault="00726EEB" w:rsidP="00054BC4">
            <w:pPr>
              <w:pStyle w:val="NormalWeb"/>
              <w:rPr>
                <w:rFonts w:ascii="Arial" w:hAnsi="Arial" w:cs="Arial"/>
                <w:b/>
                <w:bCs/>
                <w:sz w:val="20"/>
                <w:szCs w:val="20"/>
                <w:u w:val="single"/>
              </w:rPr>
            </w:pPr>
            <w:hyperlink r:id="rId7" w:history="1">
              <w:r w:rsidR="000F34F0" w:rsidRPr="00265350">
                <w:rPr>
                  <w:rStyle w:val="Hyperlink"/>
                  <w:rFonts w:ascii="Arial" w:hAnsi="Arial" w:cs="Arial"/>
                  <w:sz w:val="20"/>
                  <w:szCs w:val="20"/>
                </w:rPr>
                <w:t>Medical Science: Trends and Innovations</w:t>
              </w:r>
            </w:hyperlink>
          </w:p>
        </w:tc>
      </w:tr>
      <w:tr w:rsidR="0000007A" w:rsidRPr="00265350" w:rsidTr="002E7787">
        <w:trPr>
          <w:trHeight w:val="290"/>
        </w:trPr>
        <w:tc>
          <w:tcPr>
            <w:tcW w:w="1234" w:type="pct"/>
          </w:tcPr>
          <w:p w:rsidR="0000007A" w:rsidRPr="00265350" w:rsidRDefault="0000007A" w:rsidP="00696CAD">
            <w:pPr>
              <w:pStyle w:val="BodyText"/>
              <w:ind w:left="90"/>
              <w:jc w:val="left"/>
              <w:rPr>
                <w:rFonts w:ascii="Arial" w:hAnsi="Arial" w:cs="Arial"/>
                <w:bCs/>
                <w:sz w:val="20"/>
                <w:szCs w:val="20"/>
                <w:lang w:val="en-GB"/>
              </w:rPr>
            </w:pPr>
            <w:r w:rsidRPr="0026535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65350"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265350">
              <w:rPr>
                <w:rFonts w:ascii="Arial" w:hAnsi="Arial" w:cs="Arial"/>
                <w:b/>
                <w:bCs/>
                <w:sz w:val="20"/>
                <w:szCs w:val="20"/>
                <w:lang w:val="en-GB"/>
              </w:rPr>
              <w:t>Ms_BP</w:t>
            </w:r>
            <w:r w:rsidR="00FC432A" w:rsidRPr="00265350">
              <w:rPr>
                <w:rFonts w:ascii="Arial" w:hAnsi="Arial" w:cs="Arial"/>
                <w:b/>
                <w:bCs/>
                <w:sz w:val="20"/>
                <w:szCs w:val="20"/>
                <w:lang w:val="en-GB"/>
              </w:rPr>
              <w:t>R</w:t>
            </w:r>
            <w:proofErr w:type="spellEnd"/>
            <w:r w:rsidRPr="00265350">
              <w:rPr>
                <w:rFonts w:ascii="Arial" w:hAnsi="Arial" w:cs="Arial"/>
                <w:b/>
                <w:bCs/>
                <w:sz w:val="20"/>
                <w:szCs w:val="20"/>
                <w:lang w:val="en-GB"/>
              </w:rPr>
              <w:t>_</w:t>
            </w:r>
            <w:r w:rsidR="00470D2D" w:rsidRPr="00265350">
              <w:rPr>
                <w:rFonts w:ascii="Arial" w:hAnsi="Arial" w:cs="Arial"/>
                <w:b/>
                <w:bCs/>
                <w:sz w:val="20"/>
                <w:szCs w:val="20"/>
              </w:rPr>
              <w:t>4473</w:t>
            </w:r>
          </w:p>
        </w:tc>
      </w:tr>
      <w:tr w:rsidR="0000007A" w:rsidRPr="00265350" w:rsidTr="002109D6">
        <w:trPr>
          <w:trHeight w:val="331"/>
        </w:trPr>
        <w:tc>
          <w:tcPr>
            <w:tcW w:w="1234" w:type="pct"/>
          </w:tcPr>
          <w:p w:rsidR="0000007A" w:rsidRPr="00265350" w:rsidRDefault="0000007A" w:rsidP="00696CAD">
            <w:pPr>
              <w:pStyle w:val="BodyText"/>
              <w:ind w:left="90"/>
              <w:jc w:val="left"/>
              <w:rPr>
                <w:rFonts w:ascii="Arial" w:hAnsi="Arial" w:cs="Arial"/>
                <w:bCs/>
                <w:sz w:val="20"/>
                <w:szCs w:val="20"/>
                <w:lang w:val="en-GB"/>
              </w:rPr>
            </w:pPr>
            <w:r w:rsidRPr="0026535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65350" w:rsidRDefault="000F34F0" w:rsidP="000F34F0">
            <w:pPr>
              <w:pStyle w:val="NormalWeb"/>
              <w:rPr>
                <w:rFonts w:ascii="Arial" w:hAnsi="Arial" w:cs="Arial"/>
                <w:b/>
                <w:sz w:val="20"/>
                <w:szCs w:val="20"/>
                <w:lang w:val="en-GB"/>
              </w:rPr>
            </w:pPr>
            <w:r w:rsidRPr="00265350">
              <w:rPr>
                <w:rFonts w:ascii="Arial" w:hAnsi="Arial" w:cs="Arial"/>
                <w:b/>
                <w:sz w:val="20"/>
                <w:szCs w:val="20"/>
                <w:lang w:val="en-GB"/>
              </w:rPr>
              <w:t>A DiGeorge Syndrome Case Report—Challenges</w:t>
            </w:r>
            <w:r w:rsidR="0016234F" w:rsidRPr="00265350">
              <w:rPr>
                <w:rFonts w:ascii="Arial" w:hAnsi="Arial" w:cs="Arial"/>
                <w:b/>
                <w:sz w:val="20"/>
                <w:szCs w:val="20"/>
                <w:lang w:val="en-GB"/>
              </w:rPr>
              <w:t xml:space="preserve"> </w:t>
            </w:r>
            <w:r w:rsidRPr="00265350">
              <w:rPr>
                <w:rFonts w:ascii="Arial" w:hAnsi="Arial" w:cs="Arial"/>
                <w:b/>
                <w:sz w:val="20"/>
                <w:szCs w:val="20"/>
                <w:lang w:val="en-GB"/>
              </w:rPr>
              <w:t>of Diagnosis and Management</w:t>
            </w:r>
          </w:p>
        </w:tc>
      </w:tr>
      <w:tr w:rsidR="00CF0BBB" w:rsidRPr="00265350" w:rsidTr="002E7787">
        <w:trPr>
          <w:trHeight w:val="332"/>
        </w:trPr>
        <w:tc>
          <w:tcPr>
            <w:tcW w:w="1234" w:type="pct"/>
          </w:tcPr>
          <w:p w:rsidR="00CF0BBB" w:rsidRPr="00265350" w:rsidRDefault="00CF0BBB" w:rsidP="00696CAD">
            <w:pPr>
              <w:pStyle w:val="BodyText"/>
              <w:ind w:left="90"/>
              <w:jc w:val="left"/>
              <w:rPr>
                <w:rFonts w:ascii="Arial" w:hAnsi="Arial" w:cs="Arial"/>
                <w:bCs/>
                <w:sz w:val="20"/>
                <w:szCs w:val="20"/>
                <w:lang w:val="en-GB"/>
              </w:rPr>
            </w:pPr>
            <w:r w:rsidRPr="0026535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65350" w:rsidRDefault="000F34F0" w:rsidP="000450FC">
            <w:pPr>
              <w:pStyle w:val="NormalWeb"/>
              <w:spacing w:before="0" w:beforeAutospacing="0" w:after="0" w:afterAutospacing="0"/>
              <w:rPr>
                <w:rFonts w:ascii="Arial" w:hAnsi="Arial" w:cs="Arial"/>
                <w:b/>
                <w:sz w:val="20"/>
                <w:szCs w:val="20"/>
                <w:lang w:val="en-GB"/>
              </w:rPr>
            </w:pPr>
            <w:r w:rsidRPr="00265350">
              <w:rPr>
                <w:rFonts w:ascii="Arial" w:hAnsi="Arial" w:cs="Arial"/>
                <w:b/>
                <w:sz w:val="20"/>
                <w:szCs w:val="20"/>
                <w:lang w:val="en-GB"/>
              </w:rPr>
              <w:t>BOOK CHAPTER</w:t>
            </w:r>
          </w:p>
        </w:tc>
      </w:tr>
    </w:tbl>
    <w:p w:rsidR="00D27A79" w:rsidRPr="00265350" w:rsidRDefault="00D27A79" w:rsidP="00313DF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2"/>
        <w:gridCol w:w="11053"/>
        <w:gridCol w:w="5025"/>
      </w:tblGrid>
      <w:tr w:rsidR="00F1171E" w:rsidRPr="00265350" w:rsidTr="007222C8">
        <w:tc>
          <w:tcPr>
            <w:tcW w:w="5000" w:type="pct"/>
            <w:gridSpan w:val="3"/>
            <w:tcBorders>
              <w:top w:val="nil"/>
              <w:left w:val="nil"/>
              <w:right w:val="nil"/>
            </w:tcBorders>
            <w:noWrap/>
          </w:tcPr>
          <w:p w:rsidR="00F1171E" w:rsidRPr="00265350" w:rsidRDefault="00F1171E" w:rsidP="007222C8">
            <w:pPr>
              <w:pStyle w:val="Heading2"/>
              <w:jc w:val="left"/>
              <w:rPr>
                <w:rFonts w:ascii="Arial" w:hAnsi="Arial" w:cs="Arial"/>
                <w:lang w:val="en-GB"/>
              </w:rPr>
            </w:pPr>
            <w:r w:rsidRPr="00265350">
              <w:rPr>
                <w:rFonts w:ascii="Arial" w:hAnsi="Arial" w:cs="Arial"/>
                <w:highlight w:val="yellow"/>
                <w:lang w:val="en-GB"/>
              </w:rPr>
              <w:t>PART  1:</w:t>
            </w:r>
            <w:r w:rsidRPr="00265350">
              <w:rPr>
                <w:rFonts w:ascii="Arial" w:hAnsi="Arial" w:cs="Arial"/>
                <w:lang w:val="en-GB"/>
              </w:rPr>
              <w:t xml:space="preserve"> Comments</w:t>
            </w:r>
          </w:p>
          <w:p w:rsidR="00F1171E" w:rsidRPr="00265350" w:rsidRDefault="00F1171E" w:rsidP="007222C8">
            <w:pPr>
              <w:rPr>
                <w:rFonts w:ascii="Arial" w:hAnsi="Arial" w:cs="Arial"/>
                <w:sz w:val="20"/>
                <w:szCs w:val="20"/>
                <w:lang w:val="en-GB"/>
              </w:rPr>
            </w:pPr>
          </w:p>
        </w:tc>
      </w:tr>
      <w:tr w:rsidR="00F1171E" w:rsidRPr="00265350" w:rsidTr="00313DF4">
        <w:tc>
          <w:tcPr>
            <w:tcW w:w="1199" w:type="pct"/>
            <w:noWrap/>
          </w:tcPr>
          <w:p w:rsidR="00F1171E" w:rsidRPr="00265350" w:rsidRDefault="00F1171E" w:rsidP="007222C8">
            <w:pPr>
              <w:pStyle w:val="Heading2"/>
              <w:jc w:val="left"/>
              <w:rPr>
                <w:rFonts w:ascii="Arial" w:hAnsi="Arial" w:cs="Arial"/>
                <w:lang w:val="en-GB"/>
              </w:rPr>
            </w:pPr>
          </w:p>
        </w:tc>
        <w:tc>
          <w:tcPr>
            <w:tcW w:w="2613" w:type="pct"/>
          </w:tcPr>
          <w:p w:rsidR="00F1171E" w:rsidRPr="00265350" w:rsidRDefault="00F1171E" w:rsidP="007222C8">
            <w:pPr>
              <w:pStyle w:val="Heading2"/>
              <w:jc w:val="left"/>
              <w:rPr>
                <w:rFonts w:ascii="Arial" w:hAnsi="Arial" w:cs="Arial"/>
                <w:lang w:val="en-GB"/>
              </w:rPr>
            </w:pPr>
            <w:r w:rsidRPr="00265350">
              <w:rPr>
                <w:rFonts w:ascii="Arial" w:hAnsi="Arial" w:cs="Arial"/>
                <w:lang w:val="en-GB"/>
              </w:rPr>
              <w:t>Reviewer’s comment</w:t>
            </w:r>
          </w:p>
          <w:p w:rsidR="00421DBF" w:rsidRPr="00265350" w:rsidRDefault="00421DBF" w:rsidP="00421DBF">
            <w:pPr>
              <w:rPr>
                <w:rFonts w:ascii="Arial" w:hAnsi="Arial" w:cs="Arial"/>
                <w:b/>
                <w:bCs/>
                <w:sz w:val="20"/>
                <w:szCs w:val="20"/>
              </w:rPr>
            </w:pPr>
            <w:r w:rsidRPr="00265350">
              <w:rPr>
                <w:rFonts w:ascii="Arial" w:hAnsi="Arial" w:cs="Arial"/>
                <w:b/>
                <w:bCs/>
                <w:sz w:val="20"/>
                <w:szCs w:val="20"/>
                <w:highlight w:val="yellow"/>
              </w:rPr>
              <w:t>Artificial Intelligence (AI) generated or assisted review comments are strictly prohibited during peer review.</w:t>
            </w:r>
          </w:p>
          <w:p w:rsidR="00421DBF" w:rsidRPr="00265350" w:rsidRDefault="00421DBF" w:rsidP="00421DBF">
            <w:pPr>
              <w:rPr>
                <w:rFonts w:ascii="Arial" w:hAnsi="Arial" w:cs="Arial"/>
                <w:sz w:val="20"/>
                <w:szCs w:val="20"/>
                <w:lang w:val="en-GB"/>
              </w:rPr>
            </w:pPr>
          </w:p>
        </w:tc>
        <w:tc>
          <w:tcPr>
            <w:tcW w:w="1188" w:type="pct"/>
          </w:tcPr>
          <w:p w:rsidR="00F1171E" w:rsidRPr="00265350" w:rsidRDefault="00F1171E" w:rsidP="007222C8">
            <w:pPr>
              <w:pStyle w:val="Heading2"/>
              <w:jc w:val="left"/>
              <w:rPr>
                <w:rFonts w:ascii="Arial" w:hAnsi="Arial" w:cs="Arial"/>
                <w:b w:val="0"/>
                <w:lang w:val="en-GB"/>
              </w:rPr>
            </w:pPr>
            <w:r w:rsidRPr="00265350">
              <w:rPr>
                <w:rFonts w:ascii="Arial" w:hAnsi="Arial" w:cs="Arial"/>
                <w:lang w:val="en-GB"/>
              </w:rPr>
              <w:t xml:space="preserve">Author’s </w:t>
            </w:r>
            <w:proofErr w:type="gramStart"/>
            <w:r w:rsidRPr="00265350">
              <w:rPr>
                <w:rFonts w:ascii="Arial" w:hAnsi="Arial" w:cs="Arial"/>
                <w:lang w:val="en-GB"/>
              </w:rPr>
              <w:t>Feedback</w:t>
            </w:r>
            <w:r w:rsidRPr="00265350">
              <w:rPr>
                <w:rFonts w:ascii="Arial" w:hAnsi="Arial" w:cs="Arial"/>
                <w:b w:val="0"/>
                <w:i/>
                <w:lang w:val="en-GB"/>
              </w:rPr>
              <w:t>(</w:t>
            </w:r>
            <w:proofErr w:type="gramEnd"/>
            <w:r w:rsidRPr="00265350">
              <w:rPr>
                <w:rFonts w:ascii="Arial" w:hAnsi="Arial" w:cs="Arial"/>
                <w:b w:val="0"/>
                <w:i/>
                <w:lang w:val="en-GB"/>
              </w:rPr>
              <w:t>Please correct the manuscript and highlight that part in the manuscript. It is mandatory that authors should write his/her feedback here)</w:t>
            </w:r>
          </w:p>
        </w:tc>
      </w:tr>
      <w:tr w:rsidR="00F1171E" w:rsidRPr="00265350" w:rsidTr="00313DF4">
        <w:trPr>
          <w:trHeight w:val="1264"/>
        </w:trPr>
        <w:tc>
          <w:tcPr>
            <w:tcW w:w="1199" w:type="pct"/>
            <w:noWrap/>
          </w:tcPr>
          <w:p w:rsidR="00F1171E" w:rsidRPr="00265350" w:rsidRDefault="00F1171E" w:rsidP="007222C8">
            <w:pPr>
              <w:ind w:left="360"/>
              <w:rPr>
                <w:rFonts w:ascii="Arial" w:hAnsi="Arial" w:cs="Arial"/>
                <w:b/>
                <w:bCs/>
                <w:sz w:val="20"/>
                <w:szCs w:val="20"/>
                <w:lang w:val="en-GB"/>
              </w:rPr>
            </w:pPr>
            <w:r w:rsidRPr="00265350">
              <w:rPr>
                <w:rFonts w:ascii="Arial" w:hAnsi="Arial" w:cs="Arial"/>
                <w:b/>
                <w:bCs/>
                <w:sz w:val="20"/>
                <w:szCs w:val="20"/>
                <w:lang w:val="en-GB"/>
              </w:rPr>
              <w:t xml:space="preserve">Please write a few sentences regarding the importance of this manuscript for the scientific community. A </w:t>
            </w:r>
            <w:proofErr w:type="spellStart"/>
            <w:r w:rsidRPr="00265350">
              <w:rPr>
                <w:rFonts w:ascii="Arial" w:hAnsi="Arial" w:cs="Arial"/>
                <w:b/>
                <w:bCs/>
                <w:sz w:val="20"/>
                <w:szCs w:val="20"/>
                <w:lang w:val="en-GB"/>
              </w:rPr>
              <w:t>minimumof</w:t>
            </w:r>
            <w:proofErr w:type="spellEnd"/>
            <w:r w:rsidRPr="00265350">
              <w:rPr>
                <w:rFonts w:ascii="Arial" w:hAnsi="Arial" w:cs="Arial"/>
                <w:b/>
                <w:bCs/>
                <w:sz w:val="20"/>
                <w:szCs w:val="20"/>
                <w:lang w:val="en-GB"/>
              </w:rPr>
              <w:t xml:space="preserve"> 3-4 sentences may be required for this part.</w:t>
            </w:r>
          </w:p>
          <w:p w:rsidR="00F1171E" w:rsidRPr="00265350" w:rsidRDefault="00F1171E" w:rsidP="007222C8">
            <w:pPr>
              <w:ind w:left="360"/>
              <w:rPr>
                <w:rFonts w:ascii="Arial" w:eastAsia="MS Mincho" w:hAnsi="Arial" w:cs="Arial"/>
                <w:b/>
                <w:bCs/>
                <w:sz w:val="20"/>
                <w:szCs w:val="20"/>
                <w:lang w:val="en-GB"/>
              </w:rPr>
            </w:pPr>
          </w:p>
        </w:tc>
        <w:tc>
          <w:tcPr>
            <w:tcW w:w="2613" w:type="pct"/>
          </w:tcPr>
          <w:p w:rsidR="00F1171E" w:rsidRPr="00265350" w:rsidRDefault="0094709C" w:rsidP="007222C8">
            <w:pPr>
              <w:pStyle w:val="ListParagraph"/>
              <w:ind w:left="0"/>
              <w:rPr>
                <w:rFonts w:ascii="Arial" w:hAnsi="Arial" w:cs="Arial"/>
                <w:b/>
                <w:bCs/>
                <w:sz w:val="20"/>
                <w:szCs w:val="20"/>
                <w:lang w:val="en-GB"/>
              </w:rPr>
            </w:pPr>
            <w:r w:rsidRPr="00265350">
              <w:rPr>
                <w:rFonts w:ascii="Arial" w:hAnsi="Arial" w:cs="Arial"/>
                <w:sz w:val="20"/>
                <w:szCs w:val="20"/>
              </w:rPr>
              <w:t xml:space="preserve">DiGeorge syndrome (also known as </w:t>
            </w:r>
            <w:proofErr w:type="spellStart"/>
            <w:r w:rsidRPr="00265350">
              <w:rPr>
                <w:rFonts w:ascii="Arial" w:hAnsi="Arial" w:cs="Arial"/>
                <w:sz w:val="20"/>
                <w:szCs w:val="20"/>
              </w:rPr>
              <w:t>velo</w:t>
            </w:r>
            <w:proofErr w:type="spellEnd"/>
            <w:r w:rsidRPr="00265350">
              <w:rPr>
                <w:rFonts w:ascii="Arial" w:hAnsi="Arial" w:cs="Arial"/>
                <w:sz w:val="20"/>
                <w:szCs w:val="20"/>
              </w:rPr>
              <w:t>-cardio-facial syndrome) is a rare genetic disorder caused by a microdeletion on chromosome 22q11.2, affecting multiple organ systems, including the heart, immune system, and calcium regulation. Diagnosing DiGeorge syndrome is challenging, especially in regions with limited access to advanced genetic testing, like the Republic of Moldova. In this case, a 6-month-old girl, who had a normal pregnancy and prenatal ultrasounds, presented with cardiac issues and recurrent infections. Despite multiple treatments, her diagnosis was delayed until 9 months when genetic testing revealed a complete 22q11.2 deletion, confirming DiGeorge syndrome. Her condition included cardiac malformations, immune deficiencies, and hypoparathyroidism, requiring extensive treatment and care. The case highlights the importance of a comprehensive diagnostic approach, especially in settings with fewer resources. Early recognition of the syndrome could prevent delays in treatment and improve patient outcomes.</w:t>
            </w:r>
          </w:p>
        </w:tc>
        <w:tc>
          <w:tcPr>
            <w:tcW w:w="1188" w:type="pct"/>
          </w:tcPr>
          <w:p w:rsidR="00F1171E" w:rsidRPr="00265350" w:rsidRDefault="00F1171E" w:rsidP="007222C8">
            <w:pPr>
              <w:pStyle w:val="Heading2"/>
              <w:jc w:val="left"/>
              <w:rPr>
                <w:rFonts w:ascii="Arial" w:hAnsi="Arial" w:cs="Arial"/>
                <w:b w:val="0"/>
                <w:lang w:val="en-GB"/>
              </w:rPr>
            </w:pPr>
          </w:p>
        </w:tc>
      </w:tr>
      <w:tr w:rsidR="00F1171E" w:rsidRPr="00265350" w:rsidTr="00313DF4">
        <w:trPr>
          <w:trHeight w:val="1262"/>
        </w:trPr>
        <w:tc>
          <w:tcPr>
            <w:tcW w:w="1199" w:type="pct"/>
            <w:noWrap/>
          </w:tcPr>
          <w:p w:rsidR="00F1171E" w:rsidRPr="00265350" w:rsidRDefault="00F1171E" w:rsidP="007222C8">
            <w:pPr>
              <w:ind w:left="360"/>
              <w:rPr>
                <w:rFonts w:ascii="Arial" w:hAnsi="Arial" w:cs="Arial"/>
                <w:b/>
                <w:bCs/>
                <w:sz w:val="20"/>
                <w:szCs w:val="20"/>
                <w:lang w:val="en-GB"/>
              </w:rPr>
            </w:pPr>
            <w:r w:rsidRPr="00265350">
              <w:rPr>
                <w:rFonts w:ascii="Arial" w:hAnsi="Arial" w:cs="Arial"/>
                <w:b/>
                <w:bCs/>
                <w:sz w:val="20"/>
                <w:szCs w:val="20"/>
                <w:lang w:val="en-GB"/>
              </w:rPr>
              <w:t>Is the title of the article suitable?</w:t>
            </w:r>
          </w:p>
          <w:p w:rsidR="00F1171E" w:rsidRPr="00265350" w:rsidRDefault="00F1171E" w:rsidP="007222C8">
            <w:pPr>
              <w:ind w:left="360"/>
              <w:rPr>
                <w:rFonts w:ascii="Arial" w:hAnsi="Arial" w:cs="Arial"/>
                <w:b/>
                <w:bCs/>
                <w:sz w:val="20"/>
                <w:szCs w:val="20"/>
                <w:lang w:val="en-GB"/>
              </w:rPr>
            </w:pPr>
            <w:r w:rsidRPr="00265350">
              <w:rPr>
                <w:rFonts w:ascii="Arial" w:hAnsi="Arial" w:cs="Arial"/>
                <w:b/>
                <w:bCs/>
                <w:sz w:val="20"/>
                <w:szCs w:val="20"/>
                <w:lang w:val="en-GB"/>
              </w:rPr>
              <w:t>(If not please suggest an alternative title)</w:t>
            </w:r>
          </w:p>
          <w:p w:rsidR="00F1171E" w:rsidRPr="00265350" w:rsidRDefault="00F1171E" w:rsidP="007222C8">
            <w:pPr>
              <w:pStyle w:val="Heading2"/>
              <w:jc w:val="left"/>
              <w:rPr>
                <w:rFonts w:ascii="Arial" w:hAnsi="Arial" w:cs="Arial"/>
                <w:u w:val="single"/>
                <w:lang w:val="en-GB"/>
              </w:rPr>
            </w:pPr>
          </w:p>
        </w:tc>
        <w:tc>
          <w:tcPr>
            <w:tcW w:w="2613" w:type="pct"/>
          </w:tcPr>
          <w:p w:rsidR="0094709C" w:rsidRPr="00265350" w:rsidRDefault="0094709C" w:rsidP="0094709C">
            <w:pPr>
              <w:spacing w:before="100" w:beforeAutospacing="1" w:after="100" w:afterAutospacing="1"/>
              <w:rPr>
                <w:rFonts w:ascii="Arial" w:hAnsi="Arial" w:cs="Arial"/>
                <w:sz w:val="20"/>
                <w:szCs w:val="20"/>
              </w:rPr>
            </w:pPr>
            <w:r w:rsidRPr="00265350">
              <w:rPr>
                <w:rFonts w:ascii="Arial" w:hAnsi="Arial" w:cs="Arial"/>
                <w:sz w:val="20"/>
                <w:szCs w:val="20"/>
              </w:rPr>
              <w:t>To make the title more approachable and humanized, here’s a suggestion:</w:t>
            </w:r>
          </w:p>
          <w:p w:rsidR="0094709C" w:rsidRPr="00265350" w:rsidRDefault="0094709C" w:rsidP="0094709C">
            <w:pPr>
              <w:spacing w:before="100" w:beforeAutospacing="1" w:after="100" w:afterAutospacing="1"/>
              <w:rPr>
                <w:rFonts w:ascii="Arial" w:hAnsi="Arial" w:cs="Arial"/>
                <w:sz w:val="20"/>
                <w:szCs w:val="20"/>
              </w:rPr>
            </w:pPr>
            <w:r w:rsidRPr="00265350">
              <w:rPr>
                <w:rFonts w:ascii="Arial" w:hAnsi="Arial" w:cs="Arial"/>
                <w:b/>
                <w:bCs/>
                <w:sz w:val="20"/>
                <w:szCs w:val="20"/>
              </w:rPr>
              <w:t>"A Patient's Journey with DiGeorge Syndrome: Navigating Diagnostic and Treatment Challenges"</w:t>
            </w:r>
          </w:p>
          <w:p w:rsidR="00F1171E" w:rsidRPr="00265350" w:rsidRDefault="00F1171E" w:rsidP="007222C8">
            <w:pPr>
              <w:ind w:left="360"/>
              <w:rPr>
                <w:rFonts w:ascii="Arial" w:hAnsi="Arial" w:cs="Arial"/>
                <w:b/>
                <w:bCs/>
                <w:sz w:val="20"/>
                <w:szCs w:val="20"/>
                <w:lang w:val="en-GB"/>
              </w:rPr>
            </w:pPr>
          </w:p>
        </w:tc>
        <w:tc>
          <w:tcPr>
            <w:tcW w:w="1188" w:type="pct"/>
          </w:tcPr>
          <w:p w:rsidR="00F1171E" w:rsidRPr="00265350" w:rsidRDefault="00F1171E" w:rsidP="007222C8">
            <w:pPr>
              <w:pStyle w:val="Heading2"/>
              <w:jc w:val="left"/>
              <w:rPr>
                <w:rFonts w:ascii="Arial" w:hAnsi="Arial" w:cs="Arial"/>
                <w:b w:val="0"/>
                <w:lang w:val="en-GB"/>
              </w:rPr>
            </w:pPr>
          </w:p>
        </w:tc>
      </w:tr>
      <w:tr w:rsidR="00F1171E" w:rsidRPr="00265350" w:rsidTr="00313DF4">
        <w:trPr>
          <w:trHeight w:val="1262"/>
        </w:trPr>
        <w:tc>
          <w:tcPr>
            <w:tcW w:w="1199" w:type="pct"/>
            <w:noWrap/>
          </w:tcPr>
          <w:p w:rsidR="00F1171E" w:rsidRPr="00265350" w:rsidRDefault="00F1171E" w:rsidP="007222C8">
            <w:pPr>
              <w:pStyle w:val="Heading2"/>
              <w:ind w:left="360"/>
              <w:jc w:val="left"/>
              <w:rPr>
                <w:rFonts w:ascii="Arial" w:hAnsi="Arial" w:cs="Arial"/>
                <w:lang w:val="en-GB"/>
              </w:rPr>
            </w:pPr>
            <w:r w:rsidRPr="00265350">
              <w:rPr>
                <w:rFonts w:ascii="Arial" w:hAnsi="Arial" w:cs="Arial"/>
                <w:lang w:val="en-GB"/>
              </w:rPr>
              <w:lastRenderedPageBreak/>
              <w:t>Is the abstract of the article comprehensive? Do you suggest the addition (or deletion) of some points in this section? Please write your suggestions here.</w:t>
            </w:r>
          </w:p>
          <w:p w:rsidR="00F1171E" w:rsidRPr="00265350" w:rsidRDefault="00F1171E" w:rsidP="007222C8">
            <w:pPr>
              <w:pStyle w:val="Heading2"/>
              <w:jc w:val="left"/>
              <w:rPr>
                <w:rFonts w:ascii="Arial" w:hAnsi="Arial" w:cs="Arial"/>
                <w:u w:val="single"/>
                <w:lang w:val="en-GB"/>
              </w:rPr>
            </w:pPr>
          </w:p>
        </w:tc>
        <w:tc>
          <w:tcPr>
            <w:tcW w:w="2613" w:type="pct"/>
          </w:tcPr>
          <w:p w:rsidR="00F1171E" w:rsidRPr="00265350" w:rsidRDefault="0094709C" w:rsidP="007222C8">
            <w:pPr>
              <w:ind w:left="360"/>
              <w:rPr>
                <w:rFonts w:ascii="Arial" w:hAnsi="Arial" w:cs="Arial"/>
                <w:sz w:val="20"/>
                <w:szCs w:val="20"/>
              </w:rPr>
            </w:pPr>
            <w:r w:rsidRPr="00265350">
              <w:rPr>
                <w:rFonts w:ascii="Arial" w:hAnsi="Arial" w:cs="Arial"/>
                <w:sz w:val="20"/>
                <w:szCs w:val="20"/>
              </w:rPr>
              <w:t xml:space="preserve"> </w:t>
            </w:r>
            <w:proofErr w:type="gramStart"/>
            <w:r w:rsidRPr="00265350">
              <w:rPr>
                <w:rFonts w:ascii="Arial" w:hAnsi="Arial" w:cs="Arial"/>
                <w:sz w:val="20"/>
                <w:szCs w:val="20"/>
              </w:rPr>
              <w:t>A  few</w:t>
            </w:r>
            <w:proofErr w:type="gramEnd"/>
            <w:r w:rsidRPr="00265350">
              <w:rPr>
                <w:rFonts w:ascii="Arial" w:hAnsi="Arial" w:cs="Arial"/>
                <w:sz w:val="20"/>
                <w:szCs w:val="20"/>
              </w:rPr>
              <w:t xml:space="preserve"> suggestions I’d like to offer to enhance its clarity and impact:</w:t>
            </w:r>
          </w:p>
          <w:p w:rsidR="0094709C" w:rsidRPr="00265350" w:rsidRDefault="0094709C" w:rsidP="0094709C">
            <w:pPr>
              <w:spacing w:before="100" w:beforeAutospacing="1" w:after="100" w:afterAutospacing="1"/>
              <w:rPr>
                <w:rFonts w:ascii="Arial" w:hAnsi="Arial" w:cs="Arial"/>
                <w:sz w:val="20"/>
                <w:szCs w:val="20"/>
              </w:rPr>
            </w:pPr>
            <w:r w:rsidRPr="00265350">
              <w:rPr>
                <w:rFonts w:ascii="Arial" w:hAnsi="Arial" w:cs="Arial"/>
                <w:b/>
                <w:bCs/>
                <w:sz w:val="20"/>
                <w:szCs w:val="20"/>
              </w:rPr>
              <w:t>Abstract</w:t>
            </w:r>
          </w:p>
          <w:p w:rsidR="0094709C" w:rsidRPr="00265350" w:rsidRDefault="0094709C" w:rsidP="0094709C">
            <w:pPr>
              <w:spacing w:before="100" w:beforeAutospacing="1" w:after="100" w:afterAutospacing="1"/>
              <w:rPr>
                <w:rFonts w:ascii="Arial" w:hAnsi="Arial" w:cs="Arial"/>
                <w:sz w:val="20"/>
                <w:szCs w:val="20"/>
              </w:rPr>
            </w:pPr>
            <w:r w:rsidRPr="00265350">
              <w:rPr>
                <w:rFonts w:ascii="Arial" w:hAnsi="Arial" w:cs="Arial"/>
                <w:b/>
                <w:bCs/>
                <w:sz w:val="20"/>
                <w:szCs w:val="20"/>
              </w:rPr>
              <w:t>Background</w:t>
            </w:r>
            <w:r w:rsidRPr="00265350">
              <w:rPr>
                <w:rFonts w:ascii="Arial" w:hAnsi="Arial" w:cs="Arial"/>
                <w:sz w:val="20"/>
                <w:szCs w:val="20"/>
              </w:rPr>
              <w:t xml:space="preserve">: DiGeorge syndrome (also known as </w:t>
            </w:r>
            <w:proofErr w:type="spellStart"/>
            <w:r w:rsidRPr="00265350">
              <w:rPr>
                <w:rFonts w:ascii="Arial" w:hAnsi="Arial" w:cs="Arial"/>
                <w:sz w:val="20"/>
                <w:szCs w:val="20"/>
              </w:rPr>
              <w:t>velo</w:t>
            </w:r>
            <w:proofErr w:type="spellEnd"/>
            <w:r w:rsidRPr="00265350">
              <w:rPr>
                <w:rFonts w:ascii="Arial" w:hAnsi="Arial" w:cs="Arial"/>
                <w:sz w:val="20"/>
                <w:szCs w:val="20"/>
              </w:rPr>
              <w:t>-cardio-facial syndrome) is a rare genetic condition affecting about 1 in 4,000 to 6,000 live births. While advancements in genetic testing have improved early diagnosis in developed countries, it remains underrecognized in places like Moldova, where access to these tests is limited. Prenatal screening usually includes ultrasounds and routine checks, but the syndrome is hard to detect through ultrasound alone, especially since it often doesn’t show up in clear ways during pregnancy. Genetic testing is usually done when doctors suspect a genetic issue, but this can be missed or delayed, especially when the signs are subtle.</w:t>
            </w:r>
          </w:p>
          <w:p w:rsidR="0094709C" w:rsidRPr="00265350" w:rsidRDefault="0094709C" w:rsidP="0094709C">
            <w:pPr>
              <w:spacing w:before="100" w:beforeAutospacing="1" w:after="100" w:afterAutospacing="1"/>
              <w:rPr>
                <w:rFonts w:ascii="Arial" w:hAnsi="Arial" w:cs="Arial"/>
                <w:sz w:val="20"/>
                <w:szCs w:val="20"/>
              </w:rPr>
            </w:pPr>
            <w:r w:rsidRPr="00265350">
              <w:rPr>
                <w:rFonts w:ascii="Arial" w:hAnsi="Arial" w:cs="Arial"/>
                <w:b/>
                <w:bCs/>
                <w:sz w:val="20"/>
                <w:szCs w:val="20"/>
              </w:rPr>
              <w:t>Purpose</w:t>
            </w:r>
            <w:r w:rsidRPr="00265350">
              <w:rPr>
                <w:rFonts w:ascii="Arial" w:hAnsi="Arial" w:cs="Arial"/>
                <w:sz w:val="20"/>
                <w:szCs w:val="20"/>
              </w:rPr>
              <w:t>: This study aims to shed light on the diagnostic challenges of DiGeorge syndrome, urging doctors to think about it as a multi-faceted condition, rather than focusing on just one system or symptom at a time.</w:t>
            </w:r>
          </w:p>
          <w:p w:rsidR="0094709C" w:rsidRPr="00265350" w:rsidRDefault="0094709C" w:rsidP="0094709C">
            <w:pPr>
              <w:spacing w:before="100" w:beforeAutospacing="1" w:after="100" w:afterAutospacing="1"/>
              <w:rPr>
                <w:rFonts w:ascii="Arial" w:hAnsi="Arial" w:cs="Arial"/>
                <w:sz w:val="20"/>
                <w:szCs w:val="20"/>
              </w:rPr>
            </w:pPr>
            <w:r w:rsidRPr="00265350">
              <w:rPr>
                <w:rFonts w:ascii="Arial" w:hAnsi="Arial" w:cs="Arial"/>
                <w:b/>
                <w:bCs/>
                <w:sz w:val="20"/>
                <w:szCs w:val="20"/>
              </w:rPr>
              <w:t>Method</w:t>
            </w:r>
            <w:r w:rsidRPr="00265350">
              <w:rPr>
                <w:rFonts w:ascii="Arial" w:hAnsi="Arial" w:cs="Arial"/>
                <w:sz w:val="20"/>
                <w:szCs w:val="20"/>
              </w:rPr>
              <w:t>: We present the case of a 6-month-old girl, born after an uneventful pregnancy and with a normal prenatal ultrasound, who started showing signs of heart failure. After a series of tests and surgeries, she was eventually diagnosed with DiGeorge syndrome at 9 months.</w:t>
            </w:r>
          </w:p>
          <w:p w:rsidR="0094709C" w:rsidRPr="00265350" w:rsidRDefault="0094709C" w:rsidP="0094709C">
            <w:pPr>
              <w:spacing w:before="100" w:beforeAutospacing="1" w:after="100" w:afterAutospacing="1"/>
              <w:rPr>
                <w:rFonts w:ascii="Arial" w:hAnsi="Arial" w:cs="Arial"/>
                <w:sz w:val="20"/>
                <w:szCs w:val="20"/>
              </w:rPr>
            </w:pPr>
            <w:r w:rsidRPr="00265350">
              <w:rPr>
                <w:rFonts w:ascii="Arial" w:hAnsi="Arial" w:cs="Arial"/>
                <w:b/>
                <w:bCs/>
                <w:sz w:val="20"/>
                <w:szCs w:val="20"/>
              </w:rPr>
              <w:t>Results</w:t>
            </w:r>
            <w:r w:rsidRPr="00265350">
              <w:rPr>
                <w:rFonts w:ascii="Arial" w:hAnsi="Arial" w:cs="Arial"/>
                <w:sz w:val="20"/>
                <w:szCs w:val="20"/>
              </w:rPr>
              <w:t>: The diagnosis was delayed because there were no clear prenatal markers, and doctors focused on investigating her heart and other individual issues rather than looking at the bigger picture. Despite several treatments to manage her symptoms, the diagnosis was only made after noticing the pattern of various symptoms and conducting genetic tests.</w:t>
            </w:r>
          </w:p>
          <w:p w:rsidR="0094709C" w:rsidRPr="00265350" w:rsidRDefault="0094709C" w:rsidP="00964EC1">
            <w:pPr>
              <w:spacing w:before="100" w:beforeAutospacing="1" w:after="100" w:afterAutospacing="1"/>
              <w:rPr>
                <w:rFonts w:ascii="Arial" w:hAnsi="Arial" w:cs="Arial"/>
                <w:sz w:val="20"/>
                <w:szCs w:val="20"/>
              </w:rPr>
            </w:pPr>
            <w:r w:rsidRPr="00265350">
              <w:rPr>
                <w:rFonts w:ascii="Arial" w:hAnsi="Arial" w:cs="Arial"/>
                <w:b/>
                <w:bCs/>
                <w:sz w:val="20"/>
                <w:szCs w:val="20"/>
              </w:rPr>
              <w:t>Conclusions</w:t>
            </w:r>
            <w:r w:rsidRPr="00265350">
              <w:rPr>
                <w:rFonts w:ascii="Arial" w:hAnsi="Arial" w:cs="Arial"/>
                <w:sz w:val="20"/>
                <w:szCs w:val="20"/>
              </w:rPr>
              <w:t>: This case highlights the need for a more holistic approach to diagnosis, one that looks at the full spectrum of symptoms and integrates multiple diagnostic tests. It also shows how important it is to raise awareness in regions where advanced genetic testing is less accessible, so that we can catch DiGeorge syndrome earlier and ensure timely treatment.</w:t>
            </w:r>
          </w:p>
        </w:tc>
        <w:tc>
          <w:tcPr>
            <w:tcW w:w="1188" w:type="pct"/>
          </w:tcPr>
          <w:p w:rsidR="00F1171E" w:rsidRPr="00265350" w:rsidRDefault="00F1171E" w:rsidP="007222C8">
            <w:pPr>
              <w:pStyle w:val="Heading2"/>
              <w:jc w:val="left"/>
              <w:rPr>
                <w:rFonts w:ascii="Arial" w:hAnsi="Arial" w:cs="Arial"/>
                <w:b w:val="0"/>
                <w:lang w:val="en-GB"/>
              </w:rPr>
            </w:pPr>
          </w:p>
        </w:tc>
      </w:tr>
      <w:tr w:rsidR="00F1171E" w:rsidRPr="00265350" w:rsidTr="00313DF4">
        <w:trPr>
          <w:trHeight w:val="859"/>
        </w:trPr>
        <w:tc>
          <w:tcPr>
            <w:tcW w:w="1199" w:type="pct"/>
            <w:noWrap/>
          </w:tcPr>
          <w:p w:rsidR="00F1171E" w:rsidRPr="00265350" w:rsidRDefault="00DC6FED" w:rsidP="007222C8">
            <w:pPr>
              <w:ind w:left="360"/>
              <w:rPr>
                <w:rFonts w:ascii="Arial" w:hAnsi="Arial" w:cs="Arial"/>
                <w:b/>
                <w:bCs/>
                <w:sz w:val="20"/>
                <w:szCs w:val="20"/>
                <w:u w:val="single"/>
                <w:lang w:val="en-GB"/>
              </w:rPr>
            </w:pPr>
            <w:r w:rsidRPr="00265350">
              <w:rPr>
                <w:rFonts w:ascii="Arial" w:hAnsi="Arial" w:cs="Arial"/>
                <w:b/>
                <w:bCs/>
                <w:sz w:val="20"/>
                <w:szCs w:val="20"/>
                <w:lang w:val="en-GB"/>
              </w:rPr>
              <w:t>Is the manuscript scientifically, correct? Please write here.</w:t>
            </w:r>
          </w:p>
        </w:tc>
        <w:tc>
          <w:tcPr>
            <w:tcW w:w="2613" w:type="pct"/>
          </w:tcPr>
          <w:p w:rsidR="00F1171E" w:rsidRPr="00265350" w:rsidRDefault="0094709C" w:rsidP="007222C8">
            <w:pPr>
              <w:pStyle w:val="ListParagraph"/>
              <w:ind w:left="0"/>
              <w:rPr>
                <w:rFonts w:ascii="Arial" w:hAnsi="Arial" w:cs="Arial"/>
                <w:b/>
                <w:bCs/>
                <w:sz w:val="20"/>
                <w:szCs w:val="20"/>
                <w:lang w:val="en-GB"/>
              </w:rPr>
            </w:pPr>
            <w:r w:rsidRPr="00265350">
              <w:rPr>
                <w:rFonts w:ascii="Arial" w:hAnsi="Arial" w:cs="Arial"/>
                <w:sz w:val="20"/>
                <w:szCs w:val="20"/>
              </w:rPr>
              <w:t>The manuscript provides an accurate and well-rounded look at the challenges of diagnosing DiGeorge syndrome, especially in regions with limited access to genetic testing. It highlights how the condition often goes undetected during pregnancy and the importance of taking a more holistic approach to diagnosis. The case study effectively emphasizes the need for early recognition and better awareness to ensure timely treatment.</w:t>
            </w:r>
          </w:p>
        </w:tc>
        <w:tc>
          <w:tcPr>
            <w:tcW w:w="1188" w:type="pct"/>
          </w:tcPr>
          <w:p w:rsidR="00F1171E" w:rsidRPr="00265350" w:rsidRDefault="00F1171E" w:rsidP="007222C8">
            <w:pPr>
              <w:pStyle w:val="Heading2"/>
              <w:jc w:val="left"/>
              <w:rPr>
                <w:rFonts w:ascii="Arial" w:hAnsi="Arial" w:cs="Arial"/>
                <w:b w:val="0"/>
                <w:lang w:val="en-GB"/>
              </w:rPr>
            </w:pPr>
          </w:p>
        </w:tc>
      </w:tr>
      <w:tr w:rsidR="00F1171E" w:rsidRPr="00265350" w:rsidTr="00313DF4">
        <w:trPr>
          <w:trHeight w:val="703"/>
        </w:trPr>
        <w:tc>
          <w:tcPr>
            <w:tcW w:w="1199" w:type="pct"/>
            <w:noWrap/>
          </w:tcPr>
          <w:p w:rsidR="00F1171E" w:rsidRPr="00265350" w:rsidRDefault="00F1171E" w:rsidP="007222C8">
            <w:pPr>
              <w:ind w:left="360"/>
              <w:rPr>
                <w:rFonts w:ascii="Arial" w:hAnsi="Arial" w:cs="Arial"/>
                <w:b/>
                <w:bCs/>
                <w:sz w:val="20"/>
                <w:szCs w:val="20"/>
                <w:lang w:val="en-GB"/>
              </w:rPr>
            </w:pPr>
            <w:r w:rsidRPr="00265350">
              <w:rPr>
                <w:rFonts w:ascii="Arial" w:hAnsi="Arial" w:cs="Arial"/>
                <w:b/>
                <w:bCs/>
                <w:sz w:val="20"/>
                <w:szCs w:val="20"/>
                <w:lang w:val="en-GB"/>
              </w:rPr>
              <w:t>Are the references sufficient and recent? If you have suggestions of additional references, please mention them in the review form.</w:t>
            </w:r>
          </w:p>
          <w:p w:rsidR="00F1171E" w:rsidRPr="00265350" w:rsidRDefault="00F1171E" w:rsidP="007222C8">
            <w:pPr>
              <w:ind w:left="360"/>
              <w:rPr>
                <w:rFonts w:ascii="Arial" w:hAnsi="Arial" w:cs="Arial"/>
                <w:b/>
                <w:bCs/>
                <w:sz w:val="20"/>
                <w:szCs w:val="20"/>
                <w:u w:val="single"/>
                <w:lang w:val="en-GB"/>
              </w:rPr>
            </w:pPr>
            <w:r w:rsidRPr="00265350">
              <w:rPr>
                <w:rFonts w:ascii="Arial" w:hAnsi="Arial" w:cs="Arial"/>
                <w:b/>
                <w:bCs/>
                <w:sz w:val="20"/>
                <w:szCs w:val="20"/>
                <w:u w:val="single"/>
                <w:lang w:val="en-GB"/>
              </w:rPr>
              <w:t>-</w:t>
            </w:r>
          </w:p>
        </w:tc>
        <w:tc>
          <w:tcPr>
            <w:tcW w:w="2613" w:type="pct"/>
          </w:tcPr>
          <w:p w:rsidR="00F1171E" w:rsidRPr="00265350" w:rsidRDefault="0094709C" w:rsidP="007222C8">
            <w:pPr>
              <w:pStyle w:val="ListParagraph"/>
              <w:ind w:left="0"/>
              <w:rPr>
                <w:rFonts w:ascii="Arial" w:hAnsi="Arial" w:cs="Arial"/>
                <w:b/>
                <w:bCs/>
                <w:sz w:val="20"/>
                <w:szCs w:val="20"/>
                <w:lang w:val="en-GB"/>
              </w:rPr>
            </w:pPr>
            <w:r w:rsidRPr="00265350">
              <w:rPr>
                <w:rFonts w:ascii="Arial" w:hAnsi="Arial" w:cs="Arial"/>
                <w:sz w:val="20"/>
                <w:szCs w:val="20"/>
              </w:rPr>
              <w:t>The references listed are relevant and cover key aspects of DiGeorge syndrome, including its genetic causes, immunological aspects, and clinical management. They span a range of research, from genetic and immunologic studies to population-based studies and clinical protocols. The references are comprehensive but mostly fall within the 2000s and early 2010s, with the most recent being from 2021. However, adding more recent studies on diagnostic advancements and treatment options could make the article even more up-to-date and informative.</w:t>
            </w:r>
          </w:p>
        </w:tc>
        <w:tc>
          <w:tcPr>
            <w:tcW w:w="1188" w:type="pct"/>
          </w:tcPr>
          <w:p w:rsidR="00F1171E" w:rsidRPr="00265350" w:rsidRDefault="00F1171E" w:rsidP="007222C8">
            <w:pPr>
              <w:pStyle w:val="Heading2"/>
              <w:jc w:val="left"/>
              <w:rPr>
                <w:rFonts w:ascii="Arial" w:hAnsi="Arial" w:cs="Arial"/>
                <w:b w:val="0"/>
                <w:lang w:val="en-GB"/>
              </w:rPr>
            </w:pPr>
          </w:p>
        </w:tc>
      </w:tr>
      <w:tr w:rsidR="00F1171E" w:rsidRPr="00265350" w:rsidTr="00313DF4">
        <w:trPr>
          <w:trHeight w:val="386"/>
        </w:trPr>
        <w:tc>
          <w:tcPr>
            <w:tcW w:w="1199" w:type="pct"/>
            <w:noWrap/>
          </w:tcPr>
          <w:p w:rsidR="00F1171E" w:rsidRPr="00265350" w:rsidRDefault="00F1171E" w:rsidP="007222C8">
            <w:pPr>
              <w:pStyle w:val="Heading2"/>
              <w:jc w:val="left"/>
              <w:rPr>
                <w:rFonts w:ascii="Arial" w:hAnsi="Arial" w:cs="Arial"/>
                <w:b w:val="0"/>
                <w:lang w:val="en-GB"/>
              </w:rPr>
            </w:pPr>
          </w:p>
          <w:p w:rsidR="00F1171E" w:rsidRPr="00313DF4" w:rsidRDefault="00F1171E" w:rsidP="00313DF4">
            <w:pPr>
              <w:pStyle w:val="Heading2"/>
              <w:ind w:left="360"/>
              <w:jc w:val="left"/>
              <w:rPr>
                <w:rFonts w:ascii="Arial" w:hAnsi="Arial" w:cs="Arial"/>
                <w:bCs w:val="0"/>
                <w:lang w:val="en-GB"/>
              </w:rPr>
            </w:pPr>
            <w:r w:rsidRPr="00265350">
              <w:rPr>
                <w:rFonts w:ascii="Arial" w:hAnsi="Arial" w:cs="Arial"/>
                <w:bCs w:val="0"/>
                <w:lang w:val="en-GB"/>
              </w:rPr>
              <w:t>Is the language/English quality of the article suitable for scholarly communications?</w:t>
            </w:r>
          </w:p>
        </w:tc>
        <w:tc>
          <w:tcPr>
            <w:tcW w:w="2613" w:type="pct"/>
          </w:tcPr>
          <w:p w:rsidR="00F1171E" w:rsidRPr="00265350" w:rsidRDefault="0094709C" w:rsidP="007222C8">
            <w:pPr>
              <w:rPr>
                <w:rFonts w:ascii="Arial" w:hAnsi="Arial" w:cs="Arial"/>
                <w:sz w:val="20"/>
                <w:szCs w:val="20"/>
                <w:lang w:val="en-GB"/>
              </w:rPr>
            </w:pPr>
            <w:r w:rsidRPr="00265350">
              <w:rPr>
                <w:rFonts w:ascii="Arial" w:hAnsi="Arial" w:cs="Arial"/>
                <w:sz w:val="20"/>
                <w:szCs w:val="20"/>
              </w:rPr>
              <w:t>The language and English quality of the article seem appropriate for scholarly communication. However, there are several areas where the writing could be more polished for clarity and coherence.</w:t>
            </w:r>
          </w:p>
          <w:p w:rsidR="00F1171E" w:rsidRPr="00265350" w:rsidRDefault="00F1171E" w:rsidP="007222C8">
            <w:pPr>
              <w:rPr>
                <w:rFonts w:ascii="Arial" w:hAnsi="Arial" w:cs="Arial"/>
                <w:sz w:val="20"/>
                <w:szCs w:val="20"/>
                <w:lang w:val="en-GB"/>
              </w:rPr>
            </w:pPr>
          </w:p>
        </w:tc>
        <w:tc>
          <w:tcPr>
            <w:tcW w:w="1188" w:type="pct"/>
          </w:tcPr>
          <w:p w:rsidR="00F1171E" w:rsidRPr="00265350" w:rsidRDefault="00F1171E" w:rsidP="007222C8">
            <w:pPr>
              <w:rPr>
                <w:rFonts w:ascii="Arial" w:hAnsi="Arial" w:cs="Arial"/>
                <w:sz w:val="20"/>
                <w:szCs w:val="20"/>
                <w:lang w:val="en-GB"/>
              </w:rPr>
            </w:pPr>
          </w:p>
        </w:tc>
      </w:tr>
      <w:tr w:rsidR="00F1171E" w:rsidRPr="00265350" w:rsidTr="00313DF4">
        <w:trPr>
          <w:trHeight w:val="251"/>
        </w:trPr>
        <w:tc>
          <w:tcPr>
            <w:tcW w:w="1199" w:type="pct"/>
            <w:noWrap/>
          </w:tcPr>
          <w:p w:rsidR="00F1171E" w:rsidRPr="00265350" w:rsidRDefault="00F1171E" w:rsidP="007222C8">
            <w:pPr>
              <w:pStyle w:val="Heading2"/>
              <w:jc w:val="left"/>
              <w:rPr>
                <w:rFonts w:ascii="Arial" w:hAnsi="Arial" w:cs="Arial"/>
                <w:b w:val="0"/>
                <w:bCs w:val="0"/>
                <w:lang w:val="en-GB"/>
              </w:rPr>
            </w:pPr>
            <w:r w:rsidRPr="00265350">
              <w:rPr>
                <w:rFonts w:ascii="Arial" w:hAnsi="Arial" w:cs="Arial"/>
                <w:bCs w:val="0"/>
                <w:u w:val="single"/>
                <w:lang w:val="en-GB"/>
              </w:rPr>
              <w:t>Optional/</w:t>
            </w:r>
            <w:proofErr w:type="spellStart"/>
            <w:r w:rsidRPr="00265350">
              <w:rPr>
                <w:rFonts w:ascii="Arial" w:hAnsi="Arial" w:cs="Arial"/>
                <w:bCs w:val="0"/>
                <w:u w:val="single"/>
                <w:lang w:val="en-GB"/>
              </w:rPr>
              <w:t>General</w:t>
            </w:r>
            <w:r w:rsidRPr="00265350">
              <w:rPr>
                <w:rFonts w:ascii="Arial" w:hAnsi="Arial" w:cs="Arial"/>
                <w:b w:val="0"/>
                <w:bCs w:val="0"/>
                <w:lang w:val="en-GB"/>
              </w:rPr>
              <w:t>comments</w:t>
            </w:r>
            <w:proofErr w:type="spellEnd"/>
          </w:p>
          <w:p w:rsidR="00F1171E" w:rsidRPr="00265350" w:rsidRDefault="00F1171E" w:rsidP="007222C8">
            <w:pPr>
              <w:pStyle w:val="Heading2"/>
              <w:jc w:val="left"/>
              <w:rPr>
                <w:rFonts w:ascii="Arial" w:hAnsi="Arial" w:cs="Arial"/>
                <w:b w:val="0"/>
                <w:lang w:val="en-GB"/>
              </w:rPr>
            </w:pPr>
          </w:p>
        </w:tc>
        <w:tc>
          <w:tcPr>
            <w:tcW w:w="2613" w:type="pct"/>
          </w:tcPr>
          <w:p w:rsidR="00F1171E" w:rsidRPr="00265350" w:rsidRDefault="009F4324" w:rsidP="007222C8">
            <w:pPr>
              <w:rPr>
                <w:rFonts w:ascii="Arial" w:hAnsi="Arial" w:cs="Arial"/>
                <w:sz w:val="20"/>
                <w:szCs w:val="20"/>
                <w:lang w:val="en-GB"/>
              </w:rPr>
            </w:pPr>
            <w:r w:rsidRPr="00265350">
              <w:rPr>
                <w:rFonts w:ascii="Arial" w:hAnsi="Arial" w:cs="Arial"/>
                <w:sz w:val="20"/>
                <w:szCs w:val="20"/>
              </w:rPr>
              <w:t>The article provides valuable insights into the clinical presentation, diagnostic challenges, and management of DiGeorge syndrome, highlighting the importance of early recognition and a comprehensive, multidisciplinary approach, especially in resource-limited settings.</w:t>
            </w:r>
          </w:p>
        </w:tc>
        <w:tc>
          <w:tcPr>
            <w:tcW w:w="1188" w:type="pct"/>
          </w:tcPr>
          <w:p w:rsidR="00F1171E" w:rsidRPr="00265350" w:rsidRDefault="00F1171E" w:rsidP="007222C8">
            <w:pPr>
              <w:rPr>
                <w:rFonts w:ascii="Arial" w:hAnsi="Arial" w:cs="Arial"/>
                <w:sz w:val="20"/>
                <w:szCs w:val="20"/>
                <w:lang w:val="en-GB"/>
              </w:rPr>
            </w:pPr>
          </w:p>
        </w:tc>
      </w:tr>
    </w:tbl>
    <w:p w:rsidR="00F1171E" w:rsidRPr="0026535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6603"/>
        <w:gridCol w:w="7716"/>
      </w:tblGrid>
      <w:tr w:rsidR="00BF3851" w:rsidRPr="00265350" w:rsidTr="00313DF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BF3851" w:rsidRPr="00265350" w:rsidRDefault="00BF3851" w:rsidP="00BF3851">
            <w:pPr>
              <w:rPr>
                <w:rFonts w:ascii="Arial" w:eastAsia="Arial Unicode MS" w:hAnsi="Arial" w:cs="Arial"/>
                <w:b/>
                <w:sz w:val="20"/>
                <w:szCs w:val="20"/>
                <w:u w:val="single"/>
                <w:lang w:val="en-GB"/>
              </w:rPr>
            </w:pPr>
            <w:bookmarkStart w:id="0" w:name="_Hlk156057704"/>
            <w:bookmarkStart w:id="1" w:name="_Hlk156057883"/>
            <w:r w:rsidRPr="00265350">
              <w:rPr>
                <w:rFonts w:ascii="Arial" w:eastAsia="Arial Unicode MS" w:hAnsi="Arial" w:cs="Arial"/>
                <w:b/>
                <w:sz w:val="20"/>
                <w:szCs w:val="20"/>
                <w:highlight w:val="yellow"/>
                <w:u w:val="single"/>
                <w:lang w:val="en-GB"/>
              </w:rPr>
              <w:t>PART  2:</w:t>
            </w:r>
            <w:r w:rsidRPr="00265350">
              <w:rPr>
                <w:rFonts w:ascii="Arial" w:eastAsia="Arial Unicode MS" w:hAnsi="Arial" w:cs="Arial"/>
                <w:b/>
                <w:sz w:val="20"/>
                <w:szCs w:val="20"/>
                <w:u w:val="single"/>
                <w:lang w:val="en-GB"/>
              </w:rPr>
              <w:t xml:space="preserve"> </w:t>
            </w:r>
          </w:p>
          <w:p w:rsidR="00BF3851" w:rsidRPr="00265350" w:rsidRDefault="00BF3851" w:rsidP="00BF3851">
            <w:pPr>
              <w:rPr>
                <w:rFonts w:ascii="Arial" w:eastAsia="Arial Unicode MS" w:hAnsi="Arial" w:cs="Arial"/>
                <w:b/>
                <w:sz w:val="20"/>
                <w:szCs w:val="20"/>
                <w:u w:val="single"/>
                <w:lang w:val="en-GB"/>
              </w:rPr>
            </w:pPr>
          </w:p>
        </w:tc>
      </w:tr>
      <w:tr w:rsidR="00BF3851" w:rsidRPr="00265350" w:rsidTr="00313DF4">
        <w:tc>
          <w:tcPr>
            <w:tcW w:w="1615" w:type="pct"/>
            <w:shd w:val="clear" w:color="auto" w:fill="auto"/>
            <w:noWrap/>
            <w:tcMar>
              <w:top w:w="0" w:type="dxa"/>
              <w:left w:w="108" w:type="dxa"/>
              <w:bottom w:w="0" w:type="dxa"/>
              <w:right w:w="108" w:type="dxa"/>
            </w:tcMar>
            <w:vAlign w:val="center"/>
          </w:tcPr>
          <w:p w:rsidR="00BF3851" w:rsidRPr="00265350" w:rsidRDefault="00BF3851" w:rsidP="00BF3851">
            <w:pPr>
              <w:rPr>
                <w:rFonts w:ascii="Arial" w:eastAsia="Arial Unicode MS" w:hAnsi="Arial" w:cs="Arial"/>
                <w:sz w:val="20"/>
                <w:szCs w:val="20"/>
                <w:lang w:val="en-GB"/>
              </w:rPr>
            </w:pPr>
          </w:p>
        </w:tc>
        <w:tc>
          <w:tcPr>
            <w:tcW w:w="1561" w:type="pct"/>
            <w:shd w:val="clear" w:color="auto" w:fill="auto"/>
            <w:tcMar>
              <w:top w:w="0" w:type="dxa"/>
              <w:left w:w="108" w:type="dxa"/>
              <w:bottom w:w="0" w:type="dxa"/>
              <w:right w:w="108" w:type="dxa"/>
            </w:tcMar>
          </w:tcPr>
          <w:p w:rsidR="00BF3851" w:rsidRPr="00265350" w:rsidRDefault="00BF3851" w:rsidP="00BF3851">
            <w:pPr>
              <w:keepNext/>
              <w:outlineLvl w:val="1"/>
              <w:rPr>
                <w:rFonts w:ascii="Arial" w:eastAsia="MS Mincho" w:hAnsi="Arial" w:cs="Arial"/>
                <w:b/>
                <w:bCs/>
                <w:sz w:val="20"/>
                <w:szCs w:val="20"/>
                <w:lang w:val="en-GB"/>
              </w:rPr>
            </w:pPr>
            <w:r w:rsidRPr="00265350">
              <w:rPr>
                <w:rFonts w:ascii="Arial" w:eastAsia="MS Mincho" w:hAnsi="Arial" w:cs="Arial"/>
                <w:b/>
                <w:bCs/>
                <w:sz w:val="20"/>
                <w:szCs w:val="20"/>
                <w:lang w:val="en-GB"/>
              </w:rPr>
              <w:t>Reviewer’s comment</w:t>
            </w:r>
          </w:p>
        </w:tc>
        <w:tc>
          <w:tcPr>
            <w:tcW w:w="1824" w:type="pct"/>
            <w:shd w:val="clear" w:color="auto" w:fill="auto"/>
          </w:tcPr>
          <w:p w:rsidR="00BF3851" w:rsidRPr="00265350" w:rsidRDefault="00BF3851" w:rsidP="00BF3851">
            <w:pPr>
              <w:keepNext/>
              <w:outlineLvl w:val="1"/>
              <w:rPr>
                <w:rFonts w:ascii="Arial" w:eastAsia="MS Mincho" w:hAnsi="Arial" w:cs="Arial"/>
                <w:bCs/>
                <w:sz w:val="20"/>
                <w:szCs w:val="20"/>
                <w:lang w:val="en-GB"/>
              </w:rPr>
            </w:pPr>
            <w:r w:rsidRPr="00265350">
              <w:rPr>
                <w:rFonts w:ascii="Arial" w:eastAsia="MS Mincho" w:hAnsi="Arial" w:cs="Arial"/>
                <w:b/>
                <w:bCs/>
                <w:sz w:val="20"/>
                <w:szCs w:val="20"/>
                <w:lang w:val="en-GB"/>
              </w:rPr>
              <w:t>Author’s comment</w:t>
            </w:r>
            <w:r w:rsidRPr="00265350">
              <w:rPr>
                <w:rFonts w:ascii="Arial" w:eastAsia="MS Mincho" w:hAnsi="Arial" w:cs="Arial"/>
                <w:bCs/>
                <w:sz w:val="20"/>
                <w:szCs w:val="20"/>
                <w:lang w:val="en-GB"/>
              </w:rPr>
              <w:t xml:space="preserve"> </w:t>
            </w:r>
            <w:r w:rsidRPr="0026535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F3851" w:rsidRPr="00265350" w:rsidTr="00313DF4">
        <w:trPr>
          <w:trHeight w:val="64"/>
        </w:trPr>
        <w:tc>
          <w:tcPr>
            <w:tcW w:w="1615" w:type="pct"/>
            <w:shd w:val="clear" w:color="auto" w:fill="auto"/>
            <w:noWrap/>
            <w:tcMar>
              <w:top w:w="0" w:type="dxa"/>
              <w:left w:w="108" w:type="dxa"/>
              <w:bottom w:w="0" w:type="dxa"/>
              <w:right w:w="108" w:type="dxa"/>
            </w:tcMar>
            <w:vAlign w:val="center"/>
          </w:tcPr>
          <w:p w:rsidR="00BF3851" w:rsidRPr="00265350" w:rsidRDefault="00BF3851" w:rsidP="00BF3851">
            <w:pPr>
              <w:rPr>
                <w:rFonts w:ascii="Arial" w:eastAsia="Arial Unicode MS" w:hAnsi="Arial" w:cs="Arial"/>
                <w:b/>
                <w:sz w:val="20"/>
                <w:szCs w:val="20"/>
                <w:lang w:val="en-GB"/>
              </w:rPr>
            </w:pPr>
            <w:r w:rsidRPr="00265350">
              <w:rPr>
                <w:rFonts w:ascii="Arial" w:eastAsia="Arial Unicode MS" w:hAnsi="Arial" w:cs="Arial"/>
                <w:b/>
                <w:sz w:val="20"/>
                <w:szCs w:val="20"/>
                <w:lang w:val="en-GB"/>
              </w:rPr>
              <w:t xml:space="preserve">Are there ethical issues in this manuscript? </w:t>
            </w:r>
          </w:p>
          <w:p w:rsidR="00BF3851" w:rsidRPr="00265350" w:rsidRDefault="00BF3851" w:rsidP="00BF3851">
            <w:pPr>
              <w:rPr>
                <w:rFonts w:ascii="Arial" w:eastAsia="Arial Unicode MS" w:hAnsi="Arial" w:cs="Arial"/>
                <w:sz w:val="20"/>
                <w:szCs w:val="20"/>
                <w:lang w:val="en-GB"/>
              </w:rPr>
            </w:pPr>
          </w:p>
        </w:tc>
        <w:tc>
          <w:tcPr>
            <w:tcW w:w="1561" w:type="pct"/>
            <w:shd w:val="clear" w:color="auto" w:fill="auto"/>
            <w:tcMar>
              <w:top w:w="0" w:type="dxa"/>
              <w:left w:w="108" w:type="dxa"/>
              <w:bottom w:w="0" w:type="dxa"/>
              <w:right w:w="108" w:type="dxa"/>
            </w:tcMar>
            <w:vAlign w:val="center"/>
          </w:tcPr>
          <w:p w:rsidR="00BF3851" w:rsidRPr="00265350" w:rsidRDefault="00BF3851" w:rsidP="00BF3851">
            <w:pPr>
              <w:rPr>
                <w:rFonts w:ascii="Arial" w:eastAsia="Arial Unicode MS" w:hAnsi="Arial" w:cs="Arial"/>
                <w:i/>
                <w:iCs/>
                <w:sz w:val="20"/>
                <w:szCs w:val="20"/>
                <w:u w:val="single"/>
                <w:lang w:val="en-GB"/>
              </w:rPr>
            </w:pPr>
            <w:r w:rsidRPr="00265350">
              <w:rPr>
                <w:rFonts w:ascii="Arial" w:eastAsia="Arial Unicode MS" w:hAnsi="Arial" w:cs="Arial"/>
                <w:i/>
                <w:iCs/>
                <w:sz w:val="20"/>
                <w:szCs w:val="20"/>
                <w:u w:val="single"/>
                <w:lang w:val="en-GB"/>
              </w:rPr>
              <w:t xml:space="preserve">(If yes, </w:t>
            </w:r>
            <w:proofErr w:type="gramStart"/>
            <w:r w:rsidRPr="00265350">
              <w:rPr>
                <w:rFonts w:ascii="Arial" w:eastAsia="Arial Unicode MS" w:hAnsi="Arial" w:cs="Arial"/>
                <w:i/>
                <w:iCs/>
                <w:sz w:val="20"/>
                <w:szCs w:val="20"/>
                <w:u w:val="single"/>
                <w:lang w:val="en-GB"/>
              </w:rPr>
              <w:t>Kindly</w:t>
            </w:r>
            <w:proofErr w:type="gramEnd"/>
            <w:r w:rsidRPr="00265350">
              <w:rPr>
                <w:rFonts w:ascii="Arial" w:eastAsia="Arial Unicode MS" w:hAnsi="Arial" w:cs="Arial"/>
                <w:i/>
                <w:iCs/>
                <w:sz w:val="20"/>
                <w:szCs w:val="20"/>
                <w:u w:val="single"/>
                <w:lang w:val="en-GB"/>
              </w:rPr>
              <w:t xml:space="preserve"> please write down the ethical issues here in details)</w:t>
            </w:r>
          </w:p>
          <w:p w:rsidR="00BF3851" w:rsidRPr="00265350" w:rsidRDefault="00BF3851" w:rsidP="00BF3851">
            <w:pPr>
              <w:rPr>
                <w:rFonts w:ascii="Arial" w:eastAsia="Arial Unicode MS" w:hAnsi="Arial" w:cs="Arial"/>
                <w:sz w:val="20"/>
                <w:szCs w:val="20"/>
                <w:lang w:val="en-GB"/>
              </w:rPr>
            </w:pPr>
          </w:p>
          <w:p w:rsidR="00BF3851" w:rsidRPr="00265350" w:rsidRDefault="00BF3851" w:rsidP="00BF3851">
            <w:pPr>
              <w:rPr>
                <w:rFonts w:ascii="Arial" w:eastAsia="Arial Unicode MS" w:hAnsi="Arial" w:cs="Arial"/>
                <w:sz w:val="20"/>
                <w:szCs w:val="20"/>
                <w:lang w:val="en-GB"/>
              </w:rPr>
            </w:pPr>
          </w:p>
        </w:tc>
        <w:tc>
          <w:tcPr>
            <w:tcW w:w="1824" w:type="pct"/>
            <w:shd w:val="clear" w:color="auto" w:fill="auto"/>
            <w:vAlign w:val="center"/>
          </w:tcPr>
          <w:p w:rsidR="00BF3851" w:rsidRPr="00265350" w:rsidRDefault="00BF3851" w:rsidP="00BF3851">
            <w:pPr>
              <w:rPr>
                <w:rFonts w:ascii="Arial" w:eastAsia="Arial Unicode MS" w:hAnsi="Arial" w:cs="Arial"/>
                <w:sz w:val="20"/>
                <w:szCs w:val="20"/>
                <w:lang w:val="en-GB"/>
              </w:rPr>
            </w:pPr>
          </w:p>
          <w:p w:rsidR="00BF3851" w:rsidRPr="00265350" w:rsidRDefault="00BF3851" w:rsidP="00BF3851">
            <w:pPr>
              <w:rPr>
                <w:rFonts w:ascii="Arial" w:eastAsia="Arial Unicode MS" w:hAnsi="Arial" w:cs="Arial"/>
                <w:sz w:val="20"/>
                <w:szCs w:val="20"/>
                <w:lang w:val="en-GB"/>
              </w:rPr>
            </w:pPr>
          </w:p>
          <w:p w:rsidR="00BF3851" w:rsidRPr="00265350" w:rsidRDefault="00BF3851" w:rsidP="00BF3851">
            <w:pPr>
              <w:rPr>
                <w:rFonts w:ascii="Arial" w:eastAsia="Arial Unicode MS" w:hAnsi="Arial" w:cs="Arial"/>
                <w:sz w:val="20"/>
                <w:szCs w:val="20"/>
                <w:lang w:val="en-GB"/>
              </w:rPr>
            </w:pPr>
          </w:p>
        </w:tc>
      </w:tr>
      <w:bookmarkEnd w:id="1"/>
    </w:tbl>
    <w:p w:rsidR="00BF3851" w:rsidRPr="00265350" w:rsidRDefault="00BF3851" w:rsidP="00BF385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F3851" w:rsidRPr="00265350" w:rsidTr="00313DF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BF3851" w:rsidRPr="00265350" w:rsidRDefault="00BF3851" w:rsidP="00BF3851">
            <w:pPr>
              <w:rPr>
                <w:rFonts w:ascii="Arial" w:hAnsi="Arial" w:cs="Arial"/>
                <w:b/>
                <w:sz w:val="20"/>
                <w:szCs w:val="20"/>
                <w:u w:val="single"/>
                <w:lang w:val="en-GB"/>
              </w:rPr>
            </w:pPr>
            <w:r w:rsidRPr="00265350">
              <w:rPr>
                <w:rFonts w:ascii="Arial" w:hAnsi="Arial" w:cs="Arial"/>
                <w:b/>
                <w:sz w:val="20"/>
                <w:szCs w:val="20"/>
                <w:u w:val="single"/>
                <w:lang w:val="en-GB"/>
              </w:rPr>
              <w:t>Reviewer Details:</w:t>
            </w:r>
          </w:p>
          <w:p w:rsidR="00BF3851" w:rsidRPr="00265350" w:rsidRDefault="00BF3851" w:rsidP="00BF3851">
            <w:pPr>
              <w:rPr>
                <w:rFonts w:ascii="Arial" w:hAnsi="Arial" w:cs="Arial"/>
                <w:bCs/>
                <w:sz w:val="20"/>
                <w:szCs w:val="20"/>
                <w:u w:val="single"/>
                <w:lang w:val="en-GB"/>
              </w:rPr>
            </w:pPr>
          </w:p>
        </w:tc>
      </w:tr>
      <w:tr w:rsidR="00BF3851" w:rsidRPr="00265350" w:rsidTr="00313DF4">
        <w:trPr>
          <w:trHeight w:val="77"/>
        </w:trPr>
        <w:tc>
          <w:tcPr>
            <w:tcW w:w="1409" w:type="pct"/>
            <w:shd w:val="clear" w:color="auto" w:fill="auto"/>
            <w:noWrap/>
            <w:tcMar>
              <w:top w:w="0" w:type="dxa"/>
              <w:left w:w="108" w:type="dxa"/>
              <w:bottom w:w="0" w:type="dxa"/>
              <w:right w:w="108" w:type="dxa"/>
            </w:tcMar>
            <w:vAlign w:val="center"/>
          </w:tcPr>
          <w:p w:rsidR="00BF3851" w:rsidRPr="00265350" w:rsidRDefault="00BF3851" w:rsidP="00BF3851">
            <w:pPr>
              <w:rPr>
                <w:rFonts w:ascii="Arial" w:hAnsi="Arial" w:cs="Arial"/>
                <w:sz w:val="20"/>
                <w:szCs w:val="20"/>
                <w:lang w:val="en-GB"/>
              </w:rPr>
            </w:pPr>
            <w:r w:rsidRPr="0026535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BF3851" w:rsidRPr="00265350" w:rsidRDefault="00313DF4" w:rsidP="00BF3851">
            <w:pPr>
              <w:rPr>
                <w:rFonts w:ascii="Arial" w:hAnsi="Arial" w:cs="Arial"/>
                <w:b/>
                <w:bCs/>
                <w:sz w:val="20"/>
                <w:szCs w:val="20"/>
              </w:rPr>
            </w:pPr>
            <w:r w:rsidRPr="00313DF4">
              <w:rPr>
                <w:rFonts w:ascii="Arial" w:hAnsi="Arial" w:cs="Arial"/>
                <w:b/>
                <w:bCs/>
                <w:sz w:val="20"/>
                <w:szCs w:val="20"/>
              </w:rPr>
              <w:t xml:space="preserve">Ankita R </w:t>
            </w:r>
            <w:proofErr w:type="spellStart"/>
            <w:r w:rsidRPr="00313DF4">
              <w:rPr>
                <w:rFonts w:ascii="Arial" w:hAnsi="Arial" w:cs="Arial"/>
                <w:b/>
                <w:bCs/>
                <w:sz w:val="20"/>
                <w:szCs w:val="20"/>
              </w:rPr>
              <w:t>Bhatiya</w:t>
            </w:r>
            <w:proofErr w:type="spellEnd"/>
          </w:p>
        </w:tc>
      </w:tr>
      <w:tr w:rsidR="00BF3851" w:rsidRPr="00265350" w:rsidTr="00313DF4">
        <w:trPr>
          <w:trHeight w:val="77"/>
        </w:trPr>
        <w:tc>
          <w:tcPr>
            <w:tcW w:w="1409" w:type="pct"/>
            <w:shd w:val="clear" w:color="auto" w:fill="auto"/>
            <w:noWrap/>
            <w:tcMar>
              <w:top w:w="0" w:type="dxa"/>
              <w:left w:w="108" w:type="dxa"/>
              <w:bottom w:w="0" w:type="dxa"/>
              <w:right w:w="108" w:type="dxa"/>
            </w:tcMar>
            <w:vAlign w:val="center"/>
          </w:tcPr>
          <w:p w:rsidR="00BF3851" w:rsidRPr="00265350" w:rsidRDefault="00BF3851" w:rsidP="00BF3851">
            <w:pPr>
              <w:rPr>
                <w:rFonts w:ascii="Arial" w:hAnsi="Arial" w:cs="Arial"/>
                <w:sz w:val="20"/>
                <w:szCs w:val="20"/>
                <w:lang w:val="en-GB"/>
              </w:rPr>
            </w:pPr>
            <w:r w:rsidRPr="0026535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BF3851" w:rsidRPr="00265350" w:rsidRDefault="00313DF4" w:rsidP="00BF3851">
            <w:pPr>
              <w:rPr>
                <w:rFonts w:ascii="Arial" w:hAnsi="Arial" w:cs="Arial"/>
                <w:b/>
                <w:bCs/>
                <w:sz w:val="20"/>
                <w:szCs w:val="20"/>
                <w:lang w:val="en-GB"/>
              </w:rPr>
            </w:pPr>
            <w:proofErr w:type="spellStart"/>
            <w:r w:rsidRPr="00313DF4">
              <w:rPr>
                <w:rFonts w:ascii="Arial" w:hAnsi="Arial" w:cs="Arial"/>
                <w:b/>
                <w:bCs/>
                <w:sz w:val="20"/>
                <w:szCs w:val="20"/>
                <w:lang w:val="en-GB"/>
              </w:rPr>
              <w:t>Smt.L.</w:t>
            </w:r>
            <w:proofErr w:type="gramStart"/>
            <w:r w:rsidRPr="00313DF4">
              <w:rPr>
                <w:rFonts w:ascii="Arial" w:hAnsi="Arial" w:cs="Arial"/>
                <w:b/>
                <w:bCs/>
                <w:sz w:val="20"/>
                <w:szCs w:val="20"/>
                <w:lang w:val="en-GB"/>
              </w:rPr>
              <w:t>P.Patel</w:t>
            </w:r>
            <w:proofErr w:type="spellEnd"/>
            <w:proofErr w:type="gramEnd"/>
            <w:r w:rsidRPr="00313DF4">
              <w:rPr>
                <w:rFonts w:ascii="Arial" w:hAnsi="Arial" w:cs="Arial"/>
                <w:b/>
                <w:bCs/>
                <w:sz w:val="20"/>
                <w:szCs w:val="20"/>
                <w:lang w:val="en-GB"/>
              </w:rPr>
              <w:t xml:space="preserve"> Institute of MLT, India</w:t>
            </w:r>
          </w:p>
        </w:tc>
      </w:tr>
    </w:tbl>
    <w:p w:rsidR="00F1171E" w:rsidRPr="00265350" w:rsidRDefault="00F1171E" w:rsidP="00F1171E">
      <w:pPr>
        <w:pStyle w:val="BodyText"/>
        <w:rPr>
          <w:rFonts w:ascii="Arial" w:hAnsi="Arial" w:cs="Arial"/>
          <w:b/>
          <w:bCs/>
          <w:sz w:val="20"/>
          <w:szCs w:val="20"/>
          <w:u w:val="single"/>
          <w:lang w:val="en-GB"/>
        </w:rPr>
      </w:pPr>
      <w:bookmarkStart w:id="2" w:name="_GoBack"/>
      <w:bookmarkEnd w:id="0"/>
      <w:bookmarkEnd w:id="2"/>
    </w:p>
    <w:sectPr w:rsidR="00F1171E" w:rsidRPr="0026535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EEB" w:rsidRPr="0000007A" w:rsidRDefault="00726EEB" w:rsidP="0099583E">
      <w:r>
        <w:separator/>
      </w:r>
    </w:p>
  </w:endnote>
  <w:endnote w:type="continuationSeparator" w:id="0">
    <w:p w:rsidR="00726EEB" w:rsidRPr="0000007A" w:rsidRDefault="00726EE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EEB" w:rsidRPr="0000007A" w:rsidRDefault="00726EEB" w:rsidP="0099583E">
      <w:r>
        <w:separator/>
      </w:r>
    </w:p>
  </w:footnote>
  <w:footnote w:type="continuationSeparator" w:id="0">
    <w:p w:rsidR="00726EEB" w:rsidRPr="0000007A" w:rsidRDefault="00726EE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94D"/>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20B7"/>
    <w:rsid w:val="000F34F0"/>
    <w:rsid w:val="000F6EA8"/>
    <w:rsid w:val="00101322"/>
    <w:rsid w:val="00115767"/>
    <w:rsid w:val="00121FFA"/>
    <w:rsid w:val="0012616A"/>
    <w:rsid w:val="00136984"/>
    <w:rsid w:val="001425F1"/>
    <w:rsid w:val="00142A9C"/>
    <w:rsid w:val="00150304"/>
    <w:rsid w:val="0015296D"/>
    <w:rsid w:val="0016234F"/>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5350"/>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3DF4"/>
    <w:rsid w:val="003202CF"/>
    <w:rsid w:val="003204B8"/>
    <w:rsid w:val="0032411C"/>
    <w:rsid w:val="00326D7D"/>
    <w:rsid w:val="0033018A"/>
    <w:rsid w:val="0033692F"/>
    <w:rsid w:val="00343C0C"/>
    <w:rsid w:val="00353718"/>
    <w:rsid w:val="00374F93"/>
    <w:rsid w:val="00377F1D"/>
    <w:rsid w:val="00394901"/>
    <w:rsid w:val="003A04E7"/>
    <w:rsid w:val="003A1C45"/>
    <w:rsid w:val="003A4991"/>
    <w:rsid w:val="003A6E1A"/>
    <w:rsid w:val="003B1D0B"/>
    <w:rsid w:val="003B2172"/>
    <w:rsid w:val="003B5910"/>
    <w:rsid w:val="003D1BDE"/>
    <w:rsid w:val="003E4854"/>
    <w:rsid w:val="003E746A"/>
    <w:rsid w:val="00401C12"/>
    <w:rsid w:val="00421DBF"/>
    <w:rsid w:val="0042465A"/>
    <w:rsid w:val="004272C0"/>
    <w:rsid w:val="00435B36"/>
    <w:rsid w:val="00442B24"/>
    <w:rsid w:val="004430CD"/>
    <w:rsid w:val="0044519B"/>
    <w:rsid w:val="00452F40"/>
    <w:rsid w:val="00457AB1"/>
    <w:rsid w:val="00457BC0"/>
    <w:rsid w:val="00461309"/>
    <w:rsid w:val="00462996"/>
    <w:rsid w:val="00470D2D"/>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6E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66A5"/>
    <w:rsid w:val="00867E37"/>
    <w:rsid w:val="0087201B"/>
    <w:rsid w:val="00877F10"/>
    <w:rsid w:val="00882091"/>
    <w:rsid w:val="00893E75"/>
    <w:rsid w:val="00895D0A"/>
    <w:rsid w:val="008B265C"/>
    <w:rsid w:val="008B333B"/>
    <w:rsid w:val="008C2F62"/>
    <w:rsid w:val="008C4B1F"/>
    <w:rsid w:val="008C75AD"/>
    <w:rsid w:val="008D020E"/>
    <w:rsid w:val="008E5067"/>
    <w:rsid w:val="008F036B"/>
    <w:rsid w:val="008F36E4"/>
    <w:rsid w:val="0090720F"/>
    <w:rsid w:val="0091410B"/>
    <w:rsid w:val="009245E3"/>
    <w:rsid w:val="00942DEE"/>
    <w:rsid w:val="00944F67"/>
    <w:rsid w:val="0094709C"/>
    <w:rsid w:val="009553EC"/>
    <w:rsid w:val="00955E45"/>
    <w:rsid w:val="00962B70"/>
    <w:rsid w:val="00964EC1"/>
    <w:rsid w:val="00967C62"/>
    <w:rsid w:val="00982766"/>
    <w:rsid w:val="009852C4"/>
    <w:rsid w:val="0099583E"/>
    <w:rsid w:val="009A0242"/>
    <w:rsid w:val="009A59ED"/>
    <w:rsid w:val="009B101F"/>
    <w:rsid w:val="009B239B"/>
    <w:rsid w:val="009C5642"/>
    <w:rsid w:val="009E13C3"/>
    <w:rsid w:val="009E6A30"/>
    <w:rsid w:val="009F07D4"/>
    <w:rsid w:val="009F29EB"/>
    <w:rsid w:val="009F4324"/>
    <w:rsid w:val="009F7A71"/>
    <w:rsid w:val="00A001A0"/>
    <w:rsid w:val="00A05132"/>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1E72"/>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3851"/>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3B26"/>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0E84"/>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00A"/>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ED2A6"/>
  <w15:docId w15:val="{1D685D8D-A13C-4DD1-97FF-19A452DB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947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807147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2987492">
      <w:bodyDiv w:val="1"/>
      <w:marLeft w:val="0"/>
      <w:marRight w:val="0"/>
      <w:marTop w:val="0"/>
      <w:marBottom w:val="0"/>
      <w:divBdr>
        <w:top w:val="none" w:sz="0" w:space="0" w:color="auto"/>
        <w:left w:val="none" w:sz="0" w:space="0" w:color="auto"/>
        <w:bottom w:val="none" w:sz="0" w:space="0" w:color="auto"/>
        <w:right w:val="none" w:sz="0" w:space="0" w:color="auto"/>
      </w:divBdr>
    </w:div>
    <w:div w:id="131815189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116</cp:revision>
  <dcterms:created xsi:type="dcterms:W3CDTF">2023-08-30T09:21:00Z</dcterms:created>
  <dcterms:modified xsi:type="dcterms:W3CDTF">2025-02-24T03:57:00Z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