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2230EB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2230E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230EB" w:rsidTr="00F33C84">
        <w:trPr>
          <w:trHeight w:val="413"/>
        </w:trPr>
        <w:tc>
          <w:tcPr>
            <w:tcW w:w="1234" w:type="pct"/>
          </w:tcPr>
          <w:p w:rsidR="0000007A" w:rsidRPr="002230E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30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230E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230EB" w:rsidRDefault="009232F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42B26" w:rsidRPr="002230E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2230EB" w:rsidTr="002E7787">
        <w:trPr>
          <w:trHeight w:val="290"/>
        </w:trPr>
        <w:tc>
          <w:tcPr>
            <w:tcW w:w="1234" w:type="pct"/>
          </w:tcPr>
          <w:p w:rsidR="0000007A" w:rsidRPr="002230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30E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230E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230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230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230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42B26" w:rsidRPr="002230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4482</w:t>
            </w:r>
          </w:p>
        </w:tc>
      </w:tr>
      <w:tr w:rsidR="0000007A" w:rsidRPr="002230EB" w:rsidTr="002109D6">
        <w:trPr>
          <w:trHeight w:val="331"/>
        </w:trPr>
        <w:tc>
          <w:tcPr>
            <w:tcW w:w="1234" w:type="pct"/>
          </w:tcPr>
          <w:p w:rsidR="0000007A" w:rsidRPr="002230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30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230EB" w:rsidRDefault="008C53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230EB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Analytical and Numerical Boundedness of a Model with Memory Effects for the Spreading of Rabies</w:t>
            </w:r>
          </w:p>
        </w:tc>
      </w:tr>
      <w:tr w:rsidR="00CF0BBB" w:rsidRPr="002230EB" w:rsidTr="002E7787">
        <w:trPr>
          <w:trHeight w:val="332"/>
        </w:trPr>
        <w:tc>
          <w:tcPr>
            <w:tcW w:w="1234" w:type="pct"/>
          </w:tcPr>
          <w:p w:rsidR="00CF0BBB" w:rsidRPr="002230E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30E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2230EB" w:rsidRDefault="00442B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30E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2230E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2230E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2230E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4"/>
        <w:gridCol w:w="9354"/>
        <w:gridCol w:w="6442"/>
      </w:tblGrid>
      <w:tr w:rsidR="00F1171E" w:rsidRPr="002230EB" w:rsidTr="002230E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230E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230EB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2230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230EB" w:rsidTr="002230EB">
        <w:tc>
          <w:tcPr>
            <w:tcW w:w="1246" w:type="pct"/>
            <w:noWrap/>
          </w:tcPr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230EB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2230E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0E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2230E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230EB">
              <w:rPr>
                <w:rFonts w:ascii="Arial" w:hAnsi="Arial" w:cs="Arial"/>
                <w:lang w:val="en-GB"/>
              </w:rPr>
              <w:t>Author’s Feedback</w:t>
            </w:r>
            <w:r w:rsidRPr="002230E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230EB" w:rsidTr="002230EB">
        <w:trPr>
          <w:trHeight w:val="1264"/>
        </w:trPr>
        <w:tc>
          <w:tcPr>
            <w:tcW w:w="1246" w:type="pct"/>
            <w:noWrap/>
          </w:tcPr>
          <w:p w:rsidR="00F1171E" w:rsidRPr="002230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30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2230E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F1171E" w:rsidRPr="002230E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30EB" w:rsidTr="002230EB">
        <w:trPr>
          <w:trHeight w:val="1262"/>
        </w:trPr>
        <w:tc>
          <w:tcPr>
            <w:tcW w:w="1246" w:type="pct"/>
            <w:noWrap/>
          </w:tcPr>
          <w:p w:rsidR="00F1171E" w:rsidRPr="002230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30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2230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30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F1171E" w:rsidRPr="002230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30EB" w:rsidTr="002230EB">
        <w:trPr>
          <w:trHeight w:val="1262"/>
        </w:trPr>
        <w:tc>
          <w:tcPr>
            <w:tcW w:w="1246" w:type="pct"/>
            <w:noWrap/>
          </w:tcPr>
          <w:p w:rsidR="00F1171E" w:rsidRPr="002230E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230E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F1171E" w:rsidRPr="002230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30EB" w:rsidTr="002230EB">
        <w:trPr>
          <w:trHeight w:val="859"/>
        </w:trPr>
        <w:tc>
          <w:tcPr>
            <w:tcW w:w="1246" w:type="pct"/>
            <w:noWrap/>
          </w:tcPr>
          <w:p w:rsidR="00F1171E" w:rsidRPr="002230E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230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:rsidR="00F1171E" w:rsidRPr="002230E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30EB" w:rsidTr="002230EB">
        <w:trPr>
          <w:trHeight w:val="703"/>
        </w:trPr>
        <w:tc>
          <w:tcPr>
            <w:tcW w:w="1246" w:type="pct"/>
            <w:noWrap/>
          </w:tcPr>
          <w:p w:rsidR="00F1171E" w:rsidRPr="002230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30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2230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230E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:rsidR="00F1171E" w:rsidRPr="002230E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30EB" w:rsidTr="002230EB">
        <w:trPr>
          <w:trHeight w:val="386"/>
        </w:trPr>
        <w:tc>
          <w:tcPr>
            <w:tcW w:w="1246" w:type="pct"/>
            <w:noWrap/>
          </w:tcPr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2230E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230E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2230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F1171E" w:rsidRPr="002230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230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230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230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230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2230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230EB" w:rsidTr="002230EB">
        <w:trPr>
          <w:trHeight w:val="1178"/>
        </w:trPr>
        <w:tc>
          <w:tcPr>
            <w:tcW w:w="1246" w:type="pct"/>
            <w:noWrap/>
          </w:tcPr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230E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230E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2230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:rsidR="003F615D" w:rsidRPr="002230EB" w:rsidRDefault="003F615D" w:rsidP="003F6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0EB">
              <w:rPr>
                <w:rFonts w:ascii="Arial" w:hAnsi="Arial" w:cs="Arial"/>
                <w:sz w:val="20"/>
                <w:szCs w:val="20"/>
              </w:rPr>
              <w:t>Comments on the paper:</w:t>
            </w:r>
          </w:p>
          <w:p w:rsidR="003F615D" w:rsidRPr="002230EB" w:rsidRDefault="005E2D28" w:rsidP="003F615D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0EB">
              <w:rPr>
                <w:rFonts w:ascii="Arial" w:hAnsi="Arial" w:cs="Arial"/>
                <w:sz w:val="20"/>
                <w:szCs w:val="20"/>
              </w:rPr>
              <w:t xml:space="preserve">Analytical and Numerical Boundedness of a Model with Memory Effects for the Spreading of Rabies </w:t>
            </w:r>
          </w:p>
          <w:p w:rsidR="003F615D" w:rsidRPr="002230EB" w:rsidRDefault="003F615D" w:rsidP="003F6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0EB">
              <w:rPr>
                <w:rFonts w:ascii="Arial" w:hAnsi="Arial" w:cs="Arial"/>
                <w:sz w:val="20"/>
                <w:szCs w:val="20"/>
              </w:rPr>
              <w:t>The manuscript explores the mathematical analysis and numerical boundedness of a fractional-order epidemic model incorporating memory effects. The authors analyze the stability of equilibrium points, derive conditions for positivity and boundedness, and implement a numerical discretization method to validate their theoretical findings. The study provides insights into how memory-dependent dynamics influence disease spread and control strategies.</w:t>
            </w:r>
          </w:p>
          <w:p w:rsidR="003F615D" w:rsidRPr="002230EB" w:rsidRDefault="003F615D" w:rsidP="003F6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0EB">
              <w:rPr>
                <w:rFonts w:ascii="Arial" w:hAnsi="Arial" w:cs="Arial"/>
                <w:sz w:val="20"/>
                <w:szCs w:val="20"/>
              </w:rPr>
              <w:t>Below are my detailed comments that should be taken into account:</w:t>
            </w:r>
          </w:p>
          <w:p w:rsidR="003F615D" w:rsidRPr="002230EB" w:rsidRDefault="003F615D" w:rsidP="003F615D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230EB">
              <w:rPr>
                <w:rFonts w:ascii="Arial" w:hAnsi="Arial" w:cs="Arial"/>
                <w:sz w:val="20"/>
                <w:szCs w:val="20"/>
              </w:rPr>
              <w:t>In Theorem 4, the stability of VESS is checked using the Routh-Hurwitz rule, but further clarification is needed to confirm negativity of roots for all valid parameters.</w:t>
            </w:r>
          </w:p>
          <w:p w:rsidR="003F615D" w:rsidRPr="002230EB" w:rsidRDefault="003F615D" w:rsidP="003F615D">
            <w:pPr>
              <w:pStyle w:val="ListParagraph"/>
              <w:numPr>
                <w:ilvl w:val="0"/>
                <w:numId w:val="11"/>
              </w:numPr>
              <w:tabs>
                <w:tab w:val="num" w:pos="720"/>
              </w:tabs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0EB">
              <w:rPr>
                <w:rFonts w:ascii="Arial" w:hAnsi="Arial" w:cs="Arial"/>
                <w:sz w:val="20"/>
                <w:szCs w:val="20"/>
              </w:rPr>
              <w:t>The paper uses the Grünwald–Letnikov method for fractional derivatives but does not discuss its accuracy and stability. It should explain how the step size h affects results and include error estimates to improve the analysis.</w:t>
            </w:r>
          </w:p>
          <w:p w:rsidR="003F615D" w:rsidRPr="002230EB" w:rsidRDefault="003F615D" w:rsidP="003F615D">
            <w:pPr>
              <w:pStyle w:val="ListParagraph"/>
              <w:numPr>
                <w:ilvl w:val="0"/>
                <w:numId w:val="11"/>
              </w:numPr>
              <w:tabs>
                <w:tab w:val="num" w:pos="720"/>
              </w:tabs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0EB">
              <w:rPr>
                <w:rFonts w:ascii="Arial" w:hAnsi="Arial" w:cs="Arial"/>
                <w:sz w:val="20"/>
                <w:szCs w:val="20"/>
              </w:rPr>
              <w:t>Using fractional-order derivatives could better capture memory effects in disease spread. The authors should explore how this affects stability and boundedness.</w:t>
            </w:r>
          </w:p>
          <w:p w:rsidR="003F615D" w:rsidRPr="002230EB" w:rsidRDefault="003F615D" w:rsidP="003F615D">
            <w:pPr>
              <w:pStyle w:val="ListParagraph"/>
              <w:numPr>
                <w:ilvl w:val="0"/>
                <w:numId w:val="11"/>
              </w:numPr>
              <w:tabs>
                <w:tab w:val="num" w:pos="720"/>
              </w:tabs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0EB">
              <w:rPr>
                <w:rFonts w:ascii="Arial" w:hAnsi="Arial" w:cs="Arial"/>
                <w:sz w:val="20"/>
                <w:szCs w:val="20"/>
              </w:rPr>
              <w:t>To further strengthen the study's mathematical modeling and numerical methods, it is recommended that the authors cite the following three closely related works:</w:t>
            </w:r>
          </w:p>
          <w:p w:rsidR="003F615D" w:rsidRPr="002230EB" w:rsidRDefault="003F615D" w:rsidP="003F615D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0EB">
              <w:rPr>
                <w:rFonts w:ascii="Arial" w:hAnsi="Arial" w:cs="Arial"/>
                <w:sz w:val="20"/>
                <w:szCs w:val="20"/>
              </w:rPr>
              <w:t>Fractional-order COVID-19 pandemic outbreak: Modeling and stability analysis. International Journal of Modern Physics C, 2021.</w:t>
            </w:r>
          </w:p>
          <w:p w:rsidR="003F615D" w:rsidRPr="002230EB" w:rsidRDefault="003F615D" w:rsidP="003F615D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0EB">
              <w:rPr>
                <w:rFonts w:ascii="Arial" w:hAnsi="Arial" w:cs="Arial"/>
                <w:sz w:val="20"/>
                <w:szCs w:val="20"/>
              </w:rPr>
              <w:t>On the Stability of Linear Incommensurate Fractional-Order Difference Systems. Mathematics, 2020.</w:t>
            </w:r>
          </w:p>
          <w:p w:rsidR="00F1171E" w:rsidRPr="002230EB" w:rsidRDefault="003F615D" w:rsidP="007222C8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0EB">
              <w:rPr>
                <w:rFonts w:ascii="Arial" w:hAnsi="Arial" w:cs="Arial"/>
                <w:sz w:val="20"/>
                <w:szCs w:val="20"/>
              </w:rPr>
              <w:t>A Mathematical Study on a Fractional-Order SEIR Mpox Model: Analysis and Vaccination Influence. Algorithms, 2023.</w:t>
            </w:r>
          </w:p>
        </w:tc>
        <w:tc>
          <w:tcPr>
            <w:tcW w:w="1531" w:type="pct"/>
          </w:tcPr>
          <w:p w:rsidR="00F1171E" w:rsidRPr="002230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:rsidR="002230EB" w:rsidRPr="002230EB" w:rsidRDefault="002230E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B00C9B" w:rsidRPr="002230EB" w:rsidTr="00C80FD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C9B" w:rsidRPr="002230EB" w:rsidRDefault="00B00C9B" w:rsidP="00B00C9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2230E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B00C9B" w:rsidRPr="002230EB" w:rsidRDefault="00B00C9B" w:rsidP="00B00C9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0C9B" w:rsidRPr="002230EB" w:rsidTr="00C80FD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C9B" w:rsidRPr="002230EB" w:rsidRDefault="00B00C9B" w:rsidP="00B00C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C9B" w:rsidRPr="002230EB" w:rsidRDefault="00B00C9B" w:rsidP="00B00C9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230E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B00C9B" w:rsidRPr="002230EB" w:rsidRDefault="00B00C9B" w:rsidP="00B00C9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230E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230E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00C9B" w:rsidRPr="002230EB" w:rsidTr="00C80FD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C9B" w:rsidRPr="002230EB" w:rsidRDefault="00B00C9B" w:rsidP="00B00C9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230E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00C9B" w:rsidRPr="002230EB" w:rsidRDefault="00B00C9B" w:rsidP="00B00C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C9B" w:rsidRPr="002230EB" w:rsidRDefault="00B00C9B" w:rsidP="00B00C9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230E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B00C9B" w:rsidRPr="002230EB" w:rsidRDefault="00B00C9B" w:rsidP="00B00C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00C9B" w:rsidRPr="002230EB" w:rsidRDefault="00B00C9B" w:rsidP="00B00C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B00C9B" w:rsidRPr="002230EB" w:rsidRDefault="00B00C9B" w:rsidP="00B00C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00C9B" w:rsidRPr="002230EB" w:rsidRDefault="00B00C9B" w:rsidP="00B00C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00C9B" w:rsidRPr="002230EB" w:rsidRDefault="00B00C9B" w:rsidP="00B00C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B00C9B" w:rsidRPr="002230EB" w:rsidRDefault="00B00C9B" w:rsidP="00B00C9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B00C9B" w:rsidRPr="002230EB" w:rsidTr="00C80FD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C9B" w:rsidRPr="002230EB" w:rsidRDefault="00B00C9B" w:rsidP="00B00C9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B00C9B" w:rsidRPr="002230EB" w:rsidRDefault="00B00C9B" w:rsidP="00B00C9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230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B00C9B" w:rsidRPr="002230EB" w:rsidRDefault="00B00C9B" w:rsidP="00B00C9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00C9B" w:rsidRPr="002230EB" w:rsidTr="00C80FD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C9B" w:rsidRPr="002230EB" w:rsidRDefault="00B00C9B" w:rsidP="00B00C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30E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C9B" w:rsidRPr="002230EB" w:rsidRDefault="002230EB" w:rsidP="00B00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0EB">
              <w:rPr>
                <w:rFonts w:ascii="Arial" w:hAnsi="Arial" w:cs="Arial"/>
                <w:b/>
                <w:bCs/>
                <w:sz w:val="20"/>
                <w:szCs w:val="20"/>
              </w:rPr>
              <w:t>Iqbal Batiha</w:t>
            </w:r>
          </w:p>
        </w:tc>
      </w:tr>
      <w:tr w:rsidR="00B00C9B" w:rsidRPr="002230EB" w:rsidTr="00C80FD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C9B" w:rsidRPr="002230EB" w:rsidRDefault="00B00C9B" w:rsidP="00B00C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30E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C9B" w:rsidRPr="002230EB" w:rsidRDefault="002230EB" w:rsidP="002230E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30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Al-</w:t>
            </w:r>
            <w:r w:rsidRPr="002230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Zaytoonah University of Jordan, </w:t>
            </w:r>
            <w:r w:rsidRPr="002230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Jordan</w:t>
            </w:r>
          </w:p>
        </w:tc>
      </w:tr>
      <w:bookmarkEnd w:id="2"/>
    </w:tbl>
    <w:p w:rsidR="00B00C9B" w:rsidRPr="002230EB" w:rsidRDefault="00B00C9B" w:rsidP="00B00C9B">
      <w:pPr>
        <w:rPr>
          <w:rFonts w:ascii="Arial" w:hAnsi="Arial" w:cs="Arial"/>
          <w:sz w:val="20"/>
          <w:szCs w:val="20"/>
        </w:rPr>
      </w:pPr>
    </w:p>
    <w:p w:rsidR="00F1171E" w:rsidRPr="002230E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230E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EE8" w:rsidRPr="0000007A" w:rsidRDefault="00816EE8" w:rsidP="0099583E">
      <w:r>
        <w:separator/>
      </w:r>
    </w:p>
  </w:endnote>
  <w:endnote w:type="continuationSeparator" w:id="1">
    <w:p w:rsidR="00816EE8" w:rsidRPr="0000007A" w:rsidRDefault="00816EE8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EE8" w:rsidRPr="0000007A" w:rsidRDefault="00816EE8" w:rsidP="0099583E">
      <w:r>
        <w:separator/>
      </w:r>
    </w:p>
  </w:footnote>
  <w:footnote w:type="continuationSeparator" w:id="1">
    <w:p w:rsidR="00816EE8" w:rsidRPr="0000007A" w:rsidRDefault="00816EE8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3C0F70"/>
    <w:multiLevelType w:val="hybridMultilevel"/>
    <w:tmpl w:val="DC14A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E25BB"/>
    <w:multiLevelType w:val="hybridMultilevel"/>
    <w:tmpl w:val="44746786"/>
    <w:lvl w:ilvl="0" w:tplc="D504A214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395C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0E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FD5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2F2C"/>
    <w:rsid w:val="003D1BDE"/>
    <w:rsid w:val="003E746A"/>
    <w:rsid w:val="003E76B4"/>
    <w:rsid w:val="003F615D"/>
    <w:rsid w:val="00401C12"/>
    <w:rsid w:val="00421DBF"/>
    <w:rsid w:val="0042465A"/>
    <w:rsid w:val="00435B36"/>
    <w:rsid w:val="00442B24"/>
    <w:rsid w:val="00442B26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8CB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2D28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16EE8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9769D"/>
    <w:rsid w:val="008B265C"/>
    <w:rsid w:val="008C28B4"/>
    <w:rsid w:val="008C2F62"/>
    <w:rsid w:val="008C4B1F"/>
    <w:rsid w:val="008C5392"/>
    <w:rsid w:val="008C75AD"/>
    <w:rsid w:val="008D020E"/>
    <w:rsid w:val="008E5067"/>
    <w:rsid w:val="008F036B"/>
    <w:rsid w:val="008F36E4"/>
    <w:rsid w:val="0090720F"/>
    <w:rsid w:val="0091410B"/>
    <w:rsid w:val="009232FD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0C9B"/>
    <w:rsid w:val="00B03A45"/>
    <w:rsid w:val="00B2236C"/>
    <w:rsid w:val="00B22FE6"/>
    <w:rsid w:val="00B271B2"/>
    <w:rsid w:val="00B3033D"/>
    <w:rsid w:val="00B334D9"/>
    <w:rsid w:val="00B53059"/>
    <w:rsid w:val="00B562D2"/>
    <w:rsid w:val="00B62087"/>
    <w:rsid w:val="00B62F41"/>
    <w:rsid w:val="00B63782"/>
    <w:rsid w:val="00B66599"/>
    <w:rsid w:val="00B67A14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BB4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0FB8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2A02"/>
    <w:rsid w:val="00FA6528"/>
    <w:rsid w:val="00FB0D50"/>
    <w:rsid w:val="00FB3DE3"/>
    <w:rsid w:val="00FB5BBE"/>
    <w:rsid w:val="00FC2E17"/>
    <w:rsid w:val="00FC432A"/>
    <w:rsid w:val="00FC6387"/>
    <w:rsid w:val="00FC6802"/>
    <w:rsid w:val="00FD20B1"/>
    <w:rsid w:val="00FD53AB"/>
    <w:rsid w:val="00FD70A7"/>
    <w:rsid w:val="00FE5BD2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42B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113</cp:revision>
  <dcterms:created xsi:type="dcterms:W3CDTF">2023-08-30T09:21:00Z</dcterms:created>
  <dcterms:modified xsi:type="dcterms:W3CDTF">2025-02-23T17:12:00Z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