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E5929" w:rsidTr="004847FF">
        <w:trPr>
          <w:trHeight w:val="450"/>
        </w:trPr>
        <w:tc>
          <w:tcPr>
            <w:tcW w:w="5000" w:type="pct"/>
            <w:gridSpan w:val="2"/>
            <w:tcBorders>
              <w:top w:val="nil"/>
              <w:left w:val="nil"/>
              <w:right w:val="nil"/>
            </w:tcBorders>
          </w:tcPr>
          <w:p w:rsidR="00602F7D" w:rsidRPr="008E5929" w:rsidRDefault="00602F7D" w:rsidP="00F2643C">
            <w:pPr>
              <w:pStyle w:val="Heading2"/>
              <w:jc w:val="left"/>
              <w:rPr>
                <w:rFonts w:ascii="Arial" w:hAnsi="Arial" w:cs="Arial"/>
                <w:b w:val="0"/>
                <w:bCs w:val="0"/>
                <w:lang w:val="en-US"/>
              </w:rPr>
            </w:pPr>
          </w:p>
        </w:tc>
      </w:tr>
      <w:tr w:rsidR="0000007A" w:rsidRPr="008E5929" w:rsidTr="00F33C84">
        <w:trPr>
          <w:trHeight w:val="413"/>
        </w:trPr>
        <w:tc>
          <w:tcPr>
            <w:tcW w:w="1234" w:type="pct"/>
          </w:tcPr>
          <w:p w:rsidR="0000007A" w:rsidRPr="008E5929" w:rsidRDefault="00D27A79" w:rsidP="00696CAD">
            <w:pPr>
              <w:pStyle w:val="BodyText"/>
              <w:ind w:left="90"/>
              <w:jc w:val="left"/>
              <w:rPr>
                <w:rFonts w:ascii="Arial" w:hAnsi="Arial" w:cs="Arial"/>
                <w:bCs/>
                <w:sz w:val="20"/>
                <w:szCs w:val="20"/>
                <w:lang w:val="en-GB"/>
              </w:rPr>
            </w:pPr>
            <w:r w:rsidRPr="008E5929">
              <w:rPr>
                <w:rFonts w:ascii="Arial" w:hAnsi="Arial" w:cs="Arial"/>
                <w:bCs/>
                <w:sz w:val="20"/>
                <w:szCs w:val="20"/>
                <w:lang w:val="en-GB"/>
              </w:rPr>
              <w:t xml:space="preserve">Book </w:t>
            </w:r>
            <w:r w:rsidR="0000007A" w:rsidRPr="008E592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8E5929" w:rsidRDefault="00E9154F" w:rsidP="00054BC4">
            <w:pPr>
              <w:pStyle w:val="NormalWeb"/>
              <w:rPr>
                <w:rFonts w:ascii="Arial" w:hAnsi="Arial" w:cs="Arial"/>
                <w:b/>
                <w:bCs/>
                <w:sz w:val="20"/>
                <w:szCs w:val="20"/>
                <w:u w:val="single"/>
              </w:rPr>
            </w:pPr>
            <w:hyperlink r:id="rId7" w:history="1">
              <w:r w:rsidR="00EA485C" w:rsidRPr="008E5929">
                <w:rPr>
                  <w:rStyle w:val="Hyperlink"/>
                  <w:rFonts w:ascii="Arial" w:hAnsi="Arial" w:cs="Arial"/>
                  <w:b/>
                  <w:bCs/>
                  <w:sz w:val="20"/>
                  <w:szCs w:val="20"/>
                </w:rPr>
                <w:t>Mathematics and Computer Science: Research Updates</w:t>
              </w:r>
            </w:hyperlink>
          </w:p>
        </w:tc>
      </w:tr>
      <w:tr w:rsidR="0000007A" w:rsidRPr="008E5929" w:rsidTr="002E7787">
        <w:trPr>
          <w:trHeight w:val="290"/>
        </w:trPr>
        <w:tc>
          <w:tcPr>
            <w:tcW w:w="1234" w:type="pct"/>
          </w:tcPr>
          <w:p w:rsidR="0000007A" w:rsidRPr="008E5929" w:rsidRDefault="0000007A" w:rsidP="00696CAD">
            <w:pPr>
              <w:pStyle w:val="BodyText"/>
              <w:ind w:left="90"/>
              <w:jc w:val="left"/>
              <w:rPr>
                <w:rFonts w:ascii="Arial" w:hAnsi="Arial" w:cs="Arial"/>
                <w:bCs/>
                <w:sz w:val="20"/>
                <w:szCs w:val="20"/>
                <w:lang w:val="en-GB"/>
              </w:rPr>
            </w:pPr>
            <w:r w:rsidRPr="008E592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8E5929" w:rsidRDefault="00E72A8E" w:rsidP="00F3669D">
            <w:pPr>
              <w:pStyle w:val="NormalWeb"/>
              <w:spacing w:before="0" w:beforeAutospacing="0" w:after="0" w:afterAutospacing="0"/>
              <w:rPr>
                <w:rFonts w:ascii="Arial" w:hAnsi="Arial" w:cs="Arial"/>
                <w:b/>
                <w:bCs/>
                <w:sz w:val="20"/>
                <w:szCs w:val="20"/>
                <w:highlight w:val="yellow"/>
                <w:lang w:val="en-GB"/>
              </w:rPr>
            </w:pPr>
            <w:r w:rsidRPr="008E5929">
              <w:rPr>
                <w:rFonts w:ascii="Arial" w:hAnsi="Arial" w:cs="Arial"/>
                <w:b/>
                <w:bCs/>
                <w:sz w:val="20"/>
                <w:szCs w:val="20"/>
                <w:lang w:val="en-GB"/>
              </w:rPr>
              <w:t>Ms_BP</w:t>
            </w:r>
            <w:r w:rsidR="00FC432A" w:rsidRPr="008E5929">
              <w:rPr>
                <w:rFonts w:ascii="Arial" w:hAnsi="Arial" w:cs="Arial"/>
                <w:b/>
                <w:bCs/>
                <w:sz w:val="20"/>
                <w:szCs w:val="20"/>
                <w:lang w:val="en-GB"/>
              </w:rPr>
              <w:t>R</w:t>
            </w:r>
            <w:r w:rsidRPr="008E5929">
              <w:rPr>
                <w:rFonts w:ascii="Arial" w:hAnsi="Arial" w:cs="Arial"/>
                <w:b/>
                <w:bCs/>
                <w:sz w:val="20"/>
                <w:szCs w:val="20"/>
                <w:lang w:val="en-GB"/>
              </w:rPr>
              <w:t>_</w:t>
            </w:r>
            <w:r w:rsidR="00EA485C" w:rsidRPr="008E5929">
              <w:rPr>
                <w:rFonts w:ascii="Arial" w:hAnsi="Arial" w:cs="Arial"/>
                <w:b/>
                <w:bCs/>
                <w:sz w:val="20"/>
                <w:szCs w:val="20"/>
                <w:lang w:val="en-GB"/>
              </w:rPr>
              <w:t>4488</w:t>
            </w:r>
          </w:p>
        </w:tc>
      </w:tr>
      <w:tr w:rsidR="0000007A" w:rsidRPr="008E5929" w:rsidTr="002109D6">
        <w:trPr>
          <w:trHeight w:val="331"/>
        </w:trPr>
        <w:tc>
          <w:tcPr>
            <w:tcW w:w="1234" w:type="pct"/>
          </w:tcPr>
          <w:p w:rsidR="0000007A" w:rsidRPr="008E5929" w:rsidRDefault="0000007A" w:rsidP="00696CAD">
            <w:pPr>
              <w:pStyle w:val="BodyText"/>
              <w:ind w:left="90"/>
              <w:jc w:val="left"/>
              <w:rPr>
                <w:rFonts w:ascii="Arial" w:hAnsi="Arial" w:cs="Arial"/>
                <w:bCs/>
                <w:sz w:val="20"/>
                <w:szCs w:val="20"/>
                <w:lang w:val="en-GB"/>
              </w:rPr>
            </w:pPr>
            <w:r w:rsidRPr="008E592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8E5929" w:rsidRDefault="00EA485C" w:rsidP="000450FC">
            <w:pPr>
              <w:pStyle w:val="NormalWeb"/>
              <w:spacing w:before="0" w:beforeAutospacing="0" w:after="0" w:afterAutospacing="0"/>
              <w:rPr>
                <w:rFonts w:ascii="Arial" w:hAnsi="Arial" w:cs="Arial"/>
                <w:b/>
                <w:sz w:val="20"/>
                <w:szCs w:val="20"/>
                <w:highlight w:val="yellow"/>
                <w:lang w:val="en-GB"/>
              </w:rPr>
            </w:pPr>
            <w:r w:rsidRPr="008E5929">
              <w:rPr>
                <w:rFonts w:ascii="Arial" w:hAnsi="Arial" w:cs="Arial"/>
                <w:b/>
                <w:sz w:val="20"/>
                <w:szCs w:val="20"/>
                <w:lang w:val="en-GB"/>
              </w:rPr>
              <w:t xml:space="preserve">CTI Integration in Contact </w:t>
            </w:r>
            <w:proofErr w:type="spellStart"/>
            <w:r w:rsidRPr="008E5929">
              <w:rPr>
                <w:rFonts w:ascii="Arial" w:hAnsi="Arial" w:cs="Arial"/>
                <w:b/>
                <w:sz w:val="20"/>
                <w:szCs w:val="20"/>
                <w:lang w:val="en-GB"/>
              </w:rPr>
              <w:t>Centers</w:t>
            </w:r>
            <w:proofErr w:type="spellEnd"/>
            <w:r w:rsidRPr="008E5929">
              <w:rPr>
                <w:rFonts w:ascii="Arial" w:hAnsi="Arial" w:cs="Arial"/>
                <w:b/>
                <w:sz w:val="20"/>
                <w:szCs w:val="20"/>
                <w:lang w:val="en-GB"/>
              </w:rPr>
              <w:t>: A Comparative Analysis of Security, Scalability, and Challenges in Legacy vs. Cloud-Based Systems</w:t>
            </w:r>
          </w:p>
        </w:tc>
      </w:tr>
      <w:tr w:rsidR="00CF0BBB" w:rsidRPr="008E5929" w:rsidTr="002E7787">
        <w:trPr>
          <w:trHeight w:val="332"/>
        </w:trPr>
        <w:tc>
          <w:tcPr>
            <w:tcW w:w="1234" w:type="pct"/>
          </w:tcPr>
          <w:p w:rsidR="00CF0BBB" w:rsidRPr="008E5929" w:rsidRDefault="00CF0BBB" w:rsidP="00696CAD">
            <w:pPr>
              <w:pStyle w:val="BodyText"/>
              <w:ind w:left="90"/>
              <w:jc w:val="left"/>
              <w:rPr>
                <w:rFonts w:ascii="Arial" w:hAnsi="Arial" w:cs="Arial"/>
                <w:bCs/>
                <w:sz w:val="20"/>
                <w:szCs w:val="20"/>
                <w:lang w:val="en-GB"/>
              </w:rPr>
            </w:pPr>
            <w:r w:rsidRPr="008E592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8E5929" w:rsidRDefault="00EA485C" w:rsidP="000450FC">
            <w:pPr>
              <w:pStyle w:val="NormalWeb"/>
              <w:spacing w:before="0" w:beforeAutospacing="0" w:after="0" w:afterAutospacing="0"/>
              <w:rPr>
                <w:rFonts w:ascii="Arial" w:hAnsi="Arial" w:cs="Arial"/>
                <w:b/>
                <w:sz w:val="20"/>
                <w:szCs w:val="20"/>
                <w:lang w:val="en-GB"/>
              </w:rPr>
            </w:pPr>
            <w:r w:rsidRPr="008E5929">
              <w:rPr>
                <w:rFonts w:ascii="Arial" w:hAnsi="Arial" w:cs="Arial"/>
                <w:b/>
                <w:sz w:val="20"/>
                <w:szCs w:val="20"/>
                <w:lang w:val="en-GB"/>
              </w:rPr>
              <w:t>Book Chapter</w:t>
            </w:r>
          </w:p>
        </w:tc>
      </w:tr>
    </w:tbl>
    <w:p w:rsidR="00D27A79" w:rsidRPr="008E5929" w:rsidRDefault="00D27A79" w:rsidP="003732A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E5929" w:rsidTr="007222C8">
        <w:tc>
          <w:tcPr>
            <w:tcW w:w="5000" w:type="pct"/>
            <w:gridSpan w:val="3"/>
            <w:tcBorders>
              <w:top w:val="nil"/>
              <w:left w:val="nil"/>
              <w:right w:val="nil"/>
            </w:tcBorders>
            <w:noWrap/>
          </w:tcPr>
          <w:p w:rsidR="00F1171E" w:rsidRPr="008E5929" w:rsidRDefault="00F1171E" w:rsidP="007222C8">
            <w:pPr>
              <w:pStyle w:val="Heading2"/>
              <w:jc w:val="left"/>
              <w:rPr>
                <w:rFonts w:ascii="Arial" w:hAnsi="Arial" w:cs="Arial"/>
                <w:lang w:val="en-GB"/>
              </w:rPr>
            </w:pPr>
            <w:r w:rsidRPr="008E5929">
              <w:rPr>
                <w:rFonts w:ascii="Arial" w:hAnsi="Arial" w:cs="Arial"/>
                <w:highlight w:val="yellow"/>
                <w:lang w:val="en-GB"/>
              </w:rPr>
              <w:t>PART  1:</w:t>
            </w:r>
            <w:r w:rsidRPr="008E5929">
              <w:rPr>
                <w:rFonts w:ascii="Arial" w:hAnsi="Arial" w:cs="Arial"/>
                <w:lang w:val="en-GB"/>
              </w:rPr>
              <w:t xml:space="preserve"> Comments</w:t>
            </w:r>
          </w:p>
          <w:p w:rsidR="00F1171E" w:rsidRPr="008E5929" w:rsidRDefault="00F1171E" w:rsidP="007222C8">
            <w:pPr>
              <w:rPr>
                <w:rFonts w:ascii="Arial" w:hAnsi="Arial" w:cs="Arial"/>
                <w:sz w:val="20"/>
                <w:szCs w:val="20"/>
                <w:lang w:val="en-GB"/>
              </w:rPr>
            </w:pPr>
          </w:p>
        </w:tc>
      </w:tr>
      <w:tr w:rsidR="00F1171E" w:rsidRPr="008E5929" w:rsidTr="007222C8">
        <w:tc>
          <w:tcPr>
            <w:tcW w:w="1265" w:type="pct"/>
            <w:noWrap/>
          </w:tcPr>
          <w:p w:rsidR="00F1171E" w:rsidRPr="008E5929" w:rsidRDefault="00F1171E" w:rsidP="007222C8">
            <w:pPr>
              <w:pStyle w:val="Heading2"/>
              <w:jc w:val="left"/>
              <w:rPr>
                <w:rFonts w:ascii="Arial" w:hAnsi="Arial" w:cs="Arial"/>
                <w:lang w:val="en-GB"/>
              </w:rPr>
            </w:pPr>
          </w:p>
        </w:tc>
        <w:tc>
          <w:tcPr>
            <w:tcW w:w="2212" w:type="pct"/>
          </w:tcPr>
          <w:p w:rsidR="00F1171E" w:rsidRPr="008E5929" w:rsidRDefault="00F1171E" w:rsidP="007222C8">
            <w:pPr>
              <w:pStyle w:val="Heading2"/>
              <w:jc w:val="left"/>
              <w:rPr>
                <w:rFonts w:ascii="Arial" w:hAnsi="Arial" w:cs="Arial"/>
                <w:lang w:val="en-GB"/>
              </w:rPr>
            </w:pPr>
            <w:r w:rsidRPr="008E5929">
              <w:rPr>
                <w:rFonts w:ascii="Arial" w:hAnsi="Arial" w:cs="Arial"/>
                <w:lang w:val="en-GB"/>
              </w:rPr>
              <w:t>Reviewer’s comment</w:t>
            </w:r>
          </w:p>
          <w:p w:rsidR="00421DBF" w:rsidRPr="008E5929" w:rsidRDefault="00421DBF" w:rsidP="00421DBF">
            <w:pPr>
              <w:rPr>
                <w:rFonts w:ascii="Arial" w:hAnsi="Arial" w:cs="Arial"/>
                <w:b/>
                <w:bCs/>
                <w:sz w:val="20"/>
                <w:szCs w:val="20"/>
              </w:rPr>
            </w:pPr>
            <w:r w:rsidRPr="008E5929">
              <w:rPr>
                <w:rFonts w:ascii="Arial" w:hAnsi="Arial" w:cs="Arial"/>
                <w:b/>
                <w:bCs/>
                <w:sz w:val="20"/>
                <w:szCs w:val="20"/>
                <w:highlight w:val="yellow"/>
              </w:rPr>
              <w:t>Artificial Intelligence (AI) generated or assisted review comments are strictly prohibited during peer review.</w:t>
            </w:r>
          </w:p>
          <w:p w:rsidR="00421DBF" w:rsidRPr="008E5929" w:rsidRDefault="00421DBF" w:rsidP="00421DBF">
            <w:pPr>
              <w:rPr>
                <w:rFonts w:ascii="Arial" w:hAnsi="Arial" w:cs="Arial"/>
                <w:sz w:val="20"/>
                <w:szCs w:val="20"/>
                <w:lang w:val="en-GB"/>
              </w:rPr>
            </w:pPr>
          </w:p>
        </w:tc>
        <w:tc>
          <w:tcPr>
            <w:tcW w:w="1523" w:type="pct"/>
          </w:tcPr>
          <w:p w:rsidR="00F1171E" w:rsidRPr="008E5929" w:rsidRDefault="00F1171E" w:rsidP="007222C8">
            <w:pPr>
              <w:pStyle w:val="Heading2"/>
              <w:jc w:val="left"/>
              <w:rPr>
                <w:rFonts w:ascii="Arial" w:hAnsi="Arial" w:cs="Arial"/>
                <w:b w:val="0"/>
                <w:lang w:val="en-GB"/>
              </w:rPr>
            </w:pPr>
            <w:r w:rsidRPr="008E5929">
              <w:rPr>
                <w:rFonts w:ascii="Arial" w:hAnsi="Arial" w:cs="Arial"/>
                <w:lang w:val="en-GB"/>
              </w:rPr>
              <w:t xml:space="preserve">Author’s </w:t>
            </w:r>
            <w:proofErr w:type="gramStart"/>
            <w:r w:rsidRPr="008E5929">
              <w:rPr>
                <w:rFonts w:ascii="Arial" w:hAnsi="Arial" w:cs="Arial"/>
                <w:lang w:val="en-GB"/>
              </w:rPr>
              <w:t>Feedback</w:t>
            </w:r>
            <w:r w:rsidRPr="008E5929">
              <w:rPr>
                <w:rFonts w:ascii="Arial" w:hAnsi="Arial" w:cs="Arial"/>
                <w:b w:val="0"/>
                <w:i/>
                <w:lang w:val="en-GB"/>
              </w:rPr>
              <w:t>(</w:t>
            </w:r>
            <w:proofErr w:type="gramEnd"/>
            <w:r w:rsidRPr="008E5929">
              <w:rPr>
                <w:rFonts w:ascii="Arial" w:hAnsi="Arial" w:cs="Arial"/>
                <w:b w:val="0"/>
                <w:i/>
                <w:lang w:val="en-GB"/>
              </w:rPr>
              <w:t>Please correct the manuscript and highlight that part in the manuscript. It is mandatory that authors should write his/her feedback here)</w:t>
            </w:r>
          </w:p>
        </w:tc>
      </w:tr>
      <w:tr w:rsidR="00F1171E" w:rsidRPr="008E5929" w:rsidTr="007222C8">
        <w:trPr>
          <w:trHeight w:val="1264"/>
        </w:trPr>
        <w:tc>
          <w:tcPr>
            <w:tcW w:w="1265" w:type="pct"/>
            <w:noWrap/>
          </w:tcPr>
          <w:p w:rsidR="00F1171E" w:rsidRPr="008E5929" w:rsidRDefault="00F1171E" w:rsidP="007222C8">
            <w:pPr>
              <w:ind w:left="360"/>
              <w:rPr>
                <w:rFonts w:ascii="Arial" w:hAnsi="Arial" w:cs="Arial"/>
                <w:b/>
                <w:bCs/>
                <w:sz w:val="20"/>
                <w:szCs w:val="20"/>
                <w:lang w:val="en-GB"/>
              </w:rPr>
            </w:pPr>
            <w:r w:rsidRPr="008E5929">
              <w:rPr>
                <w:rFonts w:ascii="Arial" w:hAnsi="Arial" w:cs="Arial"/>
                <w:b/>
                <w:bCs/>
                <w:sz w:val="20"/>
                <w:szCs w:val="20"/>
                <w:lang w:val="en-GB"/>
              </w:rPr>
              <w:t xml:space="preserve">Please write a few sentences regarding the importance of this manuscript for the scientific community. A </w:t>
            </w:r>
            <w:proofErr w:type="spellStart"/>
            <w:r w:rsidRPr="008E5929">
              <w:rPr>
                <w:rFonts w:ascii="Arial" w:hAnsi="Arial" w:cs="Arial"/>
                <w:b/>
                <w:bCs/>
                <w:sz w:val="20"/>
                <w:szCs w:val="20"/>
                <w:lang w:val="en-GB"/>
              </w:rPr>
              <w:t>minimumof</w:t>
            </w:r>
            <w:proofErr w:type="spellEnd"/>
            <w:r w:rsidRPr="008E5929">
              <w:rPr>
                <w:rFonts w:ascii="Arial" w:hAnsi="Arial" w:cs="Arial"/>
                <w:b/>
                <w:bCs/>
                <w:sz w:val="20"/>
                <w:szCs w:val="20"/>
                <w:lang w:val="en-GB"/>
              </w:rPr>
              <w:t xml:space="preserve"> 3-4 sentences may be required for this part.</w:t>
            </w:r>
          </w:p>
          <w:p w:rsidR="00F1171E" w:rsidRPr="008E5929" w:rsidRDefault="00F1171E" w:rsidP="007222C8">
            <w:pPr>
              <w:ind w:left="360"/>
              <w:rPr>
                <w:rFonts w:ascii="Arial" w:eastAsia="MS Mincho" w:hAnsi="Arial" w:cs="Arial"/>
                <w:b/>
                <w:bCs/>
                <w:sz w:val="20"/>
                <w:szCs w:val="20"/>
                <w:lang w:val="en-GB"/>
              </w:rPr>
            </w:pPr>
          </w:p>
        </w:tc>
        <w:tc>
          <w:tcPr>
            <w:tcW w:w="2212" w:type="pct"/>
          </w:tcPr>
          <w:p w:rsidR="00F1171E" w:rsidRPr="008E5929" w:rsidRDefault="00B1381E" w:rsidP="007222C8">
            <w:pPr>
              <w:pStyle w:val="ListParagraph"/>
              <w:ind w:left="0"/>
              <w:rPr>
                <w:rFonts w:ascii="Arial" w:hAnsi="Arial" w:cs="Arial"/>
                <w:b/>
                <w:bCs/>
                <w:sz w:val="20"/>
                <w:szCs w:val="20"/>
                <w:lang w:val="en-GB"/>
              </w:rPr>
            </w:pPr>
            <w:r w:rsidRPr="008E5929">
              <w:rPr>
                <w:rFonts w:ascii="Arial" w:hAnsi="Arial" w:cs="Arial"/>
                <w:b/>
                <w:bCs/>
                <w:sz w:val="20"/>
                <w:szCs w:val="20"/>
              </w:rPr>
              <w:t>This manuscript provides a timely and comprehensive analysis of Computer Telephony Integration (CTI) in contact centers, comparing legacy on-premises systems with modern cloud-based solutions. Its focus on security, scalability, and integration challenges is highly relevant given the rapid digital transformation across industries. The development of a security-focused comparative framework offers valuable insights for IT professionals, contact center managers, and researchers, particularly in understanding the trade-offs between traditional and cloud-based architectures.</w:t>
            </w:r>
          </w:p>
        </w:tc>
        <w:tc>
          <w:tcPr>
            <w:tcW w:w="1523" w:type="pct"/>
          </w:tcPr>
          <w:p w:rsidR="00F1171E" w:rsidRPr="008E5929" w:rsidRDefault="00F1171E" w:rsidP="007222C8">
            <w:pPr>
              <w:pStyle w:val="Heading2"/>
              <w:jc w:val="left"/>
              <w:rPr>
                <w:rFonts w:ascii="Arial" w:hAnsi="Arial" w:cs="Arial"/>
                <w:b w:val="0"/>
                <w:lang w:val="en-GB"/>
              </w:rPr>
            </w:pPr>
          </w:p>
        </w:tc>
      </w:tr>
      <w:tr w:rsidR="00F1171E" w:rsidRPr="008E5929" w:rsidTr="007222C8">
        <w:trPr>
          <w:trHeight w:val="1262"/>
        </w:trPr>
        <w:tc>
          <w:tcPr>
            <w:tcW w:w="1265" w:type="pct"/>
            <w:noWrap/>
          </w:tcPr>
          <w:p w:rsidR="00F1171E" w:rsidRPr="008E5929" w:rsidRDefault="00F1171E" w:rsidP="007222C8">
            <w:pPr>
              <w:ind w:left="360"/>
              <w:rPr>
                <w:rFonts w:ascii="Arial" w:hAnsi="Arial" w:cs="Arial"/>
                <w:b/>
                <w:bCs/>
                <w:sz w:val="20"/>
                <w:szCs w:val="20"/>
                <w:lang w:val="en-GB"/>
              </w:rPr>
            </w:pPr>
            <w:r w:rsidRPr="008E5929">
              <w:rPr>
                <w:rFonts w:ascii="Arial" w:hAnsi="Arial" w:cs="Arial"/>
                <w:b/>
                <w:bCs/>
                <w:sz w:val="20"/>
                <w:szCs w:val="20"/>
                <w:lang w:val="en-GB"/>
              </w:rPr>
              <w:t>Is the title of the article suitable?</w:t>
            </w:r>
          </w:p>
          <w:p w:rsidR="00F1171E" w:rsidRPr="008E5929" w:rsidRDefault="00F1171E" w:rsidP="007222C8">
            <w:pPr>
              <w:ind w:left="360"/>
              <w:rPr>
                <w:rFonts w:ascii="Arial" w:hAnsi="Arial" w:cs="Arial"/>
                <w:b/>
                <w:bCs/>
                <w:sz w:val="20"/>
                <w:szCs w:val="20"/>
                <w:lang w:val="en-GB"/>
              </w:rPr>
            </w:pPr>
            <w:r w:rsidRPr="008E5929">
              <w:rPr>
                <w:rFonts w:ascii="Arial" w:hAnsi="Arial" w:cs="Arial"/>
                <w:b/>
                <w:bCs/>
                <w:sz w:val="20"/>
                <w:szCs w:val="20"/>
                <w:lang w:val="en-GB"/>
              </w:rPr>
              <w:t>(If not please suggest an alternative title)</w:t>
            </w:r>
          </w:p>
          <w:p w:rsidR="00F1171E" w:rsidRPr="008E5929" w:rsidRDefault="00F1171E" w:rsidP="007222C8">
            <w:pPr>
              <w:pStyle w:val="Heading2"/>
              <w:jc w:val="left"/>
              <w:rPr>
                <w:rFonts w:ascii="Arial" w:hAnsi="Arial" w:cs="Arial"/>
                <w:u w:val="single"/>
                <w:lang w:val="en-GB"/>
              </w:rPr>
            </w:pPr>
          </w:p>
        </w:tc>
        <w:tc>
          <w:tcPr>
            <w:tcW w:w="2212" w:type="pct"/>
          </w:tcPr>
          <w:p w:rsidR="00F1171E" w:rsidRPr="008E5929" w:rsidRDefault="00B1381E" w:rsidP="007222C8">
            <w:pPr>
              <w:ind w:left="360"/>
              <w:rPr>
                <w:rFonts w:ascii="Arial" w:hAnsi="Arial" w:cs="Arial"/>
                <w:b/>
                <w:bCs/>
                <w:sz w:val="20"/>
                <w:szCs w:val="20"/>
                <w:lang w:val="en-GB"/>
              </w:rPr>
            </w:pPr>
            <w:r w:rsidRPr="008E5929">
              <w:rPr>
                <w:rFonts w:ascii="Arial" w:hAnsi="Arial" w:cs="Arial"/>
                <w:sz w:val="20"/>
                <w:szCs w:val="20"/>
              </w:rPr>
              <w:t>The title accurately reflects the content, but could be slightly refined for clarity:</w:t>
            </w:r>
            <w:r w:rsidRPr="008E5929">
              <w:rPr>
                <w:rFonts w:ascii="Arial" w:hAnsi="Arial" w:cs="Arial"/>
                <w:sz w:val="20"/>
                <w:szCs w:val="20"/>
              </w:rPr>
              <w:br/>
            </w:r>
            <w:r w:rsidRPr="008E5929">
              <w:rPr>
                <w:rStyle w:val="Strong"/>
                <w:rFonts w:ascii="Arial" w:eastAsia="MS Mincho" w:hAnsi="Arial" w:cs="Arial"/>
                <w:sz w:val="20"/>
                <w:szCs w:val="20"/>
              </w:rPr>
              <w:t>"Comparative Analysis of CTI Integration in Contact Centers: Security, Scalability, and Challenges in Legacy vs. Cloud-Based Systems."</w:t>
            </w:r>
          </w:p>
        </w:tc>
        <w:tc>
          <w:tcPr>
            <w:tcW w:w="1523" w:type="pct"/>
          </w:tcPr>
          <w:p w:rsidR="00F1171E" w:rsidRPr="008E5929" w:rsidRDefault="00F1171E" w:rsidP="007222C8">
            <w:pPr>
              <w:pStyle w:val="Heading2"/>
              <w:jc w:val="left"/>
              <w:rPr>
                <w:rFonts w:ascii="Arial" w:hAnsi="Arial" w:cs="Arial"/>
                <w:b w:val="0"/>
                <w:lang w:val="en-GB"/>
              </w:rPr>
            </w:pPr>
          </w:p>
        </w:tc>
      </w:tr>
      <w:tr w:rsidR="00F1171E" w:rsidRPr="008E5929" w:rsidTr="00F464EC">
        <w:trPr>
          <w:trHeight w:val="800"/>
        </w:trPr>
        <w:tc>
          <w:tcPr>
            <w:tcW w:w="1265" w:type="pct"/>
            <w:noWrap/>
          </w:tcPr>
          <w:p w:rsidR="00F1171E" w:rsidRPr="008E5929" w:rsidRDefault="00F1171E" w:rsidP="007222C8">
            <w:pPr>
              <w:pStyle w:val="Heading2"/>
              <w:ind w:left="360"/>
              <w:jc w:val="left"/>
              <w:rPr>
                <w:rFonts w:ascii="Arial" w:hAnsi="Arial" w:cs="Arial"/>
                <w:lang w:val="en-GB"/>
              </w:rPr>
            </w:pPr>
            <w:r w:rsidRPr="008E5929">
              <w:rPr>
                <w:rFonts w:ascii="Arial" w:hAnsi="Arial" w:cs="Arial"/>
                <w:lang w:val="en-GB"/>
              </w:rPr>
              <w:t>Is the abstract of the article comprehensive? Do you suggest the addition (or deletion) of some points in this section? Please write your suggestions here.</w:t>
            </w:r>
          </w:p>
          <w:p w:rsidR="00F1171E" w:rsidRPr="008E5929" w:rsidRDefault="00F1171E" w:rsidP="007222C8">
            <w:pPr>
              <w:pStyle w:val="Heading2"/>
              <w:jc w:val="left"/>
              <w:rPr>
                <w:rFonts w:ascii="Arial" w:hAnsi="Arial" w:cs="Arial"/>
                <w:u w:val="single"/>
                <w:lang w:val="en-GB"/>
              </w:rPr>
            </w:pPr>
          </w:p>
        </w:tc>
        <w:tc>
          <w:tcPr>
            <w:tcW w:w="2212" w:type="pct"/>
          </w:tcPr>
          <w:p w:rsidR="00F1171E" w:rsidRPr="008E5929" w:rsidRDefault="00B1381E" w:rsidP="007222C8">
            <w:pPr>
              <w:ind w:left="360"/>
              <w:rPr>
                <w:rFonts w:ascii="Arial" w:hAnsi="Arial" w:cs="Arial"/>
                <w:b/>
                <w:bCs/>
                <w:sz w:val="20"/>
                <w:szCs w:val="20"/>
                <w:lang w:val="en-GB"/>
              </w:rPr>
            </w:pPr>
            <w:r w:rsidRPr="008E5929">
              <w:rPr>
                <w:rFonts w:ascii="Arial" w:hAnsi="Arial" w:cs="Arial"/>
                <w:b/>
                <w:bCs/>
                <w:sz w:val="20"/>
                <w:szCs w:val="20"/>
              </w:rPr>
              <w:t>The abstract is comprehensive, clearly outlining the study’s aim, methodology, and key findings.</w:t>
            </w:r>
          </w:p>
        </w:tc>
        <w:tc>
          <w:tcPr>
            <w:tcW w:w="1523" w:type="pct"/>
          </w:tcPr>
          <w:p w:rsidR="00F1171E" w:rsidRPr="008E5929" w:rsidRDefault="00F1171E" w:rsidP="007222C8">
            <w:pPr>
              <w:pStyle w:val="Heading2"/>
              <w:jc w:val="left"/>
              <w:rPr>
                <w:rFonts w:ascii="Arial" w:hAnsi="Arial" w:cs="Arial"/>
                <w:b w:val="0"/>
                <w:lang w:val="en-GB"/>
              </w:rPr>
            </w:pPr>
          </w:p>
        </w:tc>
      </w:tr>
      <w:tr w:rsidR="00F1171E" w:rsidRPr="008E5929" w:rsidTr="007222C8">
        <w:trPr>
          <w:trHeight w:val="859"/>
        </w:trPr>
        <w:tc>
          <w:tcPr>
            <w:tcW w:w="1265" w:type="pct"/>
            <w:noWrap/>
          </w:tcPr>
          <w:p w:rsidR="00F1171E" w:rsidRPr="008E5929" w:rsidRDefault="00DC6FED" w:rsidP="007222C8">
            <w:pPr>
              <w:ind w:left="360"/>
              <w:rPr>
                <w:rFonts w:ascii="Arial" w:hAnsi="Arial" w:cs="Arial"/>
                <w:b/>
                <w:bCs/>
                <w:sz w:val="20"/>
                <w:szCs w:val="20"/>
                <w:u w:val="single"/>
                <w:lang w:val="en-GB"/>
              </w:rPr>
            </w:pPr>
            <w:r w:rsidRPr="008E5929">
              <w:rPr>
                <w:rFonts w:ascii="Arial" w:hAnsi="Arial" w:cs="Arial"/>
                <w:b/>
                <w:bCs/>
                <w:sz w:val="20"/>
                <w:szCs w:val="20"/>
                <w:lang w:val="en-GB"/>
              </w:rPr>
              <w:t>Is the manuscript scientifically, correct? Please write here.</w:t>
            </w:r>
          </w:p>
        </w:tc>
        <w:tc>
          <w:tcPr>
            <w:tcW w:w="2212" w:type="pct"/>
          </w:tcPr>
          <w:p w:rsidR="00F1171E" w:rsidRPr="008E5929" w:rsidRDefault="00B1381E" w:rsidP="007222C8">
            <w:pPr>
              <w:pStyle w:val="ListParagraph"/>
              <w:ind w:left="0"/>
              <w:rPr>
                <w:rFonts w:ascii="Arial" w:hAnsi="Arial" w:cs="Arial"/>
                <w:b/>
                <w:bCs/>
                <w:sz w:val="20"/>
                <w:szCs w:val="20"/>
                <w:lang w:val="en-GB"/>
              </w:rPr>
            </w:pPr>
            <w:r w:rsidRPr="008E5929">
              <w:rPr>
                <w:rFonts w:ascii="Arial" w:hAnsi="Arial" w:cs="Arial"/>
                <w:b/>
                <w:bCs/>
                <w:sz w:val="20"/>
                <w:szCs w:val="20"/>
              </w:rPr>
              <w:t>The manuscript is scientifically sound with a robust comparative framework supported by case studies, technical evaluations, and industry trends. The discussion on encryption protocols, API integrations, and compliance with GDPR and HIPAA is thorough. However, the study could benefit from more empirical data, such as performance benchmarks or real-time analytics results.</w:t>
            </w:r>
          </w:p>
        </w:tc>
        <w:tc>
          <w:tcPr>
            <w:tcW w:w="1523" w:type="pct"/>
          </w:tcPr>
          <w:p w:rsidR="00F1171E" w:rsidRPr="008E5929" w:rsidRDefault="00F1171E" w:rsidP="007222C8">
            <w:pPr>
              <w:pStyle w:val="Heading2"/>
              <w:jc w:val="left"/>
              <w:rPr>
                <w:rFonts w:ascii="Arial" w:hAnsi="Arial" w:cs="Arial"/>
                <w:b w:val="0"/>
                <w:lang w:val="en-GB"/>
              </w:rPr>
            </w:pPr>
          </w:p>
        </w:tc>
      </w:tr>
      <w:tr w:rsidR="00F1171E" w:rsidRPr="008E5929" w:rsidTr="007222C8">
        <w:trPr>
          <w:trHeight w:val="703"/>
        </w:trPr>
        <w:tc>
          <w:tcPr>
            <w:tcW w:w="1265" w:type="pct"/>
            <w:noWrap/>
          </w:tcPr>
          <w:p w:rsidR="00F1171E" w:rsidRPr="008E5929" w:rsidRDefault="00F1171E" w:rsidP="007222C8">
            <w:pPr>
              <w:ind w:left="360"/>
              <w:rPr>
                <w:rFonts w:ascii="Arial" w:hAnsi="Arial" w:cs="Arial"/>
                <w:b/>
                <w:bCs/>
                <w:sz w:val="20"/>
                <w:szCs w:val="20"/>
                <w:lang w:val="en-GB"/>
              </w:rPr>
            </w:pPr>
            <w:r w:rsidRPr="008E5929">
              <w:rPr>
                <w:rFonts w:ascii="Arial" w:hAnsi="Arial" w:cs="Arial"/>
                <w:b/>
                <w:bCs/>
                <w:sz w:val="20"/>
                <w:szCs w:val="20"/>
                <w:lang w:val="en-GB"/>
              </w:rPr>
              <w:t>Are the references sufficient and recent? If you have suggestions of additional references, please mention them in the review form.</w:t>
            </w:r>
          </w:p>
          <w:p w:rsidR="00F1171E" w:rsidRPr="008E5929" w:rsidRDefault="00F1171E" w:rsidP="007222C8">
            <w:pPr>
              <w:ind w:left="360"/>
              <w:rPr>
                <w:rFonts w:ascii="Arial" w:hAnsi="Arial" w:cs="Arial"/>
                <w:b/>
                <w:bCs/>
                <w:sz w:val="20"/>
                <w:szCs w:val="20"/>
                <w:u w:val="single"/>
                <w:lang w:val="en-GB"/>
              </w:rPr>
            </w:pPr>
            <w:r w:rsidRPr="008E5929">
              <w:rPr>
                <w:rFonts w:ascii="Arial" w:hAnsi="Arial" w:cs="Arial"/>
                <w:b/>
                <w:bCs/>
                <w:sz w:val="20"/>
                <w:szCs w:val="20"/>
                <w:u w:val="single"/>
                <w:lang w:val="en-GB"/>
              </w:rPr>
              <w:t>-</w:t>
            </w:r>
          </w:p>
        </w:tc>
        <w:tc>
          <w:tcPr>
            <w:tcW w:w="2212" w:type="pct"/>
          </w:tcPr>
          <w:p w:rsidR="00F1171E" w:rsidRPr="008E5929" w:rsidRDefault="00B1381E" w:rsidP="007222C8">
            <w:pPr>
              <w:pStyle w:val="ListParagraph"/>
              <w:ind w:left="0"/>
              <w:rPr>
                <w:rFonts w:ascii="Arial" w:hAnsi="Arial" w:cs="Arial"/>
                <w:b/>
                <w:bCs/>
                <w:sz w:val="20"/>
                <w:szCs w:val="20"/>
                <w:lang w:val="en-GB"/>
              </w:rPr>
            </w:pPr>
            <w:r w:rsidRPr="008E5929">
              <w:rPr>
                <w:rFonts w:ascii="Arial" w:hAnsi="Arial" w:cs="Arial"/>
                <w:b/>
                <w:bCs/>
                <w:sz w:val="20"/>
                <w:szCs w:val="20"/>
              </w:rPr>
              <w:t>The references are extensive, covering both foundational and recent works. However, integrating more recent academic studies (2022–2024) on CTI, cloud security, and AI-driven contact center technologies would enhance the literature review.</w:t>
            </w:r>
          </w:p>
        </w:tc>
        <w:tc>
          <w:tcPr>
            <w:tcW w:w="1523" w:type="pct"/>
          </w:tcPr>
          <w:p w:rsidR="00F1171E" w:rsidRPr="008E5929" w:rsidRDefault="00F1171E" w:rsidP="007222C8">
            <w:pPr>
              <w:pStyle w:val="Heading2"/>
              <w:jc w:val="left"/>
              <w:rPr>
                <w:rFonts w:ascii="Arial" w:hAnsi="Arial" w:cs="Arial"/>
                <w:b w:val="0"/>
                <w:lang w:val="en-GB"/>
              </w:rPr>
            </w:pPr>
          </w:p>
        </w:tc>
      </w:tr>
      <w:tr w:rsidR="00F1171E" w:rsidRPr="008E5929" w:rsidTr="00F464EC">
        <w:trPr>
          <w:trHeight w:val="800"/>
        </w:trPr>
        <w:tc>
          <w:tcPr>
            <w:tcW w:w="1265" w:type="pct"/>
            <w:noWrap/>
          </w:tcPr>
          <w:p w:rsidR="00F1171E" w:rsidRPr="008E5929" w:rsidRDefault="00F1171E" w:rsidP="007222C8">
            <w:pPr>
              <w:pStyle w:val="Heading2"/>
              <w:jc w:val="left"/>
              <w:rPr>
                <w:rFonts w:ascii="Arial" w:hAnsi="Arial" w:cs="Arial"/>
                <w:b w:val="0"/>
                <w:lang w:val="en-GB"/>
              </w:rPr>
            </w:pPr>
          </w:p>
          <w:p w:rsidR="00F1171E" w:rsidRPr="008E5929" w:rsidRDefault="00F1171E" w:rsidP="007222C8">
            <w:pPr>
              <w:pStyle w:val="Heading2"/>
              <w:ind w:left="360"/>
              <w:jc w:val="left"/>
              <w:rPr>
                <w:rFonts w:ascii="Arial" w:hAnsi="Arial" w:cs="Arial"/>
                <w:bCs w:val="0"/>
                <w:lang w:val="en-GB"/>
              </w:rPr>
            </w:pPr>
            <w:r w:rsidRPr="008E5929">
              <w:rPr>
                <w:rFonts w:ascii="Arial" w:hAnsi="Arial" w:cs="Arial"/>
                <w:bCs w:val="0"/>
                <w:lang w:val="en-GB"/>
              </w:rPr>
              <w:t>Is the language/English quality of the article suitable for scholarly communications?</w:t>
            </w:r>
          </w:p>
          <w:p w:rsidR="00F1171E" w:rsidRPr="008E5929" w:rsidRDefault="00F1171E" w:rsidP="007222C8">
            <w:pPr>
              <w:rPr>
                <w:rFonts w:ascii="Arial" w:hAnsi="Arial" w:cs="Arial"/>
                <w:sz w:val="20"/>
                <w:szCs w:val="20"/>
                <w:lang w:val="en-GB"/>
              </w:rPr>
            </w:pPr>
          </w:p>
        </w:tc>
        <w:tc>
          <w:tcPr>
            <w:tcW w:w="2212" w:type="pct"/>
          </w:tcPr>
          <w:p w:rsidR="00F1171E" w:rsidRPr="008E5929" w:rsidRDefault="00B1381E" w:rsidP="007222C8">
            <w:pPr>
              <w:rPr>
                <w:rFonts w:ascii="Arial" w:hAnsi="Arial" w:cs="Arial"/>
                <w:sz w:val="20"/>
                <w:szCs w:val="20"/>
                <w:lang w:val="en-GB"/>
              </w:rPr>
            </w:pPr>
            <w:r w:rsidRPr="008E5929">
              <w:rPr>
                <w:rFonts w:ascii="Arial" w:hAnsi="Arial" w:cs="Arial"/>
                <w:sz w:val="20"/>
                <w:szCs w:val="20"/>
              </w:rPr>
              <w:t>The language is generally clear and suitable for scholarly communication. Minor grammatical corrections and rephrasing of lengthy, complex sentences would improve readability and coherence.</w:t>
            </w:r>
          </w:p>
        </w:tc>
        <w:tc>
          <w:tcPr>
            <w:tcW w:w="1523" w:type="pct"/>
          </w:tcPr>
          <w:p w:rsidR="00F1171E" w:rsidRPr="008E5929" w:rsidRDefault="00F1171E" w:rsidP="007222C8">
            <w:pPr>
              <w:rPr>
                <w:rFonts w:ascii="Arial" w:hAnsi="Arial" w:cs="Arial"/>
                <w:sz w:val="20"/>
                <w:szCs w:val="20"/>
                <w:lang w:val="en-GB"/>
              </w:rPr>
            </w:pPr>
          </w:p>
        </w:tc>
      </w:tr>
      <w:tr w:rsidR="00F1171E" w:rsidRPr="008E5929" w:rsidTr="007222C8">
        <w:trPr>
          <w:trHeight w:val="1178"/>
        </w:trPr>
        <w:tc>
          <w:tcPr>
            <w:tcW w:w="1265" w:type="pct"/>
            <w:noWrap/>
          </w:tcPr>
          <w:p w:rsidR="00F1171E" w:rsidRPr="008E5929" w:rsidRDefault="00F1171E" w:rsidP="007222C8">
            <w:pPr>
              <w:pStyle w:val="Heading2"/>
              <w:jc w:val="left"/>
              <w:rPr>
                <w:rFonts w:ascii="Arial" w:hAnsi="Arial" w:cs="Arial"/>
                <w:b w:val="0"/>
                <w:bCs w:val="0"/>
                <w:lang w:val="en-GB"/>
              </w:rPr>
            </w:pPr>
            <w:r w:rsidRPr="008E5929">
              <w:rPr>
                <w:rFonts w:ascii="Arial" w:hAnsi="Arial" w:cs="Arial"/>
                <w:bCs w:val="0"/>
                <w:u w:val="single"/>
                <w:lang w:val="en-GB"/>
              </w:rPr>
              <w:t>Optional/</w:t>
            </w:r>
            <w:proofErr w:type="spellStart"/>
            <w:r w:rsidRPr="008E5929">
              <w:rPr>
                <w:rFonts w:ascii="Arial" w:hAnsi="Arial" w:cs="Arial"/>
                <w:bCs w:val="0"/>
                <w:u w:val="single"/>
                <w:lang w:val="en-GB"/>
              </w:rPr>
              <w:t>General</w:t>
            </w:r>
            <w:r w:rsidRPr="008E5929">
              <w:rPr>
                <w:rFonts w:ascii="Arial" w:hAnsi="Arial" w:cs="Arial"/>
                <w:b w:val="0"/>
                <w:bCs w:val="0"/>
                <w:lang w:val="en-GB"/>
              </w:rPr>
              <w:t>comments</w:t>
            </w:r>
            <w:proofErr w:type="spellEnd"/>
          </w:p>
          <w:p w:rsidR="00F1171E" w:rsidRPr="008E5929" w:rsidRDefault="00F1171E" w:rsidP="007222C8">
            <w:pPr>
              <w:pStyle w:val="Heading2"/>
              <w:jc w:val="left"/>
              <w:rPr>
                <w:rFonts w:ascii="Arial" w:hAnsi="Arial" w:cs="Arial"/>
                <w:b w:val="0"/>
                <w:lang w:val="en-GB"/>
              </w:rPr>
            </w:pPr>
          </w:p>
        </w:tc>
        <w:tc>
          <w:tcPr>
            <w:tcW w:w="2212" w:type="pct"/>
          </w:tcPr>
          <w:p w:rsidR="00F1171E" w:rsidRPr="008E5929" w:rsidRDefault="00B1381E" w:rsidP="007222C8">
            <w:pPr>
              <w:rPr>
                <w:rFonts w:ascii="Arial" w:hAnsi="Arial" w:cs="Arial"/>
                <w:sz w:val="20"/>
                <w:szCs w:val="20"/>
              </w:rPr>
            </w:pPr>
            <w:r w:rsidRPr="008E5929">
              <w:rPr>
                <w:rFonts w:ascii="Arial" w:hAnsi="Arial" w:cs="Arial"/>
                <w:sz w:val="20"/>
                <w:szCs w:val="20"/>
              </w:rPr>
              <w:t>This manuscript is a significant contribution to CTI integration research. Enhancing the study with performance metrics, additional case studies, and recent references would improve its impact. Addressing minor language issues and providing more real-world data comparisons between legacy and cloud systems would strengthen the manuscript’s practical relevance.</w:t>
            </w:r>
          </w:p>
          <w:p w:rsidR="00B1381E" w:rsidRPr="008E5929" w:rsidRDefault="00B1381E" w:rsidP="00B1381E">
            <w:pPr>
              <w:rPr>
                <w:rFonts w:ascii="Arial" w:hAnsi="Arial" w:cs="Arial"/>
                <w:b/>
                <w:bCs/>
                <w:sz w:val="20"/>
                <w:szCs w:val="20"/>
              </w:rPr>
            </w:pPr>
            <w:r w:rsidRPr="008E5929">
              <w:rPr>
                <w:rFonts w:ascii="Arial" w:hAnsi="Arial" w:cs="Arial"/>
                <w:b/>
                <w:bCs/>
                <w:sz w:val="20"/>
                <w:szCs w:val="20"/>
              </w:rPr>
              <w:t>Strengthen the Methodology Section</w:t>
            </w:r>
          </w:p>
          <w:p w:rsidR="00B1381E" w:rsidRPr="008E5929" w:rsidRDefault="00B1381E" w:rsidP="00B1381E">
            <w:pPr>
              <w:numPr>
                <w:ilvl w:val="0"/>
                <w:numId w:val="12"/>
              </w:numPr>
              <w:rPr>
                <w:rFonts w:ascii="Arial" w:hAnsi="Arial" w:cs="Arial"/>
                <w:sz w:val="20"/>
                <w:szCs w:val="20"/>
              </w:rPr>
            </w:pPr>
            <w:r w:rsidRPr="008E5929">
              <w:rPr>
                <w:rFonts w:ascii="Arial" w:hAnsi="Arial" w:cs="Arial"/>
                <w:b/>
                <w:bCs/>
                <w:sz w:val="20"/>
                <w:szCs w:val="20"/>
              </w:rPr>
              <w:t>Clarify Data Collection Methods:</w:t>
            </w:r>
            <w:r w:rsidRPr="008E5929">
              <w:rPr>
                <w:rFonts w:ascii="Arial" w:hAnsi="Arial" w:cs="Arial"/>
                <w:sz w:val="20"/>
                <w:szCs w:val="20"/>
              </w:rPr>
              <w:t xml:space="preserve"> Provide more details about how case studies were selected. Were they based on specific criteria (e.g., company size, industry, technology stack)?</w:t>
            </w:r>
          </w:p>
          <w:p w:rsidR="00B1381E" w:rsidRPr="008E5929" w:rsidRDefault="00B1381E" w:rsidP="00B1381E">
            <w:pPr>
              <w:numPr>
                <w:ilvl w:val="0"/>
                <w:numId w:val="12"/>
              </w:numPr>
              <w:rPr>
                <w:rFonts w:ascii="Arial" w:hAnsi="Arial" w:cs="Arial"/>
                <w:sz w:val="20"/>
                <w:szCs w:val="20"/>
              </w:rPr>
            </w:pPr>
            <w:r w:rsidRPr="008E5929">
              <w:rPr>
                <w:rFonts w:ascii="Arial" w:hAnsi="Arial" w:cs="Arial"/>
                <w:b/>
                <w:bCs/>
                <w:sz w:val="20"/>
                <w:szCs w:val="20"/>
              </w:rPr>
              <w:t>Add Quantitative Analysis:</w:t>
            </w:r>
            <w:r w:rsidRPr="008E5929">
              <w:rPr>
                <w:rFonts w:ascii="Arial" w:hAnsi="Arial" w:cs="Arial"/>
                <w:sz w:val="20"/>
                <w:szCs w:val="20"/>
              </w:rPr>
              <w:t xml:space="preserve"> Include performance benchmarks such as latency, uptime, cost efficiency, or resource utilization metrics to support the comparative analysis.</w:t>
            </w:r>
          </w:p>
          <w:p w:rsidR="00B1381E" w:rsidRPr="008E5929" w:rsidRDefault="00B1381E" w:rsidP="00B1381E">
            <w:pPr>
              <w:numPr>
                <w:ilvl w:val="0"/>
                <w:numId w:val="12"/>
              </w:numPr>
              <w:rPr>
                <w:rFonts w:ascii="Arial" w:hAnsi="Arial" w:cs="Arial"/>
                <w:sz w:val="20"/>
                <w:szCs w:val="20"/>
              </w:rPr>
            </w:pPr>
            <w:r w:rsidRPr="008E5929">
              <w:rPr>
                <w:rFonts w:ascii="Arial" w:hAnsi="Arial" w:cs="Arial"/>
                <w:b/>
                <w:bCs/>
                <w:sz w:val="20"/>
                <w:szCs w:val="20"/>
              </w:rPr>
              <w:t>Address Limitations:</w:t>
            </w:r>
            <w:r w:rsidRPr="008E5929">
              <w:rPr>
                <w:rFonts w:ascii="Arial" w:hAnsi="Arial" w:cs="Arial"/>
                <w:sz w:val="20"/>
                <w:szCs w:val="20"/>
              </w:rPr>
              <w:t xml:space="preserve"> Acknowledge potential biases or gaps in data, especially if certain regions or industries were underrepresented in the case studies.</w:t>
            </w:r>
          </w:p>
          <w:p w:rsidR="00B1381E" w:rsidRPr="008E5929" w:rsidRDefault="00B1381E" w:rsidP="00B1381E">
            <w:pPr>
              <w:rPr>
                <w:rFonts w:ascii="Arial" w:hAnsi="Arial" w:cs="Arial"/>
                <w:b/>
                <w:bCs/>
                <w:sz w:val="20"/>
                <w:szCs w:val="20"/>
              </w:rPr>
            </w:pPr>
            <w:r w:rsidRPr="008E5929">
              <w:rPr>
                <w:rFonts w:ascii="Arial" w:hAnsi="Arial" w:cs="Arial"/>
                <w:b/>
                <w:bCs/>
                <w:sz w:val="20"/>
                <w:szCs w:val="20"/>
              </w:rPr>
              <w:t>Enhance the Security Analysis</w:t>
            </w:r>
          </w:p>
          <w:p w:rsidR="00B1381E" w:rsidRPr="008E5929" w:rsidRDefault="00B1381E" w:rsidP="00B1381E">
            <w:pPr>
              <w:numPr>
                <w:ilvl w:val="0"/>
                <w:numId w:val="13"/>
              </w:numPr>
              <w:rPr>
                <w:rFonts w:ascii="Arial" w:hAnsi="Arial" w:cs="Arial"/>
                <w:sz w:val="20"/>
                <w:szCs w:val="20"/>
              </w:rPr>
            </w:pPr>
            <w:r w:rsidRPr="008E5929">
              <w:rPr>
                <w:rFonts w:ascii="Arial" w:hAnsi="Arial" w:cs="Arial"/>
                <w:b/>
                <w:bCs/>
                <w:sz w:val="20"/>
                <w:szCs w:val="20"/>
              </w:rPr>
              <w:t>More Technical Depth:</w:t>
            </w:r>
            <w:r w:rsidRPr="008E5929">
              <w:rPr>
                <w:rFonts w:ascii="Arial" w:hAnsi="Arial" w:cs="Arial"/>
                <w:sz w:val="20"/>
                <w:szCs w:val="20"/>
              </w:rPr>
              <w:t xml:space="preserve"> Provide technical details on encryption protocols (e.g., AES-256 vs. TLS 1.3), secure API management, and cloud-native security tools (e.g., AWS Shield, Azure Sentinel).</w:t>
            </w:r>
          </w:p>
          <w:p w:rsidR="00B1381E" w:rsidRPr="008E5929" w:rsidRDefault="00B1381E" w:rsidP="00B1381E">
            <w:pPr>
              <w:numPr>
                <w:ilvl w:val="0"/>
                <w:numId w:val="13"/>
              </w:numPr>
              <w:rPr>
                <w:rFonts w:ascii="Arial" w:hAnsi="Arial" w:cs="Arial"/>
                <w:sz w:val="20"/>
                <w:szCs w:val="20"/>
              </w:rPr>
            </w:pPr>
            <w:r w:rsidRPr="008E5929">
              <w:rPr>
                <w:rFonts w:ascii="Arial" w:hAnsi="Arial" w:cs="Arial"/>
                <w:b/>
                <w:bCs/>
                <w:sz w:val="20"/>
                <w:szCs w:val="20"/>
              </w:rPr>
              <w:t>Address Zero Trust Architecture:</w:t>
            </w:r>
            <w:r w:rsidRPr="008E5929">
              <w:rPr>
                <w:rFonts w:ascii="Arial" w:hAnsi="Arial" w:cs="Arial"/>
                <w:sz w:val="20"/>
                <w:szCs w:val="20"/>
              </w:rPr>
              <w:t xml:space="preserve"> Discuss the adoption of zero-trust security models in modern cloud-based systems, which is a growing trend in cybersecurity.</w:t>
            </w:r>
          </w:p>
          <w:p w:rsidR="00B1381E" w:rsidRPr="008E5929" w:rsidRDefault="00B1381E" w:rsidP="00B1381E">
            <w:pPr>
              <w:rPr>
                <w:rFonts w:ascii="Arial" w:hAnsi="Arial" w:cs="Arial"/>
                <w:b/>
                <w:bCs/>
                <w:sz w:val="20"/>
                <w:szCs w:val="20"/>
              </w:rPr>
            </w:pPr>
            <w:r w:rsidRPr="008E5929">
              <w:rPr>
                <w:rFonts w:ascii="Arial" w:hAnsi="Arial" w:cs="Arial"/>
                <w:b/>
                <w:bCs/>
                <w:sz w:val="20"/>
                <w:szCs w:val="20"/>
              </w:rPr>
              <w:t>Revise the Conclusion Section</w:t>
            </w:r>
          </w:p>
          <w:p w:rsidR="00B1381E" w:rsidRPr="008E5929" w:rsidRDefault="00B1381E" w:rsidP="00B1381E">
            <w:pPr>
              <w:numPr>
                <w:ilvl w:val="0"/>
                <w:numId w:val="14"/>
              </w:numPr>
              <w:rPr>
                <w:rFonts w:ascii="Arial" w:hAnsi="Arial" w:cs="Arial"/>
                <w:sz w:val="20"/>
                <w:szCs w:val="20"/>
              </w:rPr>
            </w:pPr>
            <w:r w:rsidRPr="008E5929">
              <w:rPr>
                <w:rFonts w:ascii="Arial" w:hAnsi="Arial" w:cs="Arial"/>
                <w:b/>
                <w:bCs/>
                <w:sz w:val="20"/>
                <w:szCs w:val="20"/>
              </w:rPr>
              <w:t>Future Directions:</w:t>
            </w:r>
            <w:r w:rsidRPr="008E5929">
              <w:rPr>
                <w:rFonts w:ascii="Arial" w:hAnsi="Arial" w:cs="Arial"/>
                <w:sz w:val="20"/>
                <w:szCs w:val="20"/>
              </w:rPr>
              <w:t xml:space="preserve"> Expand on future research areas, such as the integration of AI in CTI, the role of blockchain for secure communications, or predictive analytics for customer behavior.</w:t>
            </w:r>
          </w:p>
          <w:p w:rsidR="00F1171E" w:rsidRPr="008E5929" w:rsidRDefault="00B1381E" w:rsidP="007222C8">
            <w:pPr>
              <w:numPr>
                <w:ilvl w:val="0"/>
                <w:numId w:val="14"/>
              </w:numPr>
              <w:rPr>
                <w:rFonts w:ascii="Arial" w:hAnsi="Arial" w:cs="Arial"/>
                <w:sz w:val="20"/>
                <w:szCs w:val="20"/>
              </w:rPr>
            </w:pPr>
            <w:r w:rsidRPr="008E5929">
              <w:rPr>
                <w:rFonts w:ascii="Arial" w:hAnsi="Arial" w:cs="Arial"/>
                <w:b/>
                <w:bCs/>
                <w:sz w:val="20"/>
                <w:szCs w:val="20"/>
              </w:rPr>
              <w:t>Actionable Recommendations:</w:t>
            </w:r>
            <w:r w:rsidRPr="008E5929">
              <w:rPr>
                <w:rFonts w:ascii="Arial" w:hAnsi="Arial" w:cs="Arial"/>
                <w:sz w:val="20"/>
                <w:szCs w:val="20"/>
              </w:rPr>
              <w:t xml:space="preserve"> Provide clear recommendations for organizations considering CTI integration, based on the findings.</w:t>
            </w:r>
          </w:p>
        </w:tc>
        <w:tc>
          <w:tcPr>
            <w:tcW w:w="1523" w:type="pct"/>
          </w:tcPr>
          <w:p w:rsidR="00F1171E" w:rsidRPr="008E5929" w:rsidRDefault="00F1171E" w:rsidP="007222C8">
            <w:pPr>
              <w:rPr>
                <w:rFonts w:ascii="Arial" w:hAnsi="Arial" w:cs="Arial"/>
                <w:sz w:val="20"/>
                <w:szCs w:val="20"/>
                <w:lang w:val="en-GB"/>
              </w:rPr>
            </w:pPr>
          </w:p>
        </w:tc>
      </w:tr>
    </w:tbl>
    <w:p w:rsidR="00F1171E" w:rsidRPr="008E5929"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20FBB" w:rsidRPr="008E5929" w:rsidTr="00C75B3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20FBB" w:rsidRPr="008E5929" w:rsidRDefault="00F20FBB" w:rsidP="00F20FBB">
            <w:pPr>
              <w:rPr>
                <w:rFonts w:ascii="Arial" w:eastAsia="Arial Unicode MS" w:hAnsi="Arial" w:cs="Arial"/>
                <w:b/>
                <w:sz w:val="20"/>
                <w:szCs w:val="20"/>
                <w:u w:val="single"/>
                <w:lang w:val="en-GB"/>
              </w:rPr>
            </w:pPr>
            <w:bookmarkStart w:id="1" w:name="_Hlk156057883"/>
            <w:bookmarkStart w:id="2" w:name="_Hlk156057704"/>
            <w:r w:rsidRPr="008E5929">
              <w:rPr>
                <w:rFonts w:ascii="Arial" w:eastAsia="Arial Unicode MS" w:hAnsi="Arial" w:cs="Arial"/>
                <w:b/>
                <w:sz w:val="20"/>
                <w:szCs w:val="20"/>
                <w:highlight w:val="yellow"/>
                <w:u w:val="single"/>
                <w:lang w:val="en-GB"/>
              </w:rPr>
              <w:t>PART  2:</w:t>
            </w:r>
            <w:r w:rsidRPr="008E5929">
              <w:rPr>
                <w:rFonts w:ascii="Arial" w:eastAsia="Arial Unicode MS" w:hAnsi="Arial" w:cs="Arial"/>
                <w:b/>
                <w:sz w:val="20"/>
                <w:szCs w:val="20"/>
                <w:u w:val="single"/>
                <w:lang w:val="en-GB"/>
              </w:rPr>
              <w:t xml:space="preserve"> </w:t>
            </w:r>
          </w:p>
          <w:p w:rsidR="00F20FBB" w:rsidRPr="008E5929" w:rsidRDefault="00F20FBB" w:rsidP="00F20FBB">
            <w:pPr>
              <w:rPr>
                <w:rFonts w:ascii="Arial" w:eastAsia="Arial Unicode MS" w:hAnsi="Arial" w:cs="Arial"/>
                <w:b/>
                <w:sz w:val="20"/>
                <w:szCs w:val="20"/>
                <w:u w:val="single"/>
                <w:lang w:val="en-GB"/>
              </w:rPr>
            </w:pPr>
          </w:p>
        </w:tc>
      </w:tr>
      <w:tr w:rsidR="00F20FBB" w:rsidRPr="008E5929" w:rsidTr="00C75B39">
        <w:tc>
          <w:tcPr>
            <w:tcW w:w="1615" w:type="pct"/>
            <w:shd w:val="clear" w:color="auto" w:fill="auto"/>
            <w:noWrap/>
            <w:tcMar>
              <w:top w:w="0" w:type="dxa"/>
              <w:left w:w="108" w:type="dxa"/>
              <w:bottom w:w="0" w:type="dxa"/>
              <w:right w:w="108" w:type="dxa"/>
            </w:tcMar>
            <w:vAlign w:val="center"/>
          </w:tcPr>
          <w:p w:rsidR="00F20FBB" w:rsidRPr="008E5929" w:rsidRDefault="00F20FBB" w:rsidP="00F20FB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F20FBB" w:rsidRPr="008E5929" w:rsidRDefault="00F20FBB" w:rsidP="00F20FBB">
            <w:pPr>
              <w:keepNext/>
              <w:outlineLvl w:val="1"/>
              <w:rPr>
                <w:rFonts w:ascii="Arial" w:eastAsia="MS Mincho" w:hAnsi="Arial" w:cs="Arial"/>
                <w:b/>
                <w:bCs/>
                <w:sz w:val="20"/>
                <w:szCs w:val="20"/>
                <w:lang w:val="en-GB"/>
              </w:rPr>
            </w:pPr>
            <w:r w:rsidRPr="008E5929">
              <w:rPr>
                <w:rFonts w:ascii="Arial" w:eastAsia="MS Mincho" w:hAnsi="Arial" w:cs="Arial"/>
                <w:b/>
                <w:bCs/>
                <w:sz w:val="20"/>
                <w:szCs w:val="20"/>
                <w:lang w:val="en-GB"/>
              </w:rPr>
              <w:t>Reviewer’s comment</w:t>
            </w:r>
          </w:p>
        </w:tc>
        <w:tc>
          <w:tcPr>
            <w:tcW w:w="1691" w:type="pct"/>
            <w:shd w:val="clear" w:color="auto" w:fill="auto"/>
          </w:tcPr>
          <w:p w:rsidR="00F20FBB" w:rsidRPr="008E5929" w:rsidRDefault="00F20FBB" w:rsidP="00F20FBB">
            <w:pPr>
              <w:keepNext/>
              <w:outlineLvl w:val="1"/>
              <w:rPr>
                <w:rFonts w:ascii="Arial" w:eastAsia="MS Mincho" w:hAnsi="Arial" w:cs="Arial"/>
                <w:bCs/>
                <w:sz w:val="20"/>
                <w:szCs w:val="20"/>
                <w:lang w:val="en-GB"/>
              </w:rPr>
            </w:pPr>
            <w:r w:rsidRPr="008E5929">
              <w:rPr>
                <w:rFonts w:ascii="Arial" w:eastAsia="MS Mincho" w:hAnsi="Arial" w:cs="Arial"/>
                <w:b/>
                <w:bCs/>
                <w:sz w:val="20"/>
                <w:szCs w:val="20"/>
                <w:lang w:val="en-GB"/>
              </w:rPr>
              <w:t>Author’s comment</w:t>
            </w:r>
            <w:r w:rsidRPr="008E5929">
              <w:rPr>
                <w:rFonts w:ascii="Arial" w:eastAsia="MS Mincho" w:hAnsi="Arial" w:cs="Arial"/>
                <w:bCs/>
                <w:sz w:val="20"/>
                <w:szCs w:val="20"/>
                <w:lang w:val="en-GB"/>
              </w:rPr>
              <w:t xml:space="preserve"> </w:t>
            </w:r>
            <w:r w:rsidRPr="008E592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20FBB" w:rsidRPr="008E5929" w:rsidTr="00C75B39">
        <w:trPr>
          <w:trHeight w:val="890"/>
        </w:trPr>
        <w:tc>
          <w:tcPr>
            <w:tcW w:w="1615" w:type="pct"/>
            <w:shd w:val="clear" w:color="auto" w:fill="auto"/>
            <w:noWrap/>
            <w:tcMar>
              <w:top w:w="0" w:type="dxa"/>
              <w:left w:w="108" w:type="dxa"/>
              <w:bottom w:w="0" w:type="dxa"/>
              <w:right w:w="108" w:type="dxa"/>
            </w:tcMar>
            <w:vAlign w:val="center"/>
          </w:tcPr>
          <w:p w:rsidR="00F20FBB" w:rsidRPr="008E5929" w:rsidRDefault="00F20FBB" w:rsidP="00F20FBB">
            <w:pPr>
              <w:rPr>
                <w:rFonts w:ascii="Arial" w:eastAsia="Arial Unicode MS" w:hAnsi="Arial" w:cs="Arial"/>
                <w:b/>
                <w:sz w:val="20"/>
                <w:szCs w:val="20"/>
                <w:lang w:val="en-GB"/>
              </w:rPr>
            </w:pPr>
            <w:r w:rsidRPr="008E5929">
              <w:rPr>
                <w:rFonts w:ascii="Arial" w:eastAsia="Arial Unicode MS" w:hAnsi="Arial" w:cs="Arial"/>
                <w:b/>
                <w:sz w:val="20"/>
                <w:szCs w:val="20"/>
                <w:lang w:val="en-GB"/>
              </w:rPr>
              <w:t xml:space="preserve">Are there ethical issues in this manuscript? </w:t>
            </w:r>
          </w:p>
          <w:p w:rsidR="00F20FBB" w:rsidRPr="008E5929" w:rsidRDefault="00F20FBB" w:rsidP="00F20FB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F20FBB" w:rsidRPr="008E5929" w:rsidRDefault="00F20FBB" w:rsidP="00F20FBB">
            <w:pPr>
              <w:rPr>
                <w:rFonts w:ascii="Arial" w:eastAsia="Arial Unicode MS" w:hAnsi="Arial" w:cs="Arial"/>
                <w:i/>
                <w:iCs/>
                <w:sz w:val="20"/>
                <w:szCs w:val="20"/>
                <w:u w:val="single"/>
                <w:lang w:val="en-GB"/>
              </w:rPr>
            </w:pPr>
            <w:r w:rsidRPr="008E5929">
              <w:rPr>
                <w:rFonts w:ascii="Arial" w:eastAsia="Arial Unicode MS" w:hAnsi="Arial" w:cs="Arial"/>
                <w:i/>
                <w:iCs/>
                <w:sz w:val="20"/>
                <w:szCs w:val="20"/>
                <w:u w:val="single"/>
                <w:lang w:val="en-GB"/>
              </w:rPr>
              <w:t xml:space="preserve">(If yes, </w:t>
            </w:r>
            <w:proofErr w:type="gramStart"/>
            <w:r w:rsidRPr="008E5929">
              <w:rPr>
                <w:rFonts w:ascii="Arial" w:eastAsia="Arial Unicode MS" w:hAnsi="Arial" w:cs="Arial"/>
                <w:i/>
                <w:iCs/>
                <w:sz w:val="20"/>
                <w:szCs w:val="20"/>
                <w:u w:val="single"/>
                <w:lang w:val="en-GB"/>
              </w:rPr>
              <w:t>Kindly</w:t>
            </w:r>
            <w:proofErr w:type="gramEnd"/>
            <w:r w:rsidRPr="008E5929">
              <w:rPr>
                <w:rFonts w:ascii="Arial" w:eastAsia="Arial Unicode MS" w:hAnsi="Arial" w:cs="Arial"/>
                <w:i/>
                <w:iCs/>
                <w:sz w:val="20"/>
                <w:szCs w:val="20"/>
                <w:u w:val="single"/>
                <w:lang w:val="en-GB"/>
              </w:rPr>
              <w:t xml:space="preserve"> please write down the ethical issues here in details)</w:t>
            </w:r>
          </w:p>
          <w:p w:rsidR="00F20FBB" w:rsidRPr="008E5929" w:rsidRDefault="00F20FBB" w:rsidP="00F20FBB">
            <w:pPr>
              <w:rPr>
                <w:rFonts w:ascii="Arial" w:eastAsia="Arial Unicode MS" w:hAnsi="Arial" w:cs="Arial"/>
                <w:sz w:val="20"/>
                <w:szCs w:val="20"/>
                <w:lang w:val="en-GB"/>
              </w:rPr>
            </w:pPr>
          </w:p>
          <w:p w:rsidR="00F20FBB" w:rsidRPr="008E5929" w:rsidRDefault="00F20FBB" w:rsidP="00F20FBB">
            <w:pPr>
              <w:rPr>
                <w:rFonts w:ascii="Arial" w:eastAsia="Arial Unicode MS" w:hAnsi="Arial" w:cs="Arial"/>
                <w:sz w:val="20"/>
                <w:szCs w:val="20"/>
                <w:lang w:val="en-GB"/>
              </w:rPr>
            </w:pPr>
          </w:p>
        </w:tc>
        <w:tc>
          <w:tcPr>
            <w:tcW w:w="1691" w:type="pct"/>
            <w:shd w:val="clear" w:color="auto" w:fill="auto"/>
            <w:vAlign w:val="center"/>
          </w:tcPr>
          <w:p w:rsidR="00F20FBB" w:rsidRPr="008E5929" w:rsidRDefault="00F20FBB" w:rsidP="00F20FBB">
            <w:pPr>
              <w:rPr>
                <w:rFonts w:ascii="Arial" w:eastAsia="Arial Unicode MS" w:hAnsi="Arial" w:cs="Arial"/>
                <w:sz w:val="20"/>
                <w:szCs w:val="20"/>
                <w:lang w:val="en-GB"/>
              </w:rPr>
            </w:pPr>
          </w:p>
          <w:p w:rsidR="00F20FBB" w:rsidRPr="008E5929" w:rsidRDefault="00F20FBB" w:rsidP="00F20FBB">
            <w:pPr>
              <w:rPr>
                <w:rFonts w:ascii="Arial" w:eastAsia="Arial Unicode MS" w:hAnsi="Arial" w:cs="Arial"/>
                <w:sz w:val="20"/>
                <w:szCs w:val="20"/>
                <w:lang w:val="en-GB"/>
              </w:rPr>
            </w:pPr>
          </w:p>
          <w:p w:rsidR="00F20FBB" w:rsidRPr="008E5929" w:rsidRDefault="00F20FBB" w:rsidP="00F20FBB">
            <w:pPr>
              <w:rPr>
                <w:rFonts w:ascii="Arial" w:eastAsia="Arial Unicode MS" w:hAnsi="Arial" w:cs="Arial"/>
                <w:sz w:val="20"/>
                <w:szCs w:val="20"/>
                <w:lang w:val="en-GB"/>
              </w:rPr>
            </w:pPr>
          </w:p>
        </w:tc>
      </w:tr>
      <w:bookmarkEnd w:id="1"/>
    </w:tbl>
    <w:p w:rsidR="00F20FBB" w:rsidRPr="008E5929" w:rsidRDefault="00F20FBB" w:rsidP="00F20FB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20FBB" w:rsidRPr="008E5929" w:rsidTr="00C75B3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F20FBB" w:rsidRPr="008E5929" w:rsidRDefault="00F20FBB" w:rsidP="00F20FBB">
            <w:pPr>
              <w:rPr>
                <w:rFonts w:ascii="Arial" w:hAnsi="Arial" w:cs="Arial"/>
                <w:b/>
                <w:sz w:val="20"/>
                <w:szCs w:val="20"/>
                <w:u w:val="single"/>
                <w:lang w:val="en-GB"/>
              </w:rPr>
            </w:pPr>
            <w:r w:rsidRPr="008E5929">
              <w:rPr>
                <w:rFonts w:ascii="Arial" w:hAnsi="Arial" w:cs="Arial"/>
                <w:b/>
                <w:sz w:val="20"/>
                <w:szCs w:val="20"/>
                <w:u w:val="single"/>
                <w:lang w:val="en-GB"/>
              </w:rPr>
              <w:t>Reviewer Details:</w:t>
            </w:r>
          </w:p>
          <w:p w:rsidR="00F20FBB" w:rsidRPr="008E5929" w:rsidRDefault="00F20FBB" w:rsidP="00F20FBB">
            <w:pPr>
              <w:rPr>
                <w:rFonts w:ascii="Arial" w:hAnsi="Arial" w:cs="Arial"/>
                <w:bCs/>
                <w:sz w:val="20"/>
                <w:szCs w:val="20"/>
                <w:u w:val="single"/>
                <w:lang w:val="en-GB"/>
              </w:rPr>
            </w:pPr>
          </w:p>
        </w:tc>
      </w:tr>
      <w:tr w:rsidR="00F20FBB" w:rsidRPr="008E5929" w:rsidTr="00C75B39">
        <w:trPr>
          <w:trHeight w:val="77"/>
        </w:trPr>
        <w:tc>
          <w:tcPr>
            <w:tcW w:w="1409" w:type="pct"/>
            <w:shd w:val="clear" w:color="auto" w:fill="auto"/>
            <w:noWrap/>
            <w:tcMar>
              <w:top w:w="0" w:type="dxa"/>
              <w:left w:w="108" w:type="dxa"/>
              <w:bottom w:w="0" w:type="dxa"/>
              <w:right w:w="108" w:type="dxa"/>
            </w:tcMar>
            <w:vAlign w:val="center"/>
          </w:tcPr>
          <w:p w:rsidR="00F20FBB" w:rsidRPr="008E5929" w:rsidRDefault="00F20FBB" w:rsidP="00F20FBB">
            <w:pPr>
              <w:rPr>
                <w:rFonts w:ascii="Arial" w:hAnsi="Arial" w:cs="Arial"/>
                <w:sz w:val="20"/>
                <w:szCs w:val="20"/>
                <w:lang w:val="en-GB"/>
              </w:rPr>
            </w:pPr>
            <w:r w:rsidRPr="008E592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F20FBB" w:rsidRPr="008E5929" w:rsidRDefault="003732A3" w:rsidP="00F20FBB">
            <w:pPr>
              <w:rPr>
                <w:rFonts w:ascii="Arial" w:hAnsi="Arial" w:cs="Arial"/>
                <w:b/>
                <w:bCs/>
                <w:sz w:val="20"/>
                <w:szCs w:val="20"/>
              </w:rPr>
            </w:pPr>
            <w:r w:rsidRPr="003732A3">
              <w:rPr>
                <w:rFonts w:ascii="Arial" w:hAnsi="Arial" w:cs="Arial"/>
                <w:b/>
                <w:bCs/>
                <w:sz w:val="20"/>
                <w:szCs w:val="20"/>
              </w:rPr>
              <w:t xml:space="preserve">A. S. </w:t>
            </w:r>
            <w:proofErr w:type="spellStart"/>
            <w:r w:rsidRPr="003732A3">
              <w:rPr>
                <w:rFonts w:ascii="Arial" w:hAnsi="Arial" w:cs="Arial"/>
                <w:b/>
                <w:bCs/>
                <w:sz w:val="20"/>
                <w:szCs w:val="20"/>
              </w:rPr>
              <w:t>Manekar</w:t>
            </w:r>
            <w:proofErr w:type="spellEnd"/>
          </w:p>
        </w:tc>
      </w:tr>
      <w:tr w:rsidR="00F20FBB" w:rsidRPr="008E5929" w:rsidTr="00C75B39">
        <w:trPr>
          <w:trHeight w:val="77"/>
        </w:trPr>
        <w:tc>
          <w:tcPr>
            <w:tcW w:w="1409" w:type="pct"/>
            <w:shd w:val="clear" w:color="auto" w:fill="auto"/>
            <w:noWrap/>
            <w:tcMar>
              <w:top w:w="0" w:type="dxa"/>
              <w:left w:w="108" w:type="dxa"/>
              <w:bottom w:w="0" w:type="dxa"/>
              <w:right w:w="108" w:type="dxa"/>
            </w:tcMar>
            <w:vAlign w:val="center"/>
          </w:tcPr>
          <w:p w:rsidR="00F20FBB" w:rsidRPr="008E5929" w:rsidRDefault="00F20FBB" w:rsidP="00F20FBB">
            <w:pPr>
              <w:rPr>
                <w:rFonts w:ascii="Arial" w:hAnsi="Arial" w:cs="Arial"/>
                <w:sz w:val="20"/>
                <w:szCs w:val="20"/>
                <w:lang w:val="en-GB"/>
              </w:rPr>
            </w:pPr>
            <w:r w:rsidRPr="008E592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F20FBB" w:rsidRPr="008E5929" w:rsidRDefault="003732A3" w:rsidP="003732A3">
            <w:pPr>
              <w:rPr>
                <w:rFonts w:ascii="Arial" w:hAnsi="Arial" w:cs="Arial"/>
                <w:b/>
                <w:bCs/>
                <w:sz w:val="20"/>
                <w:szCs w:val="20"/>
                <w:lang w:val="en-GB"/>
              </w:rPr>
            </w:pPr>
            <w:r w:rsidRPr="003732A3">
              <w:rPr>
                <w:rFonts w:ascii="Arial" w:hAnsi="Arial" w:cs="Arial"/>
                <w:b/>
                <w:bCs/>
                <w:sz w:val="20"/>
                <w:szCs w:val="20"/>
                <w:lang w:val="en-GB"/>
              </w:rPr>
              <w:t>SSGMCE</w:t>
            </w:r>
            <w:r>
              <w:rPr>
                <w:rFonts w:ascii="Arial" w:hAnsi="Arial" w:cs="Arial"/>
                <w:b/>
                <w:bCs/>
                <w:sz w:val="20"/>
                <w:szCs w:val="20"/>
                <w:lang w:val="en-GB"/>
              </w:rPr>
              <w:t xml:space="preserve">, </w:t>
            </w:r>
            <w:r w:rsidRPr="003732A3">
              <w:rPr>
                <w:rFonts w:ascii="Arial" w:hAnsi="Arial" w:cs="Arial"/>
                <w:b/>
                <w:bCs/>
                <w:sz w:val="20"/>
                <w:szCs w:val="20"/>
                <w:lang w:val="en-GB"/>
              </w:rPr>
              <w:t>SGBAU</w:t>
            </w:r>
            <w:r>
              <w:rPr>
                <w:rFonts w:ascii="Arial" w:hAnsi="Arial" w:cs="Arial"/>
                <w:b/>
                <w:bCs/>
                <w:sz w:val="20"/>
                <w:szCs w:val="20"/>
                <w:lang w:val="en-GB"/>
              </w:rPr>
              <w:t xml:space="preserve">, </w:t>
            </w:r>
            <w:r w:rsidRPr="003732A3">
              <w:rPr>
                <w:rFonts w:ascii="Arial" w:hAnsi="Arial" w:cs="Arial"/>
                <w:b/>
                <w:bCs/>
                <w:sz w:val="20"/>
                <w:szCs w:val="20"/>
                <w:lang w:val="en-GB"/>
              </w:rPr>
              <w:t>India</w:t>
            </w:r>
          </w:p>
        </w:tc>
      </w:tr>
      <w:bookmarkEnd w:id="2"/>
    </w:tbl>
    <w:p w:rsidR="00F20FBB" w:rsidRPr="008E5929" w:rsidRDefault="00F20FBB" w:rsidP="00F20FBB">
      <w:pPr>
        <w:rPr>
          <w:rFonts w:ascii="Arial" w:hAnsi="Arial" w:cs="Arial"/>
          <w:sz w:val="20"/>
          <w:szCs w:val="20"/>
        </w:rPr>
      </w:pPr>
    </w:p>
    <w:p w:rsidR="00F1171E" w:rsidRPr="008E5929" w:rsidRDefault="00F1171E" w:rsidP="00F1171E">
      <w:pPr>
        <w:pStyle w:val="BodyText"/>
        <w:rPr>
          <w:rFonts w:ascii="Arial" w:hAnsi="Arial" w:cs="Arial"/>
          <w:b/>
          <w:bCs/>
          <w:sz w:val="20"/>
          <w:szCs w:val="20"/>
          <w:u w:val="single"/>
          <w:lang w:val="en-GB"/>
        </w:rPr>
      </w:pPr>
    </w:p>
    <w:sectPr w:rsidR="00F1171E" w:rsidRPr="008E592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54F" w:rsidRPr="0000007A" w:rsidRDefault="00E9154F" w:rsidP="0099583E">
      <w:r>
        <w:separator/>
      </w:r>
    </w:p>
  </w:endnote>
  <w:endnote w:type="continuationSeparator" w:id="0">
    <w:p w:rsidR="00E9154F" w:rsidRPr="0000007A" w:rsidRDefault="00E915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54F" w:rsidRPr="0000007A" w:rsidRDefault="00E9154F" w:rsidP="0099583E">
      <w:r>
        <w:separator/>
      </w:r>
    </w:p>
  </w:footnote>
  <w:footnote w:type="continuationSeparator" w:id="0">
    <w:p w:rsidR="00E9154F" w:rsidRPr="0000007A" w:rsidRDefault="00E915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F7600"/>
    <w:multiLevelType w:val="multilevel"/>
    <w:tmpl w:val="40AE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4637A6"/>
    <w:multiLevelType w:val="multilevel"/>
    <w:tmpl w:val="1A78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14611"/>
    <w:multiLevelType w:val="multilevel"/>
    <w:tmpl w:val="5FB4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EF5C68"/>
    <w:multiLevelType w:val="multilevel"/>
    <w:tmpl w:val="B886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10"/>
  </w:num>
  <w:num w:numId="5">
    <w:abstractNumId w:val="7"/>
  </w:num>
  <w:num w:numId="6">
    <w:abstractNumId w:val="0"/>
  </w:num>
  <w:num w:numId="7">
    <w:abstractNumId w:val="2"/>
  </w:num>
  <w:num w:numId="8">
    <w:abstractNumId w:val="12"/>
  </w:num>
  <w:num w:numId="9">
    <w:abstractNumId w:val="11"/>
  </w:num>
  <w:num w:numId="10">
    <w:abstractNumId w:val="4"/>
  </w:num>
  <w:num w:numId="11">
    <w:abstractNumId w:val="1"/>
  </w:num>
  <w:num w:numId="12">
    <w:abstractNumId w:val="3"/>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4C0E"/>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32A3"/>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121C"/>
    <w:rsid w:val="004C3DF1"/>
    <w:rsid w:val="004C78CB"/>
    <w:rsid w:val="004D2E36"/>
    <w:rsid w:val="004E08E3"/>
    <w:rsid w:val="004E1D1A"/>
    <w:rsid w:val="004E4915"/>
    <w:rsid w:val="004E7DC3"/>
    <w:rsid w:val="004F741F"/>
    <w:rsid w:val="004F78F5"/>
    <w:rsid w:val="004F7BF2"/>
    <w:rsid w:val="00503AB6"/>
    <w:rsid w:val="005047C5"/>
    <w:rsid w:val="0050495C"/>
    <w:rsid w:val="00510920"/>
    <w:rsid w:val="0052339F"/>
    <w:rsid w:val="00530A2D"/>
    <w:rsid w:val="00531C82"/>
    <w:rsid w:val="00533FC1"/>
    <w:rsid w:val="005370BE"/>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1BD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5929"/>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381E"/>
    <w:rsid w:val="00B2236C"/>
    <w:rsid w:val="00B22FE6"/>
    <w:rsid w:val="00B3033D"/>
    <w:rsid w:val="00B334D9"/>
    <w:rsid w:val="00B53059"/>
    <w:rsid w:val="00B562D2"/>
    <w:rsid w:val="00B56B63"/>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0DE0"/>
    <w:rsid w:val="00E63889"/>
    <w:rsid w:val="00E63A98"/>
    <w:rsid w:val="00E645E9"/>
    <w:rsid w:val="00E65596"/>
    <w:rsid w:val="00E66385"/>
    <w:rsid w:val="00E71C8D"/>
    <w:rsid w:val="00E72360"/>
    <w:rsid w:val="00E72A8E"/>
    <w:rsid w:val="00E9154F"/>
    <w:rsid w:val="00E9533D"/>
    <w:rsid w:val="00E972A7"/>
    <w:rsid w:val="00EA2839"/>
    <w:rsid w:val="00EA485C"/>
    <w:rsid w:val="00EB3E91"/>
    <w:rsid w:val="00EB6E15"/>
    <w:rsid w:val="00EC6894"/>
    <w:rsid w:val="00ED6B12"/>
    <w:rsid w:val="00ED7400"/>
    <w:rsid w:val="00EF326D"/>
    <w:rsid w:val="00EF53FE"/>
    <w:rsid w:val="00F1171E"/>
    <w:rsid w:val="00F13071"/>
    <w:rsid w:val="00F20FBB"/>
    <w:rsid w:val="00F2643C"/>
    <w:rsid w:val="00F32717"/>
    <w:rsid w:val="00F3295A"/>
    <w:rsid w:val="00F32A9A"/>
    <w:rsid w:val="00F33C84"/>
    <w:rsid w:val="00F3669D"/>
    <w:rsid w:val="00F405F8"/>
    <w:rsid w:val="00F464EC"/>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6319D"/>
  <w15:docId w15:val="{1BD072AB-550A-4050-A0D3-ACA98C22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A48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A485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B13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43551">
      <w:bodyDiv w:val="1"/>
      <w:marLeft w:val="0"/>
      <w:marRight w:val="0"/>
      <w:marTop w:val="0"/>
      <w:marBottom w:val="0"/>
      <w:divBdr>
        <w:top w:val="none" w:sz="0" w:space="0" w:color="auto"/>
        <w:left w:val="none" w:sz="0" w:space="0" w:color="auto"/>
        <w:bottom w:val="none" w:sz="0" w:space="0" w:color="auto"/>
        <w:right w:val="none" w:sz="0" w:space="0" w:color="auto"/>
      </w:divBdr>
    </w:div>
    <w:div w:id="297534538">
      <w:bodyDiv w:val="1"/>
      <w:marLeft w:val="0"/>
      <w:marRight w:val="0"/>
      <w:marTop w:val="0"/>
      <w:marBottom w:val="0"/>
      <w:divBdr>
        <w:top w:val="none" w:sz="0" w:space="0" w:color="auto"/>
        <w:left w:val="none" w:sz="0" w:space="0" w:color="auto"/>
        <w:bottom w:val="none" w:sz="0" w:space="0" w:color="auto"/>
        <w:right w:val="none" w:sz="0" w:space="0" w:color="auto"/>
      </w:divBdr>
    </w:div>
    <w:div w:id="366222423">
      <w:bodyDiv w:val="1"/>
      <w:marLeft w:val="0"/>
      <w:marRight w:val="0"/>
      <w:marTop w:val="0"/>
      <w:marBottom w:val="0"/>
      <w:divBdr>
        <w:top w:val="none" w:sz="0" w:space="0" w:color="auto"/>
        <w:left w:val="none" w:sz="0" w:space="0" w:color="auto"/>
        <w:bottom w:val="none" w:sz="0" w:space="0" w:color="auto"/>
        <w:right w:val="none" w:sz="0" w:space="0" w:color="auto"/>
      </w:divBdr>
    </w:div>
    <w:div w:id="37697021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300332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45314283">
      <w:bodyDiv w:val="1"/>
      <w:marLeft w:val="0"/>
      <w:marRight w:val="0"/>
      <w:marTop w:val="0"/>
      <w:marBottom w:val="0"/>
      <w:divBdr>
        <w:top w:val="none" w:sz="0" w:space="0" w:color="auto"/>
        <w:left w:val="none" w:sz="0" w:space="0" w:color="auto"/>
        <w:bottom w:val="none" w:sz="0" w:space="0" w:color="auto"/>
        <w:right w:val="none" w:sz="0" w:space="0" w:color="auto"/>
      </w:divBdr>
    </w:div>
    <w:div w:id="1183086209">
      <w:bodyDiv w:val="1"/>
      <w:marLeft w:val="0"/>
      <w:marRight w:val="0"/>
      <w:marTop w:val="0"/>
      <w:marBottom w:val="0"/>
      <w:divBdr>
        <w:top w:val="none" w:sz="0" w:space="0" w:color="auto"/>
        <w:left w:val="none" w:sz="0" w:space="0" w:color="auto"/>
        <w:bottom w:val="none" w:sz="0" w:space="0" w:color="auto"/>
        <w:right w:val="none" w:sz="0" w:space="0" w:color="auto"/>
      </w:divBdr>
    </w:div>
    <w:div w:id="119881648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79229175">
      <w:bodyDiv w:val="1"/>
      <w:marLeft w:val="0"/>
      <w:marRight w:val="0"/>
      <w:marTop w:val="0"/>
      <w:marBottom w:val="0"/>
      <w:divBdr>
        <w:top w:val="none" w:sz="0" w:space="0" w:color="auto"/>
        <w:left w:val="none" w:sz="0" w:space="0" w:color="auto"/>
        <w:bottom w:val="none" w:sz="0" w:space="0" w:color="auto"/>
        <w:right w:val="none" w:sz="0" w:space="0" w:color="auto"/>
      </w:divBdr>
    </w:div>
    <w:div w:id="172066822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2025-02-04T13:32:00Z</dcterms:created>
  <dcterms:modified xsi:type="dcterms:W3CDTF">2025-02-27T07:29:00Z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