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50B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50B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50B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50B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50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7A99E1" w:rsidR="0000007A" w:rsidRPr="00050B05" w:rsidRDefault="00610F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E74A6" w:rsidRPr="00050B0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050B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50B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CE4B8C" w:rsidR="0000007A" w:rsidRPr="00050B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6788E"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4527</w:t>
            </w:r>
          </w:p>
        </w:tc>
      </w:tr>
      <w:tr w:rsidR="0000007A" w:rsidRPr="00050B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50B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3F9F31" w:rsidR="0000007A" w:rsidRPr="00050B05" w:rsidRDefault="00CE74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50B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Discovery of Stishovite in the </w:t>
            </w:r>
            <w:proofErr w:type="spellStart"/>
            <w:r w:rsidRPr="00050B05">
              <w:rPr>
                <w:rFonts w:ascii="Arial" w:hAnsi="Arial" w:cs="Arial"/>
                <w:b/>
                <w:sz w:val="20"/>
                <w:szCs w:val="20"/>
                <w:lang w:val="en-GB"/>
              </w:rPr>
              <w:t>Prismatine</w:t>
            </w:r>
            <w:proofErr w:type="spellEnd"/>
            <w:r w:rsidRPr="00050B05">
              <w:rPr>
                <w:rFonts w:ascii="Arial" w:hAnsi="Arial" w:cs="Arial"/>
                <w:b/>
                <w:sz w:val="20"/>
                <w:szCs w:val="20"/>
                <w:lang w:val="en-GB"/>
              </w:rPr>
              <w:t>-Bearing Granulite from Waldheim, Germany: A Possible Role of Supercritical Fluids of Ultrahigh-Pressure Origin</w:t>
            </w:r>
          </w:p>
        </w:tc>
      </w:tr>
      <w:tr w:rsidR="00CF0BBB" w:rsidRPr="00050B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50B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8636CF" w:rsidR="00CF0BBB" w:rsidRPr="00050B05" w:rsidRDefault="006678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50B05" w:rsidRDefault="00D27A79" w:rsidP="00BF08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50B05" w14:paraId="71A94C1F" w14:textId="77777777" w:rsidTr="002D67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0BC15285" w14:textId="75BEB51F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0B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50B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0B05" w14:paraId="5EA12279" w14:textId="77777777" w:rsidTr="002D6707">
        <w:tc>
          <w:tcPr>
            <w:tcW w:w="1265" w:type="pct"/>
            <w:noWrap/>
            <w:vAlign w:val="center"/>
          </w:tcPr>
          <w:p w14:paraId="7AE9682F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5B8DBE06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50B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50B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50B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57792C30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50B05">
              <w:rPr>
                <w:rFonts w:ascii="Arial" w:hAnsi="Arial" w:cs="Arial"/>
                <w:lang w:val="en-GB"/>
              </w:rPr>
              <w:t>Author’s Feedback</w:t>
            </w:r>
            <w:r w:rsidRPr="00050B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50B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50B05" w14:paraId="5C0AB4EC" w14:textId="77777777" w:rsidTr="002D6707">
        <w:trPr>
          <w:trHeight w:val="1264"/>
        </w:trPr>
        <w:tc>
          <w:tcPr>
            <w:tcW w:w="1265" w:type="pct"/>
            <w:noWrap/>
            <w:vAlign w:val="center"/>
          </w:tcPr>
          <w:p w14:paraId="66B47184" w14:textId="48030299" w:rsidR="00F1171E" w:rsidRPr="00050B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50B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DBC9196" w14:textId="6880A050" w:rsidR="00F1171E" w:rsidRPr="00050B05" w:rsidRDefault="002D6707" w:rsidP="002D6707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the first time in the sixty years since the synthesis of stishovite, we report unambiguous evidence of stishovite formed in the deep Earth. A minimum pressure of about 7.5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GPa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1000 ◦C is necessary for the formation of stishovite, corresponding to a depth of about 230 km. In this manuscript we report the identification of stishovite along with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coesite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inclusions in mineral grains from the Waldheim granulite. This implies that the stishovite was transported upwards, probably very rapidly to a depth of about 130 km, corresponding to the highest pressure indicated by newly identified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coesite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prismatine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Waldheim granulite, and continuing up to the depth of emplacement of the Waldheim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prismatine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granulite. The analysis of the Raman spectra obtained from a metastable trapped stishovite micro-crystal show that all the diagnostic Raman bands are present. However, given the metastability of the stishovite at room temperatures and pressures, </w:t>
            </w:r>
            <w:proofErr w:type="gram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mineral breaks</w:t>
            </w:r>
            <w:proofErr w:type="gram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down step-by-step into stable polymorphs, first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coesite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then quartz and cristobalite, during the Raman stimulation. The rare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coesite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crystals in </w:t>
            </w:r>
            <w:proofErr w:type="spellStart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prismatine</w:t>
            </w:r>
            <w:proofErr w:type="spellEnd"/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have also resulted from the irreversible transformation from stishovite. Although the Waldheim occurrence may be unique, we suggest that Raman analysis of co-trapped crystals in similar deep-seated rocks, an area of limited previous research, may prove an important innovation in the study of mantle processes.</w:t>
            </w:r>
          </w:p>
        </w:tc>
        <w:tc>
          <w:tcPr>
            <w:tcW w:w="1523" w:type="pct"/>
            <w:vAlign w:val="center"/>
          </w:tcPr>
          <w:p w14:paraId="462A339C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B05" w14:paraId="0D8B5B2C" w14:textId="77777777" w:rsidTr="00BF0807">
        <w:trPr>
          <w:trHeight w:val="70"/>
        </w:trPr>
        <w:tc>
          <w:tcPr>
            <w:tcW w:w="1265" w:type="pct"/>
            <w:noWrap/>
            <w:vAlign w:val="center"/>
          </w:tcPr>
          <w:p w14:paraId="21CBA5FE" w14:textId="77777777" w:rsidR="00F1171E" w:rsidRPr="00050B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50B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794AA9A7" w14:textId="0A4C8A83" w:rsidR="00F1171E" w:rsidRPr="00050B05" w:rsidRDefault="002D6707" w:rsidP="002D67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05B6701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B05" w14:paraId="5604762A" w14:textId="77777777" w:rsidTr="002D6707">
        <w:trPr>
          <w:trHeight w:val="1262"/>
        </w:trPr>
        <w:tc>
          <w:tcPr>
            <w:tcW w:w="1265" w:type="pct"/>
            <w:noWrap/>
            <w:vAlign w:val="center"/>
          </w:tcPr>
          <w:p w14:paraId="3635573D" w14:textId="77777777" w:rsidR="00F1171E" w:rsidRPr="00050B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50B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FB7E83A" w14:textId="0CE97A4A" w:rsidR="00F1171E" w:rsidRPr="00050B05" w:rsidRDefault="002D6707" w:rsidP="002D67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1D54B730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B05" w14:paraId="2F579F54" w14:textId="77777777" w:rsidTr="002D6707">
        <w:trPr>
          <w:trHeight w:val="859"/>
        </w:trPr>
        <w:tc>
          <w:tcPr>
            <w:tcW w:w="1265" w:type="pct"/>
            <w:noWrap/>
            <w:vAlign w:val="center"/>
          </w:tcPr>
          <w:p w14:paraId="04361F46" w14:textId="368783AB" w:rsidR="00F1171E" w:rsidRPr="00050B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  <w:vAlign w:val="center"/>
          </w:tcPr>
          <w:p w14:paraId="2B5A7721" w14:textId="74051E3B" w:rsidR="00F1171E" w:rsidRPr="00050B05" w:rsidRDefault="002D67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898F764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B05" w14:paraId="73739464" w14:textId="77777777" w:rsidTr="002D6707">
        <w:trPr>
          <w:trHeight w:val="703"/>
        </w:trPr>
        <w:tc>
          <w:tcPr>
            <w:tcW w:w="1265" w:type="pct"/>
            <w:noWrap/>
            <w:vAlign w:val="center"/>
          </w:tcPr>
          <w:p w14:paraId="09C25322" w14:textId="77777777" w:rsidR="00F1171E" w:rsidRPr="00050B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50B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  <w:vAlign w:val="center"/>
          </w:tcPr>
          <w:p w14:paraId="24FE0567" w14:textId="0365A3DD" w:rsidR="00F1171E" w:rsidRPr="00050B05" w:rsidRDefault="002D67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vAlign w:val="center"/>
          </w:tcPr>
          <w:p w14:paraId="40220055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50B05" w14:paraId="73CC4A50" w14:textId="77777777" w:rsidTr="002D6707">
        <w:trPr>
          <w:trHeight w:val="386"/>
        </w:trPr>
        <w:tc>
          <w:tcPr>
            <w:tcW w:w="1265" w:type="pct"/>
            <w:noWrap/>
            <w:vAlign w:val="center"/>
          </w:tcPr>
          <w:p w14:paraId="029CE8D0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50B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50B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6CBA4B2A" w14:textId="6D4C1473" w:rsidR="00F1171E" w:rsidRPr="00050B05" w:rsidRDefault="002D67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0351CA58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50B05" w14:paraId="20A16C0C" w14:textId="77777777" w:rsidTr="00BF0807">
        <w:trPr>
          <w:trHeight w:val="70"/>
        </w:trPr>
        <w:tc>
          <w:tcPr>
            <w:tcW w:w="1265" w:type="pct"/>
            <w:noWrap/>
            <w:vAlign w:val="center"/>
          </w:tcPr>
          <w:p w14:paraId="7F4BCFAE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50B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50B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50B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50B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5E946A0E" w14:textId="66C84CCE" w:rsidR="00F1171E" w:rsidRPr="00050B05" w:rsidRDefault="002D67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sz w:val="20"/>
                <w:szCs w:val="20"/>
                <w:lang w:val="en-GB"/>
              </w:rPr>
              <w:t xml:space="preserve">Provide </w:t>
            </w:r>
            <w:proofErr w:type="spellStart"/>
            <w:r w:rsidRPr="00050B05">
              <w:rPr>
                <w:rFonts w:ascii="Arial" w:hAnsi="Arial" w:cs="Arial"/>
                <w:sz w:val="20"/>
                <w:szCs w:val="20"/>
                <w:lang w:val="en-GB"/>
              </w:rPr>
              <w:t>insightly</w:t>
            </w:r>
            <w:proofErr w:type="spellEnd"/>
            <w:r w:rsidRPr="00050B05">
              <w:rPr>
                <w:rFonts w:ascii="Arial" w:hAnsi="Arial" w:cs="Arial"/>
                <w:sz w:val="20"/>
                <w:szCs w:val="20"/>
                <w:lang w:val="en-GB"/>
              </w:rPr>
              <w:t xml:space="preserve"> conclusion instead of summary </w:t>
            </w:r>
          </w:p>
          <w:p w14:paraId="7EB58C99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vAlign w:val="center"/>
          </w:tcPr>
          <w:p w14:paraId="465E098E" w14:textId="77777777" w:rsidR="00F1171E" w:rsidRPr="00050B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CA4E5E" w14:textId="628908F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29DD66" w14:textId="77777777" w:rsidR="00BF0807" w:rsidRPr="00050B05" w:rsidRDefault="00BF080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5117F" w:rsidRPr="00050B05" w14:paraId="392EE0BD" w14:textId="77777777" w:rsidTr="00BF080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8293" w14:textId="77777777" w:rsidR="00C5117F" w:rsidRPr="00050B05" w:rsidRDefault="00C5117F" w:rsidP="00C5117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50B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50B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4EFC38" w14:textId="77777777" w:rsidR="00C5117F" w:rsidRPr="00050B05" w:rsidRDefault="00C5117F" w:rsidP="00C5117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5117F" w:rsidRPr="00050B05" w14:paraId="335D8223" w14:textId="77777777" w:rsidTr="00BF080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77D1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17FDE" w14:textId="77777777" w:rsidR="00C5117F" w:rsidRPr="00050B05" w:rsidRDefault="00C5117F" w:rsidP="00C5117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B83338D" w14:textId="77777777" w:rsidR="00C5117F" w:rsidRPr="00050B05" w:rsidRDefault="00C5117F" w:rsidP="00C5117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50B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50B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50B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5117F" w:rsidRPr="00050B05" w14:paraId="66F265DE" w14:textId="77777777" w:rsidTr="00BF080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15B" w14:textId="77777777" w:rsidR="00C5117F" w:rsidRPr="00050B05" w:rsidRDefault="00C5117F" w:rsidP="00C5117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50B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7BE553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61D" w14:textId="77777777" w:rsidR="00C5117F" w:rsidRPr="00050B05" w:rsidRDefault="00C5117F" w:rsidP="00C5117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50B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50B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50B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A0C533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BA4098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54CE5DA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1AC5D8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24CDA7" w14:textId="77777777" w:rsidR="00C5117F" w:rsidRPr="00050B05" w:rsidRDefault="00C5117F" w:rsidP="00C5117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C3AEC8E" w14:textId="77777777" w:rsidR="00C5117F" w:rsidRPr="00050B05" w:rsidRDefault="00C5117F" w:rsidP="00C5117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5117F" w:rsidRPr="00050B05" w14:paraId="04491D93" w14:textId="77777777" w:rsidTr="00BF080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3CBF" w14:textId="77777777" w:rsidR="00C5117F" w:rsidRPr="00050B05" w:rsidRDefault="00C5117F" w:rsidP="00C5117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50B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5233F89" w14:textId="77777777" w:rsidR="00C5117F" w:rsidRPr="00050B05" w:rsidRDefault="00C5117F" w:rsidP="00C5117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5117F" w:rsidRPr="00050B05" w14:paraId="4F7A3901" w14:textId="77777777" w:rsidTr="00BF080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49BA" w14:textId="77777777" w:rsidR="00C5117F" w:rsidRPr="00050B05" w:rsidRDefault="00C5117F" w:rsidP="00C511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1653" w14:textId="2967EFC0" w:rsidR="00C5117F" w:rsidRPr="00050B05" w:rsidRDefault="00BF0807" w:rsidP="00C511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F0807">
              <w:rPr>
                <w:rFonts w:ascii="Arial" w:hAnsi="Arial" w:cs="Arial"/>
                <w:b/>
                <w:bCs/>
                <w:sz w:val="20"/>
                <w:szCs w:val="20"/>
              </w:rPr>
              <w:t>J.Sunil</w:t>
            </w:r>
            <w:proofErr w:type="spellEnd"/>
            <w:proofErr w:type="gramEnd"/>
          </w:p>
        </w:tc>
      </w:tr>
      <w:tr w:rsidR="00C5117F" w:rsidRPr="00050B05" w14:paraId="168A6B03" w14:textId="77777777" w:rsidTr="00BF080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C6D0" w14:textId="77777777" w:rsidR="00C5117F" w:rsidRPr="00050B05" w:rsidRDefault="00C5117F" w:rsidP="00C5117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50B0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DF2D" w14:textId="2404B312" w:rsidR="00C5117F" w:rsidRPr="00050B05" w:rsidRDefault="00BF0807" w:rsidP="00BF08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F0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Annai</w:t>
            </w:r>
            <w:proofErr w:type="spellEnd"/>
            <w:r w:rsidRPr="00BF0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0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Vailankanni</w:t>
            </w:r>
            <w:proofErr w:type="spellEnd"/>
            <w:r w:rsidRPr="00BF0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Engineering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F080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57380544" w14:textId="77777777" w:rsidR="00C5117F" w:rsidRPr="00050B05" w:rsidRDefault="00C5117F" w:rsidP="00C5117F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50B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50B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85A7F" w14:textId="77777777" w:rsidR="00610F11" w:rsidRPr="0000007A" w:rsidRDefault="00610F11" w:rsidP="0099583E">
      <w:r>
        <w:separator/>
      </w:r>
    </w:p>
  </w:endnote>
  <w:endnote w:type="continuationSeparator" w:id="0">
    <w:p w14:paraId="52AAAE83" w14:textId="77777777" w:rsidR="00610F11" w:rsidRPr="0000007A" w:rsidRDefault="00610F1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A7D2" w14:textId="77777777" w:rsidR="00610F11" w:rsidRPr="0000007A" w:rsidRDefault="00610F11" w:rsidP="0099583E">
      <w:r>
        <w:separator/>
      </w:r>
    </w:p>
  </w:footnote>
  <w:footnote w:type="continuationSeparator" w:id="0">
    <w:p w14:paraId="14415384" w14:textId="77777777" w:rsidR="00610F11" w:rsidRPr="0000007A" w:rsidRDefault="00610F1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0955"/>
    <w:rsid w:val="00050B0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568C"/>
    <w:rsid w:val="000F1C2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64A7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2C2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707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30B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618"/>
    <w:rsid w:val="005E7FB0"/>
    <w:rsid w:val="005F184C"/>
    <w:rsid w:val="00602F7D"/>
    <w:rsid w:val="00605952"/>
    <w:rsid w:val="00610F11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88E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29ED"/>
    <w:rsid w:val="00815F94"/>
    <w:rsid w:val="008224E2"/>
    <w:rsid w:val="00825DC9"/>
    <w:rsid w:val="0082676D"/>
    <w:rsid w:val="008324FC"/>
    <w:rsid w:val="008409D1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80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17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4A6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027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2025-02-25T05:19:00Z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