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CC2" w:rsidRPr="00C30CC2" w:rsidRDefault="00C30CC2" w:rsidP="00C30CC2">
      <w:pPr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C30CC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C30CC2" w:rsidRPr="00C30CC2" w:rsidRDefault="00C30CC2" w:rsidP="00C30CC2">
      <w:pPr>
        <w:rPr>
          <w:rFonts w:ascii="Arial" w:hAnsi="Arial" w:cs="Arial"/>
          <w:sz w:val="20"/>
          <w:szCs w:val="20"/>
        </w:rPr>
      </w:pPr>
      <w:r w:rsidRPr="00C30CC2">
        <w:rPr>
          <w:rFonts w:ascii="Arial" w:hAnsi="Arial" w:cs="Arial"/>
          <w:sz w:val="20"/>
          <w:szCs w:val="20"/>
        </w:rPr>
        <w:t>I accept the manuscript for publication in the BP International.</w:t>
      </w:r>
    </w:p>
    <w:p w:rsidR="00C30CC2" w:rsidRPr="00C30CC2" w:rsidRDefault="00C30CC2" w:rsidP="00C30CC2">
      <w:pPr>
        <w:rPr>
          <w:rFonts w:ascii="Arial" w:hAnsi="Arial" w:cs="Arial"/>
          <w:sz w:val="20"/>
          <w:szCs w:val="20"/>
        </w:rPr>
      </w:pPr>
      <w:r w:rsidRPr="00C30CC2">
        <w:rPr>
          <w:rFonts w:ascii="Arial" w:hAnsi="Arial" w:cs="Arial"/>
          <w:sz w:val="20"/>
          <w:szCs w:val="20"/>
        </w:rPr>
        <w:t>Considering the reviewers comments and authors response, we can publish this manuscript. The</w:t>
      </w:r>
    </w:p>
    <w:p w:rsidR="00C30CC2" w:rsidRPr="00C30CC2" w:rsidRDefault="00C30CC2" w:rsidP="00C30CC2">
      <w:pPr>
        <w:rPr>
          <w:rFonts w:ascii="Arial" w:hAnsi="Arial" w:cs="Arial"/>
          <w:sz w:val="20"/>
          <w:szCs w:val="20"/>
        </w:rPr>
      </w:pPr>
      <w:r w:rsidRPr="00C30CC2">
        <w:rPr>
          <w:rFonts w:ascii="Arial" w:hAnsi="Arial" w:cs="Arial"/>
          <w:sz w:val="20"/>
          <w:szCs w:val="20"/>
        </w:rPr>
        <w:t>reasons are as follows:</w:t>
      </w:r>
    </w:p>
    <w:p w:rsidR="00C30CC2" w:rsidRPr="00C30CC2" w:rsidRDefault="00C30CC2" w:rsidP="00C30CC2">
      <w:pPr>
        <w:rPr>
          <w:rFonts w:ascii="Arial" w:hAnsi="Arial" w:cs="Arial"/>
          <w:sz w:val="20"/>
          <w:szCs w:val="20"/>
        </w:rPr>
      </w:pPr>
      <w:r w:rsidRPr="00C30CC2">
        <w:rPr>
          <w:rFonts w:ascii="Arial" w:hAnsi="Arial" w:cs="Arial"/>
          <w:sz w:val="20"/>
          <w:szCs w:val="20"/>
        </w:rPr>
        <w:t>1- One reviewer gives comments such as “This manuscript addresses the critical issue of</w:t>
      </w:r>
    </w:p>
    <w:p w:rsidR="00C30CC2" w:rsidRPr="00C30CC2" w:rsidRDefault="00C30CC2" w:rsidP="00C30CC2">
      <w:pPr>
        <w:rPr>
          <w:rFonts w:ascii="Arial" w:hAnsi="Arial" w:cs="Arial"/>
          <w:sz w:val="20"/>
          <w:szCs w:val="20"/>
        </w:rPr>
      </w:pPr>
      <w:r w:rsidRPr="00C30CC2">
        <w:rPr>
          <w:rFonts w:ascii="Arial" w:hAnsi="Arial" w:cs="Arial"/>
          <w:sz w:val="20"/>
          <w:szCs w:val="20"/>
        </w:rPr>
        <w:t>dendrite fragmentation in single-crystal superalloys, which is significant for aerospace and</w:t>
      </w:r>
    </w:p>
    <w:p w:rsidR="00C30CC2" w:rsidRPr="00C30CC2" w:rsidRDefault="00C30CC2" w:rsidP="00C30CC2">
      <w:pPr>
        <w:rPr>
          <w:rFonts w:ascii="Arial" w:hAnsi="Arial" w:cs="Arial"/>
          <w:sz w:val="20"/>
          <w:szCs w:val="20"/>
        </w:rPr>
      </w:pPr>
      <w:r w:rsidRPr="00C30CC2">
        <w:rPr>
          <w:rFonts w:ascii="Arial" w:hAnsi="Arial" w:cs="Arial"/>
          <w:sz w:val="20"/>
          <w:szCs w:val="20"/>
        </w:rPr>
        <w:t>power generation industries. By introducing the timing effect of dendrite pinch-off in a flow-</w:t>
      </w:r>
    </w:p>
    <w:p w:rsidR="00C30CC2" w:rsidRPr="00C30CC2" w:rsidRDefault="00C30CC2" w:rsidP="00C30CC2">
      <w:pPr>
        <w:rPr>
          <w:rFonts w:ascii="Arial" w:hAnsi="Arial" w:cs="Arial"/>
          <w:sz w:val="20"/>
          <w:szCs w:val="20"/>
        </w:rPr>
      </w:pPr>
      <w:r w:rsidRPr="00C30CC2">
        <w:rPr>
          <w:rFonts w:ascii="Arial" w:hAnsi="Arial" w:cs="Arial"/>
          <w:sz w:val="20"/>
          <w:szCs w:val="20"/>
        </w:rPr>
        <w:t>driven fragmentation model, it provides a more accurate prediction of freckles and</w:t>
      </w:r>
    </w:p>
    <w:p w:rsidR="00C30CC2" w:rsidRPr="00C30CC2" w:rsidRDefault="00C30CC2" w:rsidP="00C30CC2">
      <w:pPr>
        <w:rPr>
          <w:rFonts w:ascii="Arial" w:hAnsi="Arial" w:cs="Arial"/>
          <w:sz w:val="20"/>
          <w:szCs w:val="20"/>
        </w:rPr>
      </w:pPr>
      <w:r w:rsidRPr="00C30CC2">
        <w:rPr>
          <w:rFonts w:ascii="Arial" w:hAnsi="Arial" w:cs="Arial"/>
          <w:sz w:val="20"/>
          <w:szCs w:val="20"/>
        </w:rPr>
        <w:t>segregation channels during directional solidification. The study is valuable for the scientific</w:t>
      </w:r>
    </w:p>
    <w:p w:rsidR="00C30CC2" w:rsidRPr="00C30CC2" w:rsidRDefault="00C30CC2" w:rsidP="00C30CC2">
      <w:pPr>
        <w:rPr>
          <w:rFonts w:ascii="Arial" w:hAnsi="Arial" w:cs="Arial"/>
          <w:sz w:val="20"/>
          <w:szCs w:val="20"/>
        </w:rPr>
      </w:pPr>
      <w:r w:rsidRPr="00C30CC2">
        <w:rPr>
          <w:rFonts w:ascii="Arial" w:hAnsi="Arial" w:cs="Arial"/>
          <w:sz w:val="20"/>
          <w:szCs w:val="20"/>
        </w:rPr>
        <w:t>community as it bridges the gap between theoretical modelling and practical control, offering</w:t>
      </w:r>
    </w:p>
    <w:p w:rsidR="00C30CC2" w:rsidRPr="00C30CC2" w:rsidRDefault="00C30CC2" w:rsidP="00C30CC2">
      <w:pPr>
        <w:rPr>
          <w:rFonts w:ascii="Arial" w:hAnsi="Arial" w:cs="Arial"/>
          <w:sz w:val="20"/>
          <w:szCs w:val="20"/>
        </w:rPr>
      </w:pPr>
      <w:r w:rsidRPr="00C30CC2">
        <w:rPr>
          <w:rFonts w:ascii="Arial" w:hAnsi="Arial" w:cs="Arial"/>
          <w:sz w:val="20"/>
          <w:szCs w:val="20"/>
        </w:rPr>
        <w:t>a refined approach that aligns simulation results more closely with experimental observations.</w:t>
      </w:r>
    </w:p>
    <w:p w:rsidR="00C30CC2" w:rsidRPr="00C30CC2" w:rsidRDefault="00C30CC2" w:rsidP="00C30CC2">
      <w:pPr>
        <w:rPr>
          <w:rFonts w:ascii="Arial" w:hAnsi="Arial" w:cs="Arial"/>
          <w:sz w:val="20"/>
          <w:szCs w:val="20"/>
        </w:rPr>
      </w:pPr>
      <w:r w:rsidRPr="00C30CC2">
        <w:rPr>
          <w:rFonts w:ascii="Arial" w:hAnsi="Arial" w:cs="Arial"/>
          <w:sz w:val="20"/>
          <w:szCs w:val="20"/>
        </w:rPr>
        <w:t>I appreciate this manuscript for its clear methodology, relevance to industrial applications,</w:t>
      </w:r>
    </w:p>
    <w:p w:rsidR="00C30CC2" w:rsidRPr="00C30CC2" w:rsidRDefault="00C30CC2" w:rsidP="00C30CC2">
      <w:pPr>
        <w:rPr>
          <w:rFonts w:ascii="Arial" w:hAnsi="Arial" w:cs="Arial"/>
          <w:sz w:val="20"/>
          <w:szCs w:val="20"/>
        </w:rPr>
      </w:pPr>
      <w:r w:rsidRPr="00C30CC2">
        <w:rPr>
          <w:rFonts w:ascii="Arial" w:hAnsi="Arial" w:cs="Arial"/>
          <w:sz w:val="20"/>
          <w:szCs w:val="20"/>
        </w:rPr>
        <w:t>and potential to improve defect prediction in high-temperature materials</w:t>
      </w:r>
    </w:p>
    <w:p w:rsidR="00C30CC2" w:rsidRPr="00C30CC2" w:rsidRDefault="00C30CC2" w:rsidP="00C30CC2">
      <w:pPr>
        <w:rPr>
          <w:rFonts w:ascii="Arial" w:hAnsi="Arial" w:cs="Arial"/>
          <w:sz w:val="20"/>
          <w:szCs w:val="20"/>
        </w:rPr>
      </w:pPr>
      <w:r w:rsidRPr="00C30CC2">
        <w:rPr>
          <w:rFonts w:ascii="Arial" w:hAnsi="Arial" w:cs="Arial"/>
          <w:sz w:val="20"/>
          <w:szCs w:val="20"/>
        </w:rPr>
        <w:t>2- One reviewer gives comments such as “This study provides valuable contributions to</w:t>
      </w:r>
    </w:p>
    <w:p w:rsidR="00C30CC2" w:rsidRPr="00C30CC2" w:rsidRDefault="00C30CC2" w:rsidP="00C30CC2">
      <w:pPr>
        <w:rPr>
          <w:rFonts w:ascii="Arial" w:hAnsi="Arial" w:cs="Arial"/>
          <w:sz w:val="20"/>
          <w:szCs w:val="20"/>
        </w:rPr>
      </w:pPr>
      <w:r w:rsidRPr="00C30CC2">
        <w:rPr>
          <w:rFonts w:ascii="Arial" w:hAnsi="Arial" w:cs="Arial"/>
          <w:sz w:val="20"/>
          <w:szCs w:val="20"/>
        </w:rPr>
        <w:t>understanding dendrite fragmentation during directional solidification, particularly by</w:t>
      </w:r>
    </w:p>
    <w:p w:rsidR="00C30CC2" w:rsidRPr="00C30CC2" w:rsidRDefault="00C30CC2" w:rsidP="00C30CC2">
      <w:pPr>
        <w:rPr>
          <w:rFonts w:ascii="Arial" w:hAnsi="Arial" w:cs="Arial"/>
          <w:sz w:val="20"/>
          <w:szCs w:val="20"/>
        </w:rPr>
      </w:pPr>
      <w:r w:rsidRPr="00C30CC2">
        <w:rPr>
          <w:rFonts w:ascii="Arial" w:hAnsi="Arial" w:cs="Arial"/>
          <w:sz w:val="20"/>
          <w:szCs w:val="20"/>
        </w:rPr>
        <w:t>introducing a novel consideration of pinch-off timing. With some refinements in clarity,</w:t>
      </w:r>
    </w:p>
    <w:p w:rsidR="00C30CC2" w:rsidRPr="00C30CC2" w:rsidRDefault="00C30CC2" w:rsidP="00C30CC2">
      <w:pPr>
        <w:rPr>
          <w:rFonts w:ascii="Arial" w:hAnsi="Arial" w:cs="Arial"/>
          <w:sz w:val="20"/>
          <w:szCs w:val="20"/>
        </w:rPr>
      </w:pPr>
      <w:r w:rsidRPr="00C30CC2">
        <w:rPr>
          <w:rFonts w:ascii="Arial" w:hAnsi="Arial" w:cs="Arial"/>
          <w:sz w:val="20"/>
          <w:szCs w:val="20"/>
        </w:rPr>
        <w:t>methodology description, and practical implications, this work has strong potential for</w:t>
      </w:r>
    </w:p>
    <w:p w:rsidR="00C30CC2" w:rsidRPr="00C30CC2" w:rsidRDefault="00C30CC2" w:rsidP="00C30CC2">
      <w:pPr>
        <w:rPr>
          <w:rFonts w:ascii="Arial" w:hAnsi="Arial" w:cs="Arial"/>
          <w:sz w:val="20"/>
          <w:szCs w:val="20"/>
        </w:rPr>
      </w:pPr>
      <w:r w:rsidRPr="00C30CC2">
        <w:rPr>
          <w:rFonts w:ascii="Arial" w:hAnsi="Arial" w:cs="Arial"/>
          <w:sz w:val="20"/>
          <w:szCs w:val="20"/>
        </w:rPr>
        <w:t>advancing both theoretical models and industrial casting processes for superalloys.”.</w:t>
      </w:r>
    </w:p>
    <w:p w:rsidR="00C30CC2" w:rsidRPr="00C30CC2" w:rsidRDefault="00C30CC2" w:rsidP="00C30CC2">
      <w:pPr>
        <w:rPr>
          <w:rFonts w:ascii="Arial" w:hAnsi="Arial" w:cs="Arial"/>
          <w:sz w:val="20"/>
          <w:szCs w:val="20"/>
        </w:rPr>
      </w:pPr>
      <w:r w:rsidRPr="00C30CC2">
        <w:rPr>
          <w:rFonts w:ascii="Arial" w:hAnsi="Arial" w:cs="Arial"/>
          <w:sz w:val="20"/>
          <w:szCs w:val="20"/>
        </w:rPr>
        <w:t>3- Two reviewers give comment such as “Accept after minor revision”.</w:t>
      </w:r>
    </w:p>
    <w:p w:rsidR="00C30CC2" w:rsidRPr="00C30CC2" w:rsidRDefault="00C30CC2" w:rsidP="00C30CC2">
      <w:pPr>
        <w:rPr>
          <w:rFonts w:ascii="Arial" w:hAnsi="Arial" w:cs="Arial"/>
          <w:sz w:val="20"/>
          <w:szCs w:val="20"/>
        </w:rPr>
      </w:pPr>
      <w:r w:rsidRPr="00C30CC2">
        <w:rPr>
          <w:rFonts w:ascii="Arial" w:hAnsi="Arial" w:cs="Arial"/>
          <w:sz w:val="20"/>
          <w:szCs w:val="20"/>
        </w:rPr>
        <w:t>According to the comments and the authors response and clarification. The manuscript has</w:t>
      </w:r>
    </w:p>
    <w:p w:rsidR="00C30CC2" w:rsidRPr="00C30CC2" w:rsidRDefault="00C30CC2" w:rsidP="00C30CC2">
      <w:pPr>
        <w:rPr>
          <w:rFonts w:ascii="Arial" w:hAnsi="Arial" w:cs="Arial"/>
          <w:sz w:val="20"/>
          <w:szCs w:val="20"/>
        </w:rPr>
      </w:pPr>
      <w:r w:rsidRPr="00C30CC2">
        <w:rPr>
          <w:rFonts w:ascii="Arial" w:hAnsi="Arial" w:cs="Arial"/>
          <w:sz w:val="20"/>
          <w:szCs w:val="20"/>
        </w:rPr>
        <w:t>enough value for publication in the BP International.</w:t>
      </w:r>
    </w:p>
    <w:p w:rsidR="00C30CC2" w:rsidRPr="00C30CC2" w:rsidRDefault="00C30CC2" w:rsidP="00C30CC2">
      <w:pPr>
        <w:rPr>
          <w:rFonts w:ascii="Arial" w:hAnsi="Arial" w:cs="Arial"/>
          <w:b/>
          <w:sz w:val="20"/>
          <w:szCs w:val="20"/>
          <w:u w:val="single"/>
        </w:rPr>
      </w:pPr>
    </w:p>
    <w:p w:rsidR="00C30CC2" w:rsidRPr="00C30CC2" w:rsidRDefault="00C30CC2" w:rsidP="00C30CC2">
      <w:pPr>
        <w:rPr>
          <w:rFonts w:ascii="Arial" w:hAnsi="Arial" w:cs="Arial"/>
          <w:b/>
          <w:sz w:val="20"/>
          <w:szCs w:val="20"/>
          <w:u w:val="single"/>
        </w:rPr>
      </w:pPr>
    </w:p>
    <w:p w:rsidR="00C30CC2" w:rsidRPr="00C30CC2" w:rsidRDefault="00C30CC2" w:rsidP="00C30CC2">
      <w:pPr>
        <w:rPr>
          <w:rFonts w:ascii="Arial" w:hAnsi="Arial" w:cs="Arial"/>
          <w:b/>
          <w:sz w:val="20"/>
          <w:szCs w:val="20"/>
          <w:u w:val="single"/>
        </w:rPr>
      </w:pPr>
    </w:p>
    <w:p w:rsidR="00C30CC2" w:rsidRPr="00C30CC2" w:rsidRDefault="00C30CC2" w:rsidP="00C30CC2">
      <w:pPr>
        <w:rPr>
          <w:rFonts w:ascii="Arial" w:hAnsi="Arial" w:cs="Arial"/>
          <w:b/>
          <w:sz w:val="20"/>
          <w:szCs w:val="20"/>
          <w:u w:val="single"/>
        </w:rPr>
      </w:pPr>
      <w:r w:rsidRPr="00C30CC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30CC2" w:rsidRPr="00C30CC2" w:rsidRDefault="00C30CC2" w:rsidP="00C30CC2">
      <w:pPr>
        <w:pStyle w:val="NoSpacing"/>
        <w:rPr>
          <w:rFonts w:ascii="Arial" w:hAnsi="Arial" w:cs="Arial"/>
          <w:sz w:val="20"/>
          <w:szCs w:val="20"/>
        </w:rPr>
      </w:pPr>
      <w:r w:rsidRPr="00C30CC2">
        <w:rPr>
          <w:rFonts w:ascii="Arial" w:hAnsi="Arial" w:cs="Arial"/>
          <w:sz w:val="20"/>
          <w:szCs w:val="20"/>
        </w:rPr>
        <w:t>Prof.  Magdy Rabie Soliman Sanad</w:t>
      </w:r>
    </w:p>
    <w:p w:rsidR="00C30CC2" w:rsidRPr="00C30CC2" w:rsidRDefault="00C30CC2" w:rsidP="00C30CC2">
      <w:pPr>
        <w:pStyle w:val="NoSpacing"/>
        <w:rPr>
          <w:rFonts w:ascii="Arial" w:hAnsi="Arial" w:cs="Arial"/>
          <w:sz w:val="20"/>
          <w:szCs w:val="20"/>
        </w:rPr>
      </w:pPr>
      <w:r w:rsidRPr="00C30CC2">
        <w:rPr>
          <w:rFonts w:ascii="Arial" w:hAnsi="Arial" w:cs="Arial"/>
          <w:sz w:val="20"/>
          <w:szCs w:val="20"/>
        </w:rPr>
        <w:t>Professor,</w:t>
      </w:r>
    </w:p>
    <w:p w:rsidR="00C30CC2" w:rsidRPr="00C30CC2" w:rsidRDefault="00C30CC2" w:rsidP="00C30CC2">
      <w:pPr>
        <w:pStyle w:val="NoSpacing"/>
        <w:rPr>
          <w:rFonts w:ascii="Arial" w:hAnsi="Arial" w:cs="Arial"/>
          <w:sz w:val="20"/>
          <w:szCs w:val="20"/>
        </w:rPr>
      </w:pPr>
      <w:r w:rsidRPr="00C30CC2">
        <w:rPr>
          <w:rFonts w:ascii="Arial" w:hAnsi="Arial" w:cs="Arial"/>
          <w:sz w:val="20"/>
          <w:szCs w:val="20"/>
        </w:rPr>
        <w:t>National Research Institute of Astronomy and Geophysics</w:t>
      </w:r>
      <w:r w:rsidRPr="00C30CC2">
        <w:rPr>
          <w:rFonts w:ascii="Arial" w:hAnsi="Arial" w:cs="Arial"/>
          <w:sz w:val="20"/>
          <w:szCs w:val="20"/>
        </w:rPr>
        <w:t xml:space="preserve">, </w:t>
      </w:r>
      <w:r w:rsidRPr="00C30CC2">
        <w:rPr>
          <w:rFonts w:ascii="Arial" w:hAnsi="Arial" w:cs="Arial"/>
          <w:sz w:val="20"/>
          <w:szCs w:val="20"/>
        </w:rPr>
        <w:t>Egypt</w:t>
      </w:r>
      <w:r w:rsidRPr="00C30CC2">
        <w:rPr>
          <w:rFonts w:ascii="Arial" w:hAnsi="Arial" w:cs="Arial"/>
          <w:sz w:val="20"/>
          <w:szCs w:val="20"/>
        </w:rPr>
        <w:t>.</w:t>
      </w:r>
      <w:bookmarkEnd w:id="0"/>
    </w:p>
    <w:sectPr w:rsidR="00C30CC2" w:rsidRPr="00C30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E0C"/>
    <w:rsid w:val="00973E0C"/>
    <w:rsid w:val="00A62BD4"/>
    <w:rsid w:val="00C30CC2"/>
    <w:rsid w:val="00D30C84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C737C"/>
  <w15:chartTrackingRefBased/>
  <w15:docId w15:val="{A9770A58-F08C-4A33-AEE0-03B61527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0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6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2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2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2024-11-23T09:28:00Z</dcterms:created>
  <dcterms:modified xsi:type="dcterms:W3CDTF">2025-03-08T10:41:00Z</dcterms:modified>
</cp:coreProperties>
</file>