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021" w:rsidRPr="00183021" w:rsidRDefault="00183021" w:rsidP="00183021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8302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83021" w:rsidRPr="00183021" w:rsidRDefault="00183021" w:rsidP="00183021">
      <w:pPr>
        <w:rPr>
          <w:rFonts w:ascii="Arial" w:hAnsi="Arial" w:cs="Arial"/>
          <w:sz w:val="20"/>
          <w:szCs w:val="20"/>
        </w:rPr>
      </w:pPr>
      <w:r w:rsidRPr="00183021">
        <w:rPr>
          <w:rFonts w:ascii="Arial" w:hAnsi="Arial" w:cs="Arial"/>
          <w:sz w:val="20"/>
          <w:szCs w:val="20"/>
        </w:rPr>
        <w:t>The presented article reviews the pathophysiology, clinical presentation, diagnostic approach</w:t>
      </w:r>
    </w:p>
    <w:p w:rsidR="00183021" w:rsidRPr="00183021" w:rsidRDefault="00183021" w:rsidP="00183021">
      <w:pPr>
        <w:rPr>
          <w:rFonts w:ascii="Arial" w:hAnsi="Arial" w:cs="Arial"/>
          <w:sz w:val="20"/>
          <w:szCs w:val="20"/>
        </w:rPr>
      </w:pPr>
      <w:r w:rsidRPr="00183021">
        <w:rPr>
          <w:rFonts w:ascii="Arial" w:hAnsi="Arial" w:cs="Arial"/>
          <w:sz w:val="20"/>
          <w:szCs w:val="20"/>
        </w:rPr>
        <w:t>and treatment strategies of papillary thyroid carcinoma (PTC) and its occurrence in thyroglossal</w:t>
      </w:r>
    </w:p>
    <w:p w:rsidR="00183021" w:rsidRPr="00183021" w:rsidRDefault="00183021" w:rsidP="00183021">
      <w:pPr>
        <w:rPr>
          <w:rFonts w:ascii="Arial" w:hAnsi="Arial" w:cs="Arial"/>
          <w:sz w:val="20"/>
          <w:szCs w:val="20"/>
        </w:rPr>
      </w:pPr>
      <w:r w:rsidRPr="00183021">
        <w:rPr>
          <w:rFonts w:ascii="Arial" w:hAnsi="Arial" w:cs="Arial"/>
          <w:sz w:val="20"/>
          <w:szCs w:val="20"/>
        </w:rPr>
        <w:t>duct cyst (TGDC), emphasizing the importance of early recognition and a multidisciplinary</w:t>
      </w:r>
    </w:p>
    <w:p w:rsidR="00183021" w:rsidRPr="00183021" w:rsidRDefault="00183021" w:rsidP="00183021">
      <w:pPr>
        <w:rPr>
          <w:rFonts w:ascii="Arial" w:hAnsi="Arial" w:cs="Arial"/>
          <w:sz w:val="20"/>
          <w:szCs w:val="20"/>
        </w:rPr>
      </w:pPr>
      <w:r w:rsidRPr="00183021">
        <w:rPr>
          <w:rFonts w:ascii="Arial" w:hAnsi="Arial" w:cs="Arial"/>
          <w:sz w:val="20"/>
          <w:szCs w:val="20"/>
        </w:rPr>
        <w:t>approach to treatment. The pathogenesis of PTC in TGDC remains unclear, with proposed</w:t>
      </w:r>
    </w:p>
    <w:p w:rsidR="00183021" w:rsidRPr="00183021" w:rsidRDefault="00183021" w:rsidP="00183021">
      <w:pPr>
        <w:rPr>
          <w:rFonts w:ascii="Arial" w:hAnsi="Arial" w:cs="Arial"/>
          <w:sz w:val="20"/>
          <w:szCs w:val="20"/>
        </w:rPr>
      </w:pPr>
      <w:r w:rsidRPr="00183021">
        <w:rPr>
          <w:rFonts w:ascii="Arial" w:hAnsi="Arial" w:cs="Arial"/>
          <w:sz w:val="20"/>
          <w:szCs w:val="20"/>
        </w:rPr>
        <w:t>mechanisms including de novo carcinogenesis or metastatic spread of primary thyroid cancer.</w:t>
      </w:r>
    </w:p>
    <w:p w:rsidR="00183021" w:rsidRPr="00183021" w:rsidRDefault="00183021" w:rsidP="00183021">
      <w:pPr>
        <w:rPr>
          <w:rFonts w:ascii="Arial" w:hAnsi="Arial" w:cs="Arial"/>
          <w:sz w:val="20"/>
          <w:szCs w:val="20"/>
        </w:rPr>
      </w:pPr>
      <w:r w:rsidRPr="00183021">
        <w:rPr>
          <w:rFonts w:ascii="Arial" w:hAnsi="Arial" w:cs="Arial"/>
          <w:sz w:val="20"/>
          <w:szCs w:val="20"/>
        </w:rPr>
        <w:t>Diagnostic evaluation includes ultrasound, fine needle aspiration cytology (FNAC) and</w:t>
      </w:r>
    </w:p>
    <w:p w:rsidR="00183021" w:rsidRPr="00183021" w:rsidRDefault="00183021" w:rsidP="00183021">
      <w:pPr>
        <w:rPr>
          <w:rFonts w:ascii="Arial" w:hAnsi="Arial" w:cs="Arial"/>
          <w:sz w:val="20"/>
          <w:szCs w:val="20"/>
        </w:rPr>
      </w:pPr>
      <w:r w:rsidRPr="00183021">
        <w:rPr>
          <w:rFonts w:ascii="Arial" w:hAnsi="Arial" w:cs="Arial"/>
          <w:sz w:val="20"/>
          <w:szCs w:val="20"/>
        </w:rPr>
        <w:t>histopathological examination. The mainstay of treatment is the Sistrunk procedure, with</w:t>
      </w:r>
    </w:p>
    <w:p w:rsidR="00183021" w:rsidRPr="00183021" w:rsidRDefault="00183021" w:rsidP="00183021">
      <w:pPr>
        <w:rPr>
          <w:rFonts w:ascii="Arial" w:hAnsi="Arial" w:cs="Arial"/>
          <w:sz w:val="20"/>
          <w:szCs w:val="20"/>
        </w:rPr>
      </w:pPr>
      <w:r w:rsidRPr="00183021">
        <w:rPr>
          <w:rFonts w:ascii="Arial" w:hAnsi="Arial" w:cs="Arial"/>
          <w:sz w:val="20"/>
          <w:szCs w:val="20"/>
        </w:rPr>
        <w:t>thyroidectomy and lymph node dissection considered in selected cases. This article is a</w:t>
      </w:r>
    </w:p>
    <w:p w:rsidR="00183021" w:rsidRPr="00183021" w:rsidRDefault="00183021" w:rsidP="00183021">
      <w:pPr>
        <w:rPr>
          <w:rFonts w:ascii="Arial" w:hAnsi="Arial" w:cs="Arial"/>
          <w:sz w:val="20"/>
          <w:szCs w:val="20"/>
        </w:rPr>
      </w:pPr>
      <w:r w:rsidRPr="00183021">
        <w:rPr>
          <w:rFonts w:ascii="Arial" w:hAnsi="Arial" w:cs="Arial"/>
          <w:sz w:val="20"/>
          <w:szCs w:val="20"/>
        </w:rPr>
        <w:t>comprehensive summary ready for publication. It is a useful supplement for both postgraduate</w:t>
      </w:r>
    </w:p>
    <w:p w:rsidR="00183021" w:rsidRPr="00183021" w:rsidRDefault="00183021" w:rsidP="00183021">
      <w:pPr>
        <w:rPr>
          <w:rFonts w:ascii="Arial" w:hAnsi="Arial" w:cs="Arial"/>
          <w:sz w:val="20"/>
          <w:szCs w:val="20"/>
        </w:rPr>
      </w:pPr>
      <w:r w:rsidRPr="00183021">
        <w:rPr>
          <w:rFonts w:ascii="Arial" w:hAnsi="Arial" w:cs="Arial"/>
          <w:sz w:val="20"/>
          <w:szCs w:val="20"/>
        </w:rPr>
        <w:t>students and surgeons. The significance of this work is in identifying the localization of papillary</w:t>
      </w:r>
    </w:p>
    <w:p w:rsidR="00183021" w:rsidRPr="00183021" w:rsidRDefault="00183021" w:rsidP="00183021">
      <w:pPr>
        <w:rPr>
          <w:rFonts w:ascii="Arial" w:hAnsi="Arial" w:cs="Arial"/>
          <w:sz w:val="20"/>
          <w:szCs w:val="20"/>
        </w:rPr>
      </w:pPr>
      <w:r w:rsidRPr="00183021">
        <w:rPr>
          <w:rFonts w:ascii="Arial" w:hAnsi="Arial" w:cs="Arial"/>
          <w:sz w:val="20"/>
          <w:szCs w:val="20"/>
        </w:rPr>
        <w:t>thyroid tumor outside the thyroid gland. This is a very rare and poorly studied localization of this</w:t>
      </w:r>
    </w:p>
    <w:p w:rsidR="00183021" w:rsidRPr="00183021" w:rsidRDefault="00183021" w:rsidP="00183021">
      <w:pPr>
        <w:rPr>
          <w:rFonts w:ascii="Arial" w:hAnsi="Arial" w:cs="Arial"/>
          <w:sz w:val="20"/>
          <w:szCs w:val="20"/>
        </w:rPr>
      </w:pPr>
      <w:r w:rsidRPr="00183021">
        <w:rPr>
          <w:rFonts w:ascii="Arial" w:hAnsi="Arial" w:cs="Arial"/>
          <w:sz w:val="20"/>
          <w:szCs w:val="20"/>
        </w:rPr>
        <w:t>pathology, which is why it is interesting. In addition, the authors proposed the main necessary</w:t>
      </w:r>
    </w:p>
    <w:p w:rsidR="00183021" w:rsidRPr="00183021" w:rsidRDefault="00183021" w:rsidP="00183021">
      <w:pPr>
        <w:rPr>
          <w:rFonts w:ascii="Arial" w:hAnsi="Arial" w:cs="Arial"/>
          <w:sz w:val="20"/>
          <w:szCs w:val="20"/>
        </w:rPr>
      </w:pPr>
      <w:r w:rsidRPr="00183021">
        <w:rPr>
          <w:rFonts w:ascii="Arial" w:hAnsi="Arial" w:cs="Arial"/>
          <w:sz w:val="20"/>
          <w:szCs w:val="20"/>
        </w:rPr>
        <w:t>methods of diagnosis and combined treatment for this localization of papillary cancer.</w:t>
      </w:r>
    </w:p>
    <w:p w:rsidR="00183021" w:rsidRPr="00183021" w:rsidRDefault="00183021" w:rsidP="00183021">
      <w:pPr>
        <w:rPr>
          <w:rFonts w:ascii="Arial" w:hAnsi="Arial" w:cs="Arial"/>
          <w:b/>
          <w:sz w:val="20"/>
          <w:szCs w:val="20"/>
          <w:u w:val="single"/>
        </w:rPr>
      </w:pPr>
    </w:p>
    <w:p w:rsidR="00183021" w:rsidRPr="00183021" w:rsidRDefault="00183021" w:rsidP="00183021">
      <w:pPr>
        <w:rPr>
          <w:rFonts w:ascii="Arial" w:hAnsi="Arial" w:cs="Arial"/>
          <w:b/>
          <w:sz w:val="20"/>
          <w:szCs w:val="20"/>
          <w:u w:val="single"/>
        </w:rPr>
      </w:pPr>
    </w:p>
    <w:p w:rsidR="00183021" w:rsidRPr="00183021" w:rsidRDefault="00183021" w:rsidP="00183021">
      <w:pPr>
        <w:rPr>
          <w:rFonts w:ascii="Arial" w:hAnsi="Arial" w:cs="Arial"/>
          <w:b/>
          <w:sz w:val="20"/>
          <w:szCs w:val="20"/>
          <w:u w:val="single"/>
        </w:rPr>
      </w:pPr>
      <w:r w:rsidRPr="0018302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83021" w:rsidRPr="00183021" w:rsidRDefault="00183021" w:rsidP="00183021">
      <w:pPr>
        <w:pStyle w:val="NoSpacing"/>
        <w:rPr>
          <w:rFonts w:ascii="Arial" w:hAnsi="Arial" w:cs="Arial"/>
          <w:sz w:val="20"/>
          <w:szCs w:val="20"/>
        </w:rPr>
      </w:pPr>
      <w:r w:rsidRPr="00183021">
        <w:rPr>
          <w:rFonts w:ascii="Arial" w:hAnsi="Arial" w:cs="Arial"/>
          <w:sz w:val="20"/>
          <w:szCs w:val="20"/>
        </w:rPr>
        <w:t xml:space="preserve">Dr. Elvira </w:t>
      </w:r>
      <w:proofErr w:type="spellStart"/>
      <w:r w:rsidRPr="00183021">
        <w:rPr>
          <w:rFonts w:ascii="Arial" w:hAnsi="Arial" w:cs="Arial"/>
          <w:sz w:val="20"/>
          <w:szCs w:val="20"/>
        </w:rPr>
        <w:t>Bormusov</w:t>
      </w:r>
      <w:proofErr w:type="spellEnd"/>
      <w:r w:rsidRPr="0018302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83021">
        <w:rPr>
          <w:rFonts w:ascii="Arial" w:hAnsi="Arial" w:cs="Arial"/>
          <w:sz w:val="20"/>
          <w:szCs w:val="20"/>
        </w:rPr>
        <w:t>Retd</w:t>
      </w:r>
      <w:proofErr w:type="spellEnd"/>
      <w:r w:rsidRPr="00183021">
        <w:rPr>
          <w:rFonts w:ascii="Arial" w:hAnsi="Arial" w:cs="Arial"/>
          <w:sz w:val="20"/>
          <w:szCs w:val="20"/>
        </w:rPr>
        <w:t>.)</w:t>
      </w:r>
    </w:p>
    <w:p w:rsidR="00183021" w:rsidRPr="00183021" w:rsidRDefault="00183021" w:rsidP="00183021">
      <w:pPr>
        <w:pStyle w:val="NoSpacing"/>
        <w:rPr>
          <w:rFonts w:ascii="Arial" w:hAnsi="Arial" w:cs="Arial"/>
          <w:sz w:val="20"/>
          <w:szCs w:val="20"/>
        </w:rPr>
      </w:pPr>
      <w:r w:rsidRPr="00183021">
        <w:rPr>
          <w:rFonts w:ascii="Arial" w:hAnsi="Arial" w:cs="Arial"/>
          <w:sz w:val="20"/>
          <w:szCs w:val="20"/>
        </w:rPr>
        <w:t>The Ruth and Bruce Rappaport Faculty of Medicine Haifa, Israel</w:t>
      </w:r>
      <w:r w:rsidRPr="00183021">
        <w:rPr>
          <w:rFonts w:ascii="Arial" w:hAnsi="Arial" w:cs="Arial"/>
          <w:sz w:val="20"/>
          <w:szCs w:val="20"/>
        </w:rPr>
        <w:t>.</w:t>
      </w:r>
      <w:bookmarkEnd w:id="0"/>
    </w:p>
    <w:sectPr w:rsidR="00183021" w:rsidRPr="00183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1B5"/>
    <w:rsid w:val="00012D51"/>
    <w:rsid w:val="00054ED6"/>
    <w:rsid w:val="00183021"/>
    <w:rsid w:val="002D71B5"/>
    <w:rsid w:val="005633F2"/>
    <w:rsid w:val="005825BA"/>
    <w:rsid w:val="00BD367C"/>
    <w:rsid w:val="00BF354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F0CA5"/>
  <w15:chartTrackingRefBased/>
  <w15:docId w15:val="{E89A481A-4265-4DC0-8033-E640DBC9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30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4</cp:revision>
  <dcterms:created xsi:type="dcterms:W3CDTF">2025-02-17T08:08:00Z</dcterms:created>
  <dcterms:modified xsi:type="dcterms:W3CDTF">2025-03-07T05:13:00Z</dcterms:modified>
</cp:coreProperties>
</file>