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3A529B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3A529B" w:rsidRDefault="003A529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3A529B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3A529B" w:rsidRDefault="00DF1398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3A529B" w:rsidRDefault="00C400F2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8" w:history="1">
              <w:r w:rsidR="00DF1398">
                <w:rPr>
                  <w:rStyle w:val="Hyperlink"/>
                  <w:rFonts w:ascii="Arial" w:hAnsi="Arial" w:cs="Arial"/>
                </w:rPr>
                <w:t>Recent Developments in Chemistry and Biochemistry Research</w:t>
              </w:r>
            </w:hyperlink>
          </w:p>
        </w:tc>
      </w:tr>
      <w:tr w:rsidR="003A529B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3A529B" w:rsidRDefault="00DF1398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3A529B" w:rsidRDefault="00DF1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8"/>
                <w:lang w:val="en-GB"/>
              </w:rPr>
              <w:t>Ms_BPR_3026</w:t>
            </w:r>
          </w:p>
        </w:tc>
      </w:tr>
      <w:tr w:rsidR="003A529B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3A529B" w:rsidRDefault="00DF1398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3A529B" w:rsidRDefault="00DF1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The Role of β-Cyclodextrin in the Textile Industry—Review</w:t>
            </w:r>
          </w:p>
        </w:tc>
      </w:tr>
      <w:tr w:rsidR="003A529B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3A529B" w:rsidRDefault="00DF1398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3A529B" w:rsidRDefault="00DF139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77777777" w:rsidR="003A529B" w:rsidRDefault="003A529B" w:rsidP="009052D2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3A529B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3A529B" w:rsidRDefault="003A529B">
            <w:pPr>
              <w:rPr>
                <w:sz w:val="20"/>
                <w:szCs w:val="20"/>
                <w:lang w:val="en-GB"/>
              </w:rPr>
            </w:pPr>
          </w:p>
        </w:tc>
      </w:tr>
      <w:tr w:rsidR="003A529B" w14:paraId="5EA12279" w14:textId="77777777">
        <w:tc>
          <w:tcPr>
            <w:tcW w:w="1265" w:type="pct"/>
            <w:noWrap/>
          </w:tcPr>
          <w:p w14:paraId="06DA2C7D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Author’s Feedback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3A529B" w14:paraId="5C0AB4EC" w14:textId="77777777">
        <w:trPr>
          <w:trHeight w:val="1264"/>
        </w:trPr>
        <w:tc>
          <w:tcPr>
            <w:tcW w:w="1265" w:type="pct"/>
            <w:noWrap/>
          </w:tcPr>
          <w:p w14:paraId="66B47184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3A529B" w:rsidRDefault="003A529B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3A529B" w:rsidRDefault="00DF139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The manuscript explains the </w:t>
            </w:r>
            <w:r>
              <w:rPr>
                <w:b/>
                <w:bCs/>
                <w:sz w:val="20"/>
                <w:szCs w:val="20"/>
                <w:lang w:val="en-GB"/>
              </w:rPr>
              <w:t>Role of β-Cyclodextrin in the Textile Industry</w:t>
            </w:r>
            <w:r>
              <w:rPr>
                <w:b/>
                <w:bCs/>
                <w:sz w:val="20"/>
                <w:szCs w:val="20"/>
                <w:lang w:val="en-IN"/>
              </w:rPr>
              <w:t xml:space="preserve"> which is an essential topic to be discussed especially indicating its limitations and advantages. This review explained the concerned topic with structures which will be easily understandable.</w:t>
            </w:r>
          </w:p>
        </w:tc>
        <w:tc>
          <w:tcPr>
            <w:tcW w:w="1523" w:type="pct"/>
          </w:tcPr>
          <w:p w14:paraId="462A339C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0D8B5B2C" w14:textId="77777777" w:rsidTr="00602D86">
        <w:trPr>
          <w:trHeight w:val="77"/>
        </w:trPr>
        <w:tc>
          <w:tcPr>
            <w:tcW w:w="1265" w:type="pct"/>
            <w:noWrap/>
          </w:tcPr>
          <w:p w14:paraId="21CBA5FE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05B6701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5604762A" w14:textId="77777777" w:rsidTr="00602D86">
        <w:trPr>
          <w:trHeight w:val="77"/>
        </w:trPr>
        <w:tc>
          <w:tcPr>
            <w:tcW w:w="1265" w:type="pct"/>
            <w:noWrap/>
          </w:tcPr>
          <w:p w14:paraId="3635573D" w14:textId="77777777" w:rsidR="003A529B" w:rsidRDefault="00DF139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Yes, although a sentence may be included clarifying the tenure of the previous studies undertaken.</w:t>
            </w:r>
          </w:p>
        </w:tc>
        <w:tc>
          <w:tcPr>
            <w:tcW w:w="1523" w:type="pct"/>
          </w:tcPr>
          <w:p w14:paraId="1D54B730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2F579F54" w14:textId="77777777">
        <w:trPr>
          <w:trHeight w:val="859"/>
        </w:trPr>
        <w:tc>
          <w:tcPr>
            <w:tcW w:w="1265" w:type="pct"/>
            <w:noWrap/>
          </w:tcPr>
          <w:p w14:paraId="04361F46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77777777" w:rsidR="003A529B" w:rsidRDefault="00DF139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898F764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29D9208C" w14:textId="77777777">
        <w:trPr>
          <w:trHeight w:val="704"/>
        </w:trPr>
        <w:tc>
          <w:tcPr>
            <w:tcW w:w="1265" w:type="pct"/>
            <w:noWrap/>
          </w:tcPr>
          <w:p w14:paraId="4F8837DA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77777777" w:rsidR="003A529B" w:rsidRDefault="00DF139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 xml:space="preserve">Cyclodextrins are considered as </w:t>
            </w:r>
            <w:proofErr w:type="gramStart"/>
            <w:r>
              <w:rPr>
                <w:b/>
                <w:bCs/>
                <w:sz w:val="20"/>
                <w:szCs w:val="20"/>
                <w:lang w:val="en-IN"/>
              </w:rPr>
              <w:t>a  new</w:t>
            </w:r>
            <w:proofErr w:type="gramEnd"/>
            <w:r>
              <w:rPr>
                <w:b/>
                <w:bCs/>
                <w:sz w:val="20"/>
                <w:szCs w:val="20"/>
                <w:lang w:val="en-IN"/>
              </w:rPr>
              <w:t xml:space="preserve"> topic in textile industry. The cyclodextrin incorporated textiles can be applied in various applications. The future applications </w:t>
            </w:r>
            <w:proofErr w:type="gramStart"/>
            <w:r>
              <w:rPr>
                <w:b/>
                <w:bCs/>
                <w:sz w:val="20"/>
                <w:szCs w:val="20"/>
                <w:lang w:val="en-IN"/>
              </w:rPr>
              <w:t>includes</w:t>
            </w:r>
            <w:proofErr w:type="gramEnd"/>
            <w:r>
              <w:rPr>
                <w:b/>
                <w:bCs/>
                <w:sz w:val="20"/>
                <w:szCs w:val="20"/>
                <w:lang w:val="en-IN"/>
              </w:rPr>
              <w:t xml:space="preserve"> antibacterial, anti-fungal properties. </w:t>
            </w:r>
          </w:p>
          <w:p w14:paraId="5D61359D" w14:textId="77777777" w:rsidR="003A529B" w:rsidRDefault="00DF139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These can also be used as an adsorbent in water treatment.</w:t>
            </w:r>
          </w:p>
          <w:p w14:paraId="3F04AB2D" w14:textId="77777777" w:rsidR="003A529B" w:rsidRDefault="003A529B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23" w:type="pct"/>
          </w:tcPr>
          <w:p w14:paraId="4614DFC3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73739464" w14:textId="77777777">
        <w:trPr>
          <w:trHeight w:val="703"/>
        </w:trPr>
        <w:tc>
          <w:tcPr>
            <w:tcW w:w="1265" w:type="pct"/>
            <w:noWrap/>
          </w:tcPr>
          <w:p w14:paraId="09C25322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3A529B" w:rsidRDefault="00DF139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3A529B" w:rsidRDefault="00DF139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IN"/>
              </w:rPr>
            </w:pPr>
            <w:r>
              <w:rPr>
                <w:b/>
                <w:bCs/>
                <w:sz w:val="20"/>
                <w:szCs w:val="20"/>
                <w:lang w:val="en-IN"/>
              </w:rPr>
              <w:t>Yes</w:t>
            </w:r>
          </w:p>
        </w:tc>
        <w:tc>
          <w:tcPr>
            <w:tcW w:w="1523" w:type="pct"/>
          </w:tcPr>
          <w:p w14:paraId="40220055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3A529B" w14:paraId="73CC4A50" w14:textId="77777777">
        <w:trPr>
          <w:trHeight w:val="386"/>
        </w:trPr>
        <w:tc>
          <w:tcPr>
            <w:tcW w:w="1265" w:type="pct"/>
            <w:noWrap/>
          </w:tcPr>
          <w:p w14:paraId="3410C687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>
              <w:rPr>
                <w:rFonts w:ascii="Times New Roman" w:hAnsi="Times New Roman"/>
                <w:b w:val="0"/>
                <w:u w:val="single"/>
                <w:lang w:val="en-GB"/>
              </w:rPr>
              <w:lastRenderedPageBreak/>
              <w:t>Minor</w:t>
            </w:r>
            <w:r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3A529B" w:rsidRDefault="00DF139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3A529B" w:rsidRDefault="003A529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3A529B" w:rsidRDefault="00DF1398">
            <w:pPr>
              <w:numPr>
                <w:ilvl w:val="0"/>
                <w:numId w:val="1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In the abstract section, kindly include the tenure of the previous studies considered.</w:t>
            </w:r>
          </w:p>
          <w:p w14:paraId="2DF3C242" w14:textId="77777777" w:rsidR="003A529B" w:rsidRDefault="00DF1398">
            <w:pPr>
              <w:numPr>
                <w:ilvl w:val="0"/>
                <w:numId w:val="1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Authors are advised to kindly include more information in the introduction section as it is unclear.</w:t>
            </w:r>
          </w:p>
          <w:p w14:paraId="5248A355" w14:textId="77777777" w:rsidR="003A529B" w:rsidRDefault="00DF1398">
            <w:pPr>
              <w:numPr>
                <w:ilvl w:val="0"/>
                <w:numId w:val="1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Authors are also suggested to rewrite the conclusion part as the sentences are not serially arranged and seems to be repeated (similar meanings).</w:t>
            </w:r>
          </w:p>
          <w:p w14:paraId="23568BB8" w14:textId="77777777" w:rsidR="003A529B" w:rsidRDefault="00DF1398">
            <w:pPr>
              <w:numPr>
                <w:ilvl w:val="0"/>
                <w:numId w:val="1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>Kindly include a section of abbreviations used.</w:t>
            </w:r>
          </w:p>
          <w:p w14:paraId="77D91FEC" w14:textId="77777777" w:rsidR="003A529B" w:rsidRDefault="00DF1398">
            <w:pPr>
              <w:numPr>
                <w:ilvl w:val="0"/>
                <w:numId w:val="1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Kindly include the following </w:t>
            </w:r>
            <w:proofErr w:type="spellStart"/>
            <w:r>
              <w:rPr>
                <w:sz w:val="20"/>
                <w:szCs w:val="20"/>
                <w:lang w:val="en-IN"/>
              </w:rPr>
              <w:t>referrences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(which would clarify some recent works indicating future applications in similar field)</w:t>
            </w:r>
          </w:p>
          <w:p w14:paraId="0BA3746C" w14:textId="77777777" w:rsidR="003A529B" w:rsidRDefault="003A529B">
            <w:pPr>
              <w:rPr>
                <w:sz w:val="20"/>
                <w:szCs w:val="20"/>
                <w:lang w:val="en-IN"/>
              </w:rPr>
            </w:pPr>
          </w:p>
          <w:p w14:paraId="40DD7E32" w14:textId="77777777" w:rsidR="003A529B" w:rsidRDefault="00DF1398">
            <w:pPr>
              <w:numPr>
                <w:ilvl w:val="0"/>
                <w:numId w:val="2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Manash </w:t>
            </w:r>
            <w:proofErr w:type="spellStart"/>
            <w:r>
              <w:rPr>
                <w:sz w:val="20"/>
                <w:szCs w:val="20"/>
                <w:lang w:val="en-IN"/>
              </w:rPr>
              <w:t>Pratim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Barman, </w:t>
            </w:r>
            <w:proofErr w:type="spellStart"/>
            <w:r>
              <w:rPr>
                <w:sz w:val="20"/>
                <w:szCs w:val="20"/>
                <w:lang w:val="en-IN"/>
              </w:rPr>
              <w:t>Dipanwita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Basak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, </w:t>
            </w:r>
            <w:proofErr w:type="spellStart"/>
            <w:r>
              <w:rPr>
                <w:sz w:val="20"/>
                <w:szCs w:val="20"/>
                <w:lang w:val="en-IN"/>
              </w:rPr>
              <w:t>Debasis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Borah, </w:t>
            </w:r>
            <w:proofErr w:type="spellStart"/>
            <w:r>
              <w:rPr>
                <w:sz w:val="20"/>
                <w:szCs w:val="20"/>
                <w:lang w:val="en-IN"/>
              </w:rPr>
              <w:t>Deepmoni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Brahma, Mandira Debnath and </w:t>
            </w:r>
            <w:proofErr w:type="spellStart"/>
            <w:r>
              <w:rPr>
                <w:sz w:val="20"/>
                <w:szCs w:val="20"/>
                <w:lang w:val="en-IN"/>
              </w:rPr>
              <w:t>Hemaprobha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Saikia</w:t>
            </w:r>
            <w:proofErr w:type="spellEnd"/>
            <w:r>
              <w:rPr>
                <w:sz w:val="20"/>
                <w:szCs w:val="20"/>
                <w:lang w:val="en-IN"/>
              </w:rPr>
              <w:t>. "Green Synthesis and applications of Mono/Bimetallic Nanoparticles on Mesoporous Clay: A Review". Reviews in Inorganic Chemistry Published online May 27, 2024 </w:t>
            </w:r>
            <w:hyperlink r:id="rId9" w:tgtFrame="https://sites.google.com/site/hemaprobha16/_blank" w:history="1">
              <w:r>
                <w:rPr>
                  <w:sz w:val="20"/>
                  <w:szCs w:val="20"/>
                  <w:lang w:val="en-IN"/>
                </w:rPr>
                <w:t>https://doi.org/10.1515/revic-2024-0008</w:t>
              </w:r>
            </w:hyperlink>
            <w:r>
              <w:rPr>
                <w:sz w:val="20"/>
                <w:szCs w:val="20"/>
                <w:lang w:val="en-IN"/>
              </w:rPr>
              <w:t>.</w:t>
            </w:r>
          </w:p>
          <w:p w14:paraId="4D1B9174" w14:textId="77777777" w:rsidR="003A529B" w:rsidRDefault="00DF1398">
            <w:pPr>
              <w:numPr>
                <w:ilvl w:val="0"/>
                <w:numId w:val="2"/>
              </w:numPr>
              <w:rPr>
                <w:sz w:val="20"/>
                <w:szCs w:val="20"/>
                <w:lang w:val="en-IN"/>
              </w:rPr>
            </w:pPr>
            <w:r>
              <w:rPr>
                <w:sz w:val="20"/>
                <w:szCs w:val="20"/>
                <w:lang w:val="en-IN"/>
              </w:rPr>
              <w:t xml:space="preserve">Dipanwita Basak, Mohit Kumar, Mandira Debnath, </w:t>
            </w:r>
            <w:proofErr w:type="spellStart"/>
            <w:r>
              <w:rPr>
                <w:sz w:val="20"/>
                <w:szCs w:val="20"/>
                <w:lang w:val="en-IN"/>
              </w:rPr>
              <w:t>Debasis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Borah, </w:t>
            </w:r>
            <w:proofErr w:type="spellStart"/>
            <w:r>
              <w:rPr>
                <w:sz w:val="20"/>
                <w:szCs w:val="20"/>
                <w:lang w:val="en-IN"/>
              </w:rPr>
              <w:t>Deepmoni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Brahma, </w:t>
            </w:r>
            <w:proofErr w:type="spellStart"/>
            <w:r>
              <w:rPr>
                <w:sz w:val="20"/>
                <w:szCs w:val="20"/>
                <w:lang w:val="en-IN"/>
              </w:rPr>
              <w:t>Harshajit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Nath and </w:t>
            </w:r>
            <w:proofErr w:type="spellStart"/>
            <w:r>
              <w:rPr>
                <w:sz w:val="20"/>
                <w:szCs w:val="20"/>
                <w:lang w:val="en-IN"/>
              </w:rPr>
              <w:t>Hemaprobha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Saikia</w:t>
            </w:r>
            <w:proofErr w:type="spellEnd"/>
            <w:r>
              <w:rPr>
                <w:sz w:val="20"/>
                <w:szCs w:val="20"/>
                <w:lang w:val="en-IN"/>
              </w:rPr>
              <w:t>. "Smectite-supported metal nanoparticles: current trends and approaches." </w:t>
            </w:r>
            <w:proofErr w:type="spellStart"/>
            <w:r>
              <w:rPr>
                <w:sz w:val="20"/>
                <w:szCs w:val="20"/>
                <w:lang w:val="en-IN"/>
              </w:rPr>
              <w:t>Monatshefte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für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Chemie</w:t>
            </w:r>
            <w:proofErr w:type="spellEnd"/>
            <w:r>
              <w:rPr>
                <w:sz w:val="20"/>
                <w:szCs w:val="20"/>
                <w:lang w:val="en-IN"/>
              </w:rPr>
              <w:t>-Chemical Monthly (2023): 1-11. https://doi.org/10.1007/s00706-023-03077-0 </w:t>
            </w:r>
          </w:p>
          <w:p w14:paraId="62D7E86F" w14:textId="77777777" w:rsidR="003A529B" w:rsidRDefault="00DF1398">
            <w:pPr>
              <w:numPr>
                <w:ilvl w:val="0"/>
                <w:numId w:val="2"/>
              </w:numPr>
              <w:rPr>
                <w:sz w:val="20"/>
                <w:szCs w:val="20"/>
                <w:lang w:val="en-IN"/>
              </w:rPr>
            </w:pPr>
            <w:proofErr w:type="spellStart"/>
            <w:r>
              <w:rPr>
                <w:sz w:val="20"/>
                <w:szCs w:val="20"/>
                <w:lang w:val="en-IN"/>
              </w:rPr>
              <w:t>Deepmoni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Brahma, Kasturi </w:t>
            </w:r>
            <w:proofErr w:type="spellStart"/>
            <w:r>
              <w:rPr>
                <w:sz w:val="20"/>
                <w:szCs w:val="20"/>
                <w:lang w:val="en-IN"/>
              </w:rPr>
              <w:t>Priyom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Nath, </w:t>
            </w:r>
            <w:proofErr w:type="spellStart"/>
            <w:r>
              <w:rPr>
                <w:sz w:val="20"/>
                <w:szCs w:val="20"/>
                <w:lang w:val="en-IN"/>
              </w:rPr>
              <w:t>Madhusmita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Patgiri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and </w:t>
            </w:r>
            <w:proofErr w:type="spellStart"/>
            <w:r>
              <w:rPr>
                <w:sz w:val="20"/>
                <w:szCs w:val="20"/>
                <w:lang w:val="en-IN"/>
              </w:rPr>
              <w:t>Hemaprobha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Saikia</w:t>
            </w:r>
            <w:proofErr w:type="spellEnd"/>
            <w:r>
              <w:rPr>
                <w:sz w:val="20"/>
                <w:szCs w:val="20"/>
                <w:lang w:val="en-IN"/>
              </w:rPr>
              <w:t>. “Synthesis of Ternary CaNiAl-Layered Double Hydroxide as Potential Adsorbent for Congo Red Dye Removal in Aqueous Solution”. Asian Journal of Chemistry 34, no. 12 (2022): 3215-3223.  </w:t>
            </w:r>
            <w:hyperlink r:id="rId10" w:tgtFrame="https://sites.google.com/site/hemaprobha16/_blank" w:history="1">
              <w:r>
                <w:rPr>
                  <w:sz w:val="20"/>
                  <w:szCs w:val="20"/>
                  <w:lang w:val="en-IN"/>
                </w:rPr>
                <w:t>https://doi.org/10.14233/ajchem.2022.23977</w:t>
              </w:r>
            </w:hyperlink>
          </w:p>
          <w:p w14:paraId="138F710D" w14:textId="77777777" w:rsidR="003A529B" w:rsidRDefault="00DF1398">
            <w:pPr>
              <w:numPr>
                <w:ilvl w:val="0"/>
                <w:numId w:val="2"/>
              </w:numPr>
              <w:rPr>
                <w:sz w:val="20"/>
                <w:szCs w:val="20"/>
                <w:lang w:val="en-IN"/>
              </w:rPr>
            </w:pPr>
            <w:proofErr w:type="spellStart"/>
            <w:r>
              <w:rPr>
                <w:sz w:val="20"/>
                <w:szCs w:val="20"/>
                <w:lang w:val="en-IN"/>
              </w:rPr>
              <w:t>Deepmoni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Brahma, </w:t>
            </w:r>
            <w:proofErr w:type="spellStart"/>
            <w:r>
              <w:rPr>
                <w:sz w:val="20"/>
                <w:szCs w:val="20"/>
                <w:lang w:val="en-IN"/>
              </w:rPr>
              <w:t>Harshajit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Nath, Debasis Borah, Mandira Debnath and </w:t>
            </w:r>
            <w:proofErr w:type="spellStart"/>
            <w:r>
              <w:rPr>
                <w:sz w:val="20"/>
                <w:szCs w:val="20"/>
                <w:lang w:val="en-IN"/>
              </w:rPr>
              <w:t>Hemaprobha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Saikia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. "Coconut husk ash fabricated </w:t>
            </w:r>
            <w:proofErr w:type="spellStart"/>
            <w:r>
              <w:rPr>
                <w:sz w:val="20"/>
                <w:szCs w:val="20"/>
                <w:lang w:val="en-IN"/>
              </w:rPr>
              <w:t>coAl</w:t>
            </w:r>
            <w:proofErr w:type="spellEnd"/>
            <w:r>
              <w:rPr>
                <w:sz w:val="20"/>
                <w:szCs w:val="20"/>
                <w:lang w:val="en-IN"/>
              </w:rPr>
              <w:t>-layered double hydroxide composite for the enhanced sorption of malachite green dye: Isotherm, kinetics and thermodynamic studies." Inorganic Chemistry Communications 144 (2022): 109878. </w:t>
            </w:r>
            <w:hyperlink r:id="rId11" w:tgtFrame="https://sites.google.com/site/hemaprobha16/_blank" w:history="1">
              <w:r>
                <w:rPr>
                  <w:sz w:val="20"/>
                  <w:szCs w:val="20"/>
                  <w:lang w:val="en-IN"/>
                </w:rPr>
                <w:t>https://doi.org/10.1016/j.inoche.2022.109878</w:t>
              </w:r>
            </w:hyperlink>
          </w:p>
          <w:p w14:paraId="6FB029C0" w14:textId="77777777" w:rsidR="003A529B" w:rsidRDefault="00DF1398">
            <w:pPr>
              <w:numPr>
                <w:ilvl w:val="0"/>
                <w:numId w:val="2"/>
              </w:numPr>
              <w:rPr>
                <w:sz w:val="20"/>
                <w:szCs w:val="20"/>
                <w:lang w:val="en-IN"/>
              </w:rPr>
            </w:pPr>
            <w:proofErr w:type="spellStart"/>
            <w:r>
              <w:rPr>
                <w:sz w:val="20"/>
                <w:szCs w:val="20"/>
                <w:lang w:val="en-IN"/>
              </w:rPr>
              <w:t>Deepmoni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Brahma and </w:t>
            </w:r>
            <w:proofErr w:type="spellStart"/>
            <w:r>
              <w:rPr>
                <w:sz w:val="20"/>
                <w:szCs w:val="20"/>
                <w:lang w:val="en-IN"/>
              </w:rPr>
              <w:t>Hemaprobha</w:t>
            </w:r>
            <w:proofErr w:type="spellEnd"/>
            <w:r>
              <w:rPr>
                <w:sz w:val="20"/>
                <w:szCs w:val="20"/>
                <w:lang w:val="en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IN"/>
              </w:rPr>
              <w:t>Saikia</w:t>
            </w:r>
            <w:proofErr w:type="spellEnd"/>
            <w:r>
              <w:rPr>
                <w:sz w:val="20"/>
                <w:szCs w:val="20"/>
                <w:lang w:val="en-IN"/>
              </w:rPr>
              <w:t>. "Synthesis of ZrO2/</w:t>
            </w:r>
            <w:proofErr w:type="spellStart"/>
            <w:r>
              <w:rPr>
                <w:sz w:val="20"/>
                <w:szCs w:val="20"/>
                <w:lang w:val="en-IN"/>
              </w:rPr>
              <w:t>MgAl</w:t>
            </w:r>
            <w:proofErr w:type="spellEnd"/>
            <w:r>
              <w:rPr>
                <w:sz w:val="20"/>
                <w:szCs w:val="20"/>
                <w:lang w:val="en-IN"/>
              </w:rPr>
              <w:t>-LDH composites and evaluation of its isotherm, kinetics and thermodynamic properties in the adsorption of Congo red dye." Chemical Thermodynamics and Thermal Analysis 7 (2022): 100067.  </w:t>
            </w:r>
            <w:hyperlink r:id="rId12" w:tgtFrame="https://sites.google.com/site/hemaprobha16/_blank" w:history="1">
              <w:r>
                <w:rPr>
                  <w:sz w:val="20"/>
                  <w:szCs w:val="20"/>
                  <w:lang w:val="en-IN"/>
                </w:rPr>
                <w:t>https://doi.org/10.1016/j.ctta.2022.100067</w:t>
              </w:r>
            </w:hyperlink>
          </w:p>
          <w:p w14:paraId="149A6CEF" w14:textId="77777777" w:rsidR="003A529B" w:rsidRDefault="003A529B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3A529B" w:rsidRDefault="003A529B">
            <w:pPr>
              <w:rPr>
                <w:sz w:val="20"/>
                <w:szCs w:val="20"/>
                <w:lang w:val="en-GB"/>
              </w:rPr>
            </w:pPr>
          </w:p>
        </w:tc>
      </w:tr>
      <w:tr w:rsidR="003A529B" w14:paraId="20A16C0C" w14:textId="77777777" w:rsidTr="009052D2">
        <w:trPr>
          <w:trHeight w:val="435"/>
        </w:trPr>
        <w:tc>
          <w:tcPr>
            <w:tcW w:w="1265" w:type="pct"/>
            <w:noWrap/>
          </w:tcPr>
          <w:p w14:paraId="7F4BCFAE" w14:textId="77777777" w:rsidR="003A529B" w:rsidRDefault="00DF139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3A529B" w:rsidRDefault="003A529B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77777777" w:rsidR="003A529B" w:rsidRDefault="003A529B">
            <w:pPr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  <w:tc>
          <w:tcPr>
            <w:tcW w:w="1523" w:type="pct"/>
          </w:tcPr>
          <w:p w14:paraId="465E098E" w14:textId="77777777" w:rsidR="003A529B" w:rsidRDefault="003A529B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3A529B" w:rsidRDefault="003A529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F5700" w:rsidRPr="004F5700" w14:paraId="47F4AF0C" w14:textId="77777777" w:rsidTr="009052D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D0A5F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4F5700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6E838E3D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5700" w:rsidRPr="004F5700" w14:paraId="1F5CD6E8" w14:textId="77777777" w:rsidTr="009052D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C46FD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1367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F5700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38CC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F5700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4F5700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F5700" w:rsidRPr="004F5700" w14:paraId="5C393263" w14:textId="77777777" w:rsidTr="009052D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D523B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F5700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5F387401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2AA6" w14:textId="77777777" w:rsidR="004F5700" w:rsidRPr="004F5700" w:rsidRDefault="004F5700" w:rsidP="004F5700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4F5700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F5700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F5700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ABBE570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55DF04C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820E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20022309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D06E2D8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194EE977" w14:textId="77777777" w:rsidR="004F5700" w:rsidRPr="004F5700" w:rsidRDefault="004F5700" w:rsidP="004F5700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4F5700" w:rsidRPr="004F5700" w14:paraId="72B71A6F" w14:textId="77777777" w:rsidTr="009052D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26009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4F5700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BAF788" w14:textId="77777777" w:rsidR="004F5700" w:rsidRPr="004F5700" w:rsidRDefault="004F5700" w:rsidP="004F5700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F5700" w:rsidRPr="004F5700" w14:paraId="0399487F" w14:textId="77777777" w:rsidTr="009052D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E023E" w14:textId="77777777" w:rsidR="004F5700" w:rsidRPr="009052D2" w:rsidRDefault="004F5700" w:rsidP="004F5700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9052D2">
              <w:rPr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8F057" w14:textId="37E4B392" w:rsidR="004F5700" w:rsidRPr="009052D2" w:rsidRDefault="009052D2" w:rsidP="004F5700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9052D2">
              <w:rPr>
                <w:b/>
                <w:bCs/>
                <w:sz w:val="20"/>
                <w:szCs w:val="20"/>
                <w:lang w:val="en-US"/>
              </w:rPr>
              <w:t>Hemaprobha</w:t>
            </w:r>
            <w:proofErr w:type="spellEnd"/>
            <w:r w:rsidRPr="009052D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052D2">
              <w:rPr>
                <w:b/>
                <w:bCs/>
                <w:sz w:val="20"/>
                <w:szCs w:val="20"/>
                <w:lang w:val="en-US"/>
              </w:rPr>
              <w:t>Saikia</w:t>
            </w:r>
            <w:proofErr w:type="spellEnd"/>
          </w:p>
        </w:tc>
      </w:tr>
      <w:tr w:rsidR="004F5700" w:rsidRPr="004F5700" w14:paraId="6BA5E646" w14:textId="77777777" w:rsidTr="009052D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EF29A" w14:textId="77777777" w:rsidR="004F5700" w:rsidRPr="009052D2" w:rsidRDefault="004F5700" w:rsidP="004F5700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9052D2">
              <w:rPr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B5D7" w14:textId="65AB65BD" w:rsidR="004F5700" w:rsidRPr="009052D2" w:rsidRDefault="009052D2" w:rsidP="009052D2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9052D2">
              <w:rPr>
                <w:b/>
                <w:bCs/>
                <w:sz w:val="20"/>
                <w:szCs w:val="20"/>
                <w:lang w:val="en-GB"/>
              </w:rPr>
              <w:t>Bodoland University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052D2">
              <w:rPr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567FFE38" w14:textId="77777777" w:rsidR="004F5700" w:rsidRPr="004F5700" w:rsidRDefault="004F5700" w:rsidP="004F5700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1"/>
    <w:p w14:paraId="07488EAD" w14:textId="77777777" w:rsidR="004F5700" w:rsidRPr="004F5700" w:rsidRDefault="004F5700" w:rsidP="004F5700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p w14:paraId="0821307F" w14:textId="77777777" w:rsidR="003A529B" w:rsidRDefault="003A529B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3A529B">
      <w:headerReference w:type="default" r:id="rId13"/>
      <w:footerReference w:type="default" r:id="rId14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B66BA" w14:textId="77777777" w:rsidR="00C400F2" w:rsidRDefault="00C400F2">
      <w:r>
        <w:separator/>
      </w:r>
    </w:p>
  </w:endnote>
  <w:endnote w:type="continuationSeparator" w:id="0">
    <w:p w14:paraId="0D265E91" w14:textId="77777777" w:rsidR="00C400F2" w:rsidRDefault="00C4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7777777" w:rsidR="003A529B" w:rsidRDefault="00DF1398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(08-07-2024)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E550A" w14:textId="77777777" w:rsidR="00C400F2" w:rsidRDefault="00C400F2">
      <w:r>
        <w:separator/>
      </w:r>
    </w:p>
  </w:footnote>
  <w:footnote w:type="continuationSeparator" w:id="0">
    <w:p w14:paraId="2B5DC363" w14:textId="77777777" w:rsidR="00C400F2" w:rsidRDefault="00C40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77777777" w:rsidR="003A529B" w:rsidRDefault="003A529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3A529B" w:rsidRDefault="003A529B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3A529B" w:rsidRDefault="00DF1398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E40883F"/>
    <w:multiLevelType w:val="singleLevel"/>
    <w:tmpl w:val="CE40883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748BBD"/>
    <w:multiLevelType w:val="singleLevel"/>
    <w:tmpl w:val="CF748BB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6ADF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5AF"/>
    <w:rsid w:val="000C3B7E"/>
    <w:rsid w:val="000D13B0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529B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5700"/>
    <w:rsid w:val="004F741F"/>
    <w:rsid w:val="004F78F5"/>
    <w:rsid w:val="004F7BF2"/>
    <w:rsid w:val="00501BEE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D86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2D2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7FDC"/>
    <w:rsid w:val="00A65C50"/>
    <w:rsid w:val="00A8290F"/>
    <w:rsid w:val="00AA0F4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4CEA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00F2"/>
    <w:rsid w:val="00C435C6"/>
    <w:rsid w:val="00C6257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1398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7948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265E32"/>
  <w15:docId w15:val="{6F7B333D-EBF3-4FDA-B45D-1CB7459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qFormat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2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recent-developments-in-chemistry-and-biochemistry-research-vol-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16/j.ctta.2022.1000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inoche.2022.10987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4233/ajchem.2022.239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515/revic-2024-0008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780</Words>
  <Characters>4447</Characters>
  <Application>Microsoft Office Word</Application>
  <DocSecurity>0</DocSecurity>
  <Lines>37</Lines>
  <Paragraphs>10</Paragraphs>
  <ScaleCrop>false</ScaleCrop>
  <Company>HP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94</cp:revision>
  <dcterms:created xsi:type="dcterms:W3CDTF">2023-08-30T09:21:00Z</dcterms:created>
  <dcterms:modified xsi:type="dcterms:W3CDTF">2025-03-08T13:03:00Z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01939D4D1C334BFFAE49F9696D4DE494_12</vt:lpwstr>
  </property>
</Properties>
</file>