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0710" w14:paraId="1643A4CA" w14:textId="77777777" w:rsidTr="004847FF">
        <w:trPr>
          <w:trHeight w:val="450"/>
        </w:trPr>
        <w:tc>
          <w:tcPr>
            <w:tcW w:w="5000" w:type="pct"/>
            <w:gridSpan w:val="2"/>
            <w:tcBorders>
              <w:top w:val="nil"/>
              <w:left w:val="nil"/>
              <w:right w:val="nil"/>
            </w:tcBorders>
          </w:tcPr>
          <w:p w14:paraId="4C55E51F" w14:textId="77777777" w:rsidR="00602F7D" w:rsidRPr="00D30710" w:rsidRDefault="00602F7D" w:rsidP="00F2643C">
            <w:pPr>
              <w:pStyle w:val="Heading2"/>
              <w:jc w:val="left"/>
              <w:rPr>
                <w:rFonts w:ascii="Arial" w:hAnsi="Arial" w:cs="Arial"/>
                <w:b w:val="0"/>
                <w:bCs w:val="0"/>
                <w:lang w:val="en-US"/>
              </w:rPr>
            </w:pPr>
            <w:bookmarkStart w:id="0" w:name="_GoBack"/>
          </w:p>
        </w:tc>
      </w:tr>
      <w:tr w:rsidR="0000007A" w:rsidRPr="00D30710" w14:paraId="127EAD7E" w14:textId="77777777" w:rsidTr="00F33C84">
        <w:trPr>
          <w:trHeight w:val="413"/>
        </w:trPr>
        <w:tc>
          <w:tcPr>
            <w:tcW w:w="1234" w:type="pct"/>
          </w:tcPr>
          <w:p w14:paraId="3C159AA5" w14:textId="77777777" w:rsidR="0000007A" w:rsidRPr="00D30710" w:rsidRDefault="00D27A79" w:rsidP="00696CAD">
            <w:pPr>
              <w:pStyle w:val="BodyText"/>
              <w:ind w:left="90"/>
              <w:jc w:val="left"/>
              <w:rPr>
                <w:rFonts w:ascii="Arial" w:hAnsi="Arial" w:cs="Arial"/>
                <w:bCs/>
                <w:sz w:val="20"/>
                <w:szCs w:val="20"/>
                <w:lang w:val="en-GB"/>
              </w:rPr>
            </w:pPr>
            <w:r w:rsidRPr="00D30710">
              <w:rPr>
                <w:rFonts w:ascii="Arial" w:hAnsi="Arial" w:cs="Arial"/>
                <w:bCs/>
                <w:sz w:val="20"/>
                <w:szCs w:val="20"/>
                <w:lang w:val="en-GB"/>
              </w:rPr>
              <w:t xml:space="preserve">Book </w:t>
            </w:r>
            <w:r w:rsidR="0000007A" w:rsidRPr="00D3071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8C0B1C" w:rsidR="0000007A" w:rsidRPr="00D30710" w:rsidRDefault="00F330FA" w:rsidP="00054BC4">
            <w:pPr>
              <w:pStyle w:val="NormalWeb"/>
              <w:rPr>
                <w:rFonts w:ascii="Arial" w:hAnsi="Arial" w:cs="Arial"/>
                <w:b/>
                <w:bCs/>
                <w:sz w:val="20"/>
                <w:szCs w:val="20"/>
                <w:u w:val="single"/>
              </w:rPr>
            </w:pPr>
            <w:r w:rsidRPr="00D30710">
              <w:rPr>
                <w:rFonts w:ascii="Arial" w:hAnsi="Arial" w:cs="Arial"/>
                <w:b/>
                <w:bCs/>
                <w:sz w:val="20"/>
                <w:szCs w:val="20"/>
                <w:u w:val="single"/>
              </w:rPr>
              <w:t>Plasmas Afterglows with N2 for Surface Treatments synthesis 2024</w:t>
            </w:r>
          </w:p>
        </w:tc>
      </w:tr>
      <w:tr w:rsidR="0000007A" w:rsidRPr="00D30710" w14:paraId="73C90375" w14:textId="77777777" w:rsidTr="002E7787">
        <w:trPr>
          <w:trHeight w:val="290"/>
        </w:trPr>
        <w:tc>
          <w:tcPr>
            <w:tcW w:w="1234" w:type="pct"/>
          </w:tcPr>
          <w:p w14:paraId="20D28135" w14:textId="77777777" w:rsidR="0000007A" w:rsidRPr="00D30710" w:rsidRDefault="0000007A" w:rsidP="00696CAD">
            <w:pPr>
              <w:pStyle w:val="BodyText"/>
              <w:ind w:left="90"/>
              <w:jc w:val="left"/>
              <w:rPr>
                <w:rFonts w:ascii="Arial" w:hAnsi="Arial" w:cs="Arial"/>
                <w:bCs/>
                <w:sz w:val="20"/>
                <w:szCs w:val="20"/>
                <w:lang w:val="en-GB"/>
              </w:rPr>
            </w:pPr>
            <w:r w:rsidRPr="00D3071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27AF632" w:rsidR="0000007A" w:rsidRPr="00D30710" w:rsidRDefault="00E72A8E" w:rsidP="00F3669D">
            <w:pPr>
              <w:pStyle w:val="NormalWeb"/>
              <w:spacing w:before="0" w:beforeAutospacing="0" w:after="0" w:afterAutospacing="0"/>
              <w:rPr>
                <w:rFonts w:ascii="Arial" w:hAnsi="Arial" w:cs="Arial"/>
                <w:b/>
                <w:bCs/>
                <w:sz w:val="20"/>
                <w:szCs w:val="20"/>
                <w:highlight w:val="yellow"/>
                <w:lang w:val="en-GB"/>
              </w:rPr>
            </w:pPr>
            <w:r w:rsidRPr="00D30710">
              <w:rPr>
                <w:rFonts w:ascii="Arial" w:hAnsi="Arial" w:cs="Arial"/>
                <w:b/>
                <w:bCs/>
                <w:sz w:val="20"/>
                <w:szCs w:val="20"/>
                <w:lang w:val="en-GB"/>
              </w:rPr>
              <w:t>Ms_BP</w:t>
            </w:r>
            <w:r w:rsidR="00FC432A" w:rsidRPr="00D30710">
              <w:rPr>
                <w:rFonts w:ascii="Arial" w:hAnsi="Arial" w:cs="Arial"/>
                <w:b/>
                <w:bCs/>
                <w:sz w:val="20"/>
                <w:szCs w:val="20"/>
                <w:lang w:val="en-GB"/>
              </w:rPr>
              <w:t>R</w:t>
            </w:r>
            <w:r w:rsidRPr="00D30710">
              <w:rPr>
                <w:rFonts w:ascii="Arial" w:hAnsi="Arial" w:cs="Arial"/>
                <w:b/>
                <w:bCs/>
                <w:sz w:val="20"/>
                <w:szCs w:val="20"/>
                <w:lang w:val="en-GB"/>
              </w:rPr>
              <w:t>_</w:t>
            </w:r>
            <w:r w:rsidR="00F330FA" w:rsidRPr="00D30710">
              <w:rPr>
                <w:rFonts w:ascii="Arial" w:hAnsi="Arial" w:cs="Arial"/>
                <w:b/>
                <w:bCs/>
                <w:sz w:val="20"/>
                <w:szCs w:val="20"/>
                <w:lang w:val="en-GB"/>
              </w:rPr>
              <w:t>3686.25</w:t>
            </w:r>
          </w:p>
        </w:tc>
      </w:tr>
      <w:tr w:rsidR="0000007A" w:rsidRPr="00D30710" w14:paraId="05B60576" w14:textId="77777777" w:rsidTr="002109D6">
        <w:trPr>
          <w:trHeight w:val="331"/>
        </w:trPr>
        <w:tc>
          <w:tcPr>
            <w:tcW w:w="1234" w:type="pct"/>
          </w:tcPr>
          <w:p w14:paraId="0196A627" w14:textId="77777777" w:rsidR="0000007A" w:rsidRPr="00D30710" w:rsidRDefault="0000007A" w:rsidP="00696CAD">
            <w:pPr>
              <w:pStyle w:val="BodyText"/>
              <w:ind w:left="90"/>
              <w:jc w:val="left"/>
              <w:rPr>
                <w:rFonts w:ascii="Arial" w:hAnsi="Arial" w:cs="Arial"/>
                <w:bCs/>
                <w:sz w:val="20"/>
                <w:szCs w:val="20"/>
                <w:lang w:val="en-GB"/>
              </w:rPr>
            </w:pPr>
            <w:r w:rsidRPr="00D3071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9EFBEAB" w:rsidR="0000007A" w:rsidRPr="00D30710" w:rsidRDefault="00F330FA" w:rsidP="000450FC">
            <w:pPr>
              <w:pStyle w:val="NormalWeb"/>
              <w:spacing w:before="0" w:beforeAutospacing="0" w:after="0" w:afterAutospacing="0"/>
              <w:rPr>
                <w:rFonts w:ascii="Arial" w:hAnsi="Arial" w:cs="Arial"/>
                <w:b/>
                <w:sz w:val="20"/>
                <w:szCs w:val="20"/>
                <w:highlight w:val="yellow"/>
                <w:lang w:val="en-GB"/>
              </w:rPr>
            </w:pPr>
            <w:r w:rsidRPr="00D30710">
              <w:rPr>
                <w:rFonts w:ascii="Arial" w:hAnsi="Arial" w:cs="Arial"/>
                <w:b/>
                <w:sz w:val="20"/>
                <w:szCs w:val="20"/>
                <w:lang w:val="en-GB"/>
              </w:rPr>
              <w:t>Treatment of Textiles in Plasma Afterglow</w:t>
            </w:r>
          </w:p>
        </w:tc>
      </w:tr>
      <w:tr w:rsidR="00CF0BBB" w:rsidRPr="00D30710" w14:paraId="6D508B1C" w14:textId="77777777" w:rsidTr="002E7787">
        <w:trPr>
          <w:trHeight w:val="332"/>
        </w:trPr>
        <w:tc>
          <w:tcPr>
            <w:tcW w:w="1234" w:type="pct"/>
          </w:tcPr>
          <w:p w14:paraId="32FC28F7" w14:textId="77777777" w:rsidR="00CF0BBB" w:rsidRPr="00D30710" w:rsidRDefault="00CF0BBB" w:rsidP="00696CAD">
            <w:pPr>
              <w:pStyle w:val="BodyText"/>
              <w:ind w:left="90"/>
              <w:jc w:val="left"/>
              <w:rPr>
                <w:rFonts w:ascii="Arial" w:hAnsi="Arial" w:cs="Arial"/>
                <w:bCs/>
                <w:sz w:val="20"/>
                <w:szCs w:val="20"/>
                <w:lang w:val="en-GB"/>
              </w:rPr>
            </w:pPr>
            <w:r w:rsidRPr="00D3071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C2B058" w:rsidR="00CF0BBB" w:rsidRPr="00D30710" w:rsidRDefault="00F330FA" w:rsidP="000450FC">
            <w:pPr>
              <w:pStyle w:val="NormalWeb"/>
              <w:spacing w:before="0" w:beforeAutospacing="0" w:after="0" w:afterAutospacing="0"/>
              <w:rPr>
                <w:rFonts w:ascii="Arial" w:hAnsi="Arial" w:cs="Arial"/>
                <w:b/>
                <w:sz w:val="20"/>
                <w:szCs w:val="20"/>
                <w:lang w:val="en-GB"/>
              </w:rPr>
            </w:pPr>
            <w:r w:rsidRPr="00D30710">
              <w:rPr>
                <w:rFonts w:ascii="Arial" w:hAnsi="Arial" w:cs="Arial"/>
                <w:b/>
                <w:sz w:val="20"/>
                <w:szCs w:val="20"/>
                <w:lang w:val="en-GB"/>
              </w:rPr>
              <w:t>Book chapter</w:t>
            </w:r>
          </w:p>
        </w:tc>
      </w:tr>
    </w:tbl>
    <w:p w14:paraId="5A743ECE" w14:textId="4DC2B20E" w:rsidR="00D27A79" w:rsidRPr="00D30710" w:rsidRDefault="00D27A79" w:rsidP="00F330F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1049"/>
        <w:gridCol w:w="4750"/>
      </w:tblGrid>
      <w:tr w:rsidR="00F1171E" w:rsidRPr="00D30710" w14:paraId="71A94C1F" w14:textId="77777777" w:rsidTr="007222C8">
        <w:tc>
          <w:tcPr>
            <w:tcW w:w="5000" w:type="pct"/>
            <w:gridSpan w:val="3"/>
            <w:tcBorders>
              <w:top w:val="nil"/>
              <w:left w:val="nil"/>
              <w:right w:val="nil"/>
            </w:tcBorders>
            <w:noWrap/>
          </w:tcPr>
          <w:p w14:paraId="0BC15285" w14:textId="77777777" w:rsidR="00F1171E" w:rsidRPr="00D30710" w:rsidRDefault="00F1171E" w:rsidP="007222C8">
            <w:pPr>
              <w:pStyle w:val="Heading2"/>
              <w:jc w:val="left"/>
              <w:rPr>
                <w:rFonts w:ascii="Arial" w:hAnsi="Arial" w:cs="Arial"/>
                <w:lang w:val="en-GB"/>
              </w:rPr>
            </w:pPr>
            <w:proofErr w:type="gramStart"/>
            <w:r w:rsidRPr="00D30710">
              <w:rPr>
                <w:rFonts w:ascii="Arial" w:hAnsi="Arial" w:cs="Arial"/>
                <w:highlight w:val="yellow"/>
                <w:lang w:val="en-GB"/>
              </w:rPr>
              <w:t>PART  1</w:t>
            </w:r>
            <w:proofErr w:type="gramEnd"/>
            <w:r w:rsidRPr="00D30710">
              <w:rPr>
                <w:rFonts w:ascii="Arial" w:hAnsi="Arial" w:cs="Arial"/>
                <w:highlight w:val="yellow"/>
                <w:lang w:val="en-GB"/>
              </w:rPr>
              <w:t>:</w:t>
            </w:r>
            <w:r w:rsidRPr="00D30710">
              <w:rPr>
                <w:rFonts w:ascii="Arial" w:hAnsi="Arial" w:cs="Arial"/>
                <w:lang w:val="en-GB"/>
              </w:rPr>
              <w:t xml:space="preserve"> Review Comments</w:t>
            </w:r>
          </w:p>
          <w:p w14:paraId="1287753C" w14:textId="77777777" w:rsidR="00F1171E" w:rsidRPr="00D30710" w:rsidRDefault="00F1171E" w:rsidP="007222C8">
            <w:pPr>
              <w:rPr>
                <w:rFonts w:ascii="Arial" w:hAnsi="Arial" w:cs="Arial"/>
                <w:sz w:val="20"/>
                <w:szCs w:val="20"/>
                <w:lang w:val="en-GB"/>
              </w:rPr>
            </w:pPr>
          </w:p>
        </w:tc>
      </w:tr>
      <w:tr w:rsidR="00F1171E" w:rsidRPr="00D30710" w14:paraId="5EA12279" w14:textId="77777777" w:rsidTr="00D30710">
        <w:tc>
          <w:tcPr>
            <w:tcW w:w="1265" w:type="pct"/>
            <w:noWrap/>
          </w:tcPr>
          <w:p w14:paraId="06DA2C7D" w14:textId="77777777" w:rsidR="00F1171E" w:rsidRPr="00D30710" w:rsidRDefault="00F1171E" w:rsidP="007222C8">
            <w:pPr>
              <w:pStyle w:val="Heading2"/>
              <w:jc w:val="left"/>
              <w:rPr>
                <w:rFonts w:ascii="Arial" w:hAnsi="Arial" w:cs="Arial"/>
                <w:b w:val="0"/>
                <w:bCs w:val="0"/>
                <w:lang w:val="en-GB"/>
              </w:rPr>
            </w:pPr>
            <w:r w:rsidRPr="00D30710">
              <w:rPr>
                <w:rFonts w:ascii="Arial" w:hAnsi="Arial" w:cs="Arial"/>
                <w:bCs w:val="0"/>
                <w:u w:val="single"/>
                <w:lang w:val="en-GB"/>
              </w:rPr>
              <w:t xml:space="preserve">Compulsory </w:t>
            </w:r>
            <w:r w:rsidRPr="00D30710">
              <w:rPr>
                <w:rFonts w:ascii="Arial" w:hAnsi="Arial" w:cs="Arial"/>
                <w:b w:val="0"/>
                <w:bCs w:val="0"/>
                <w:lang w:val="en-GB"/>
              </w:rPr>
              <w:t>REVISION comments</w:t>
            </w:r>
          </w:p>
          <w:p w14:paraId="7AE9682F" w14:textId="77777777" w:rsidR="00F1171E" w:rsidRPr="00D30710" w:rsidRDefault="00F1171E" w:rsidP="007222C8">
            <w:pPr>
              <w:pStyle w:val="Heading2"/>
              <w:jc w:val="left"/>
              <w:rPr>
                <w:rFonts w:ascii="Arial" w:hAnsi="Arial" w:cs="Arial"/>
                <w:lang w:val="en-GB"/>
              </w:rPr>
            </w:pPr>
          </w:p>
        </w:tc>
        <w:tc>
          <w:tcPr>
            <w:tcW w:w="2612" w:type="pct"/>
          </w:tcPr>
          <w:p w14:paraId="674EDCCA" w14:textId="77777777" w:rsidR="00F1171E" w:rsidRPr="00D30710" w:rsidRDefault="00F1171E" w:rsidP="007222C8">
            <w:pPr>
              <w:pStyle w:val="Heading2"/>
              <w:jc w:val="left"/>
              <w:rPr>
                <w:rFonts w:ascii="Arial" w:hAnsi="Arial" w:cs="Arial"/>
                <w:lang w:val="en-GB"/>
              </w:rPr>
            </w:pPr>
            <w:r w:rsidRPr="00D30710">
              <w:rPr>
                <w:rFonts w:ascii="Arial" w:hAnsi="Arial" w:cs="Arial"/>
                <w:lang w:val="en-GB"/>
              </w:rPr>
              <w:t>Reviewer’s comment</w:t>
            </w:r>
          </w:p>
        </w:tc>
        <w:tc>
          <w:tcPr>
            <w:tcW w:w="1123" w:type="pct"/>
          </w:tcPr>
          <w:p w14:paraId="57792C30" w14:textId="77777777" w:rsidR="00F1171E" w:rsidRPr="00D30710" w:rsidRDefault="00F1171E" w:rsidP="007222C8">
            <w:pPr>
              <w:pStyle w:val="Heading2"/>
              <w:jc w:val="left"/>
              <w:rPr>
                <w:rFonts w:ascii="Arial" w:hAnsi="Arial" w:cs="Arial"/>
                <w:b w:val="0"/>
                <w:lang w:val="en-GB"/>
              </w:rPr>
            </w:pPr>
            <w:r w:rsidRPr="00D30710">
              <w:rPr>
                <w:rFonts w:ascii="Arial" w:hAnsi="Arial" w:cs="Arial"/>
                <w:lang w:val="en-GB"/>
              </w:rPr>
              <w:t>Author’s Feedback</w:t>
            </w:r>
            <w:r w:rsidRPr="00D30710">
              <w:rPr>
                <w:rFonts w:ascii="Arial" w:hAnsi="Arial" w:cs="Arial"/>
                <w:b w:val="0"/>
                <w:lang w:val="en-GB"/>
              </w:rPr>
              <w:t xml:space="preserve"> </w:t>
            </w:r>
            <w:r w:rsidRPr="00D30710">
              <w:rPr>
                <w:rFonts w:ascii="Arial" w:hAnsi="Arial" w:cs="Arial"/>
                <w:b w:val="0"/>
                <w:i/>
                <w:lang w:val="en-GB"/>
              </w:rPr>
              <w:t>(Please correct the manuscript and highlight that part in the manuscript. It is mandatory that authors should write his/her feedback here)</w:t>
            </w:r>
          </w:p>
        </w:tc>
      </w:tr>
      <w:tr w:rsidR="00F1171E" w:rsidRPr="00D30710" w14:paraId="5C0AB4EC" w14:textId="77777777" w:rsidTr="00D30710">
        <w:trPr>
          <w:trHeight w:val="1264"/>
        </w:trPr>
        <w:tc>
          <w:tcPr>
            <w:tcW w:w="1265" w:type="pct"/>
            <w:noWrap/>
          </w:tcPr>
          <w:p w14:paraId="66B47184" w14:textId="77777777" w:rsidR="00F1171E" w:rsidRPr="00D30710" w:rsidRDefault="00F1171E" w:rsidP="007222C8">
            <w:pPr>
              <w:ind w:left="360"/>
              <w:rPr>
                <w:rFonts w:ascii="Arial" w:hAnsi="Arial" w:cs="Arial"/>
                <w:b/>
                <w:bCs/>
                <w:sz w:val="20"/>
                <w:szCs w:val="20"/>
                <w:lang w:val="en-GB"/>
              </w:rPr>
            </w:pPr>
            <w:r w:rsidRPr="00D3071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30710" w:rsidRDefault="00F1171E" w:rsidP="007222C8">
            <w:pPr>
              <w:ind w:left="360"/>
              <w:rPr>
                <w:rFonts w:ascii="Arial" w:eastAsia="MS Mincho" w:hAnsi="Arial" w:cs="Arial"/>
                <w:b/>
                <w:bCs/>
                <w:sz w:val="20"/>
                <w:szCs w:val="20"/>
                <w:lang w:val="en-GB"/>
              </w:rPr>
            </w:pPr>
          </w:p>
        </w:tc>
        <w:tc>
          <w:tcPr>
            <w:tcW w:w="2612" w:type="pct"/>
          </w:tcPr>
          <w:p w14:paraId="7DBC9196" w14:textId="77777777" w:rsidR="00F1171E" w:rsidRPr="00D30710" w:rsidRDefault="00F1171E" w:rsidP="007222C8">
            <w:pPr>
              <w:pStyle w:val="ListParagraph"/>
              <w:ind w:left="0"/>
              <w:rPr>
                <w:rFonts w:ascii="Arial" w:hAnsi="Arial" w:cs="Arial"/>
                <w:b/>
                <w:bCs/>
                <w:sz w:val="20"/>
                <w:szCs w:val="20"/>
                <w:lang w:val="en-GB"/>
              </w:rPr>
            </w:pPr>
          </w:p>
        </w:tc>
        <w:tc>
          <w:tcPr>
            <w:tcW w:w="1123" w:type="pct"/>
          </w:tcPr>
          <w:p w14:paraId="462A339C" w14:textId="77777777" w:rsidR="00F1171E" w:rsidRPr="00D30710" w:rsidRDefault="00F1171E" w:rsidP="007222C8">
            <w:pPr>
              <w:pStyle w:val="Heading2"/>
              <w:jc w:val="left"/>
              <w:rPr>
                <w:rFonts w:ascii="Arial" w:hAnsi="Arial" w:cs="Arial"/>
                <w:b w:val="0"/>
                <w:lang w:val="en-GB"/>
              </w:rPr>
            </w:pPr>
          </w:p>
        </w:tc>
      </w:tr>
      <w:tr w:rsidR="00F1171E" w:rsidRPr="00D30710" w14:paraId="0D8B5B2C" w14:textId="77777777" w:rsidTr="00D30710">
        <w:trPr>
          <w:trHeight w:val="1262"/>
        </w:trPr>
        <w:tc>
          <w:tcPr>
            <w:tcW w:w="1265" w:type="pct"/>
            <w:noWrap/>
          </w:tcPr>
          <w:p w14:paraId="21CBA5FE" w14:textId="77777777" w:rsidR="00F1171E" w:rsidRPr="00D30710" w:rsidRDefault="00F1171E" w:rsidP="007222C8">
            <w:pPr>
              <w:ind w:left="360"/>
              <w:rPr>
                <w:rFonts w:ascii="Arial" w:hAnsi="Arial" w:cs="Arial"/>
                <w:b/>
                <w:bCs/>
                <w:sz w:val="20"/>
                <w:szCs w:val="20"/>
                <w:lang w:val="en-GB"/>
              </w:rPr>
            </w:pPr>
            <w:r w:rsidRPr="00D30710">
              <w:rPr>
                <w:rFonts w:ascii="Arial" w:hAnsi="Arial" w:cs="Arial"/>
                <w:b/>
                <w:bCs/>
                <w:sz w:val="20"/>
                <w:szCs w:val="20"/>
                <w:lang w:val="en-GB"/>
              </w:rPr>
              <w:t>Is the title of the article suitable?</w:t>
            </w:r>
          </w:p>
          <w:p w14:paraId="1CABB61A" w14:textId="77777777" w:rsidR="00F1171E" w:rsidRPr="00D30710" w:rsidRDefault="00F1171E" w:rsidP="007222C8">
            <w:pPr>
              <w:ind w:left="360"/>
              <w:rPr>
                <w:rFonts w:ascii="Arial" w:hAnsi="Arial" w:cs="Arial"/>
                <w:b/>
                <w:bCs/>
                <w:sz w:val="20"/>
                <w:szCs w:val="20"/>
                <w:lang w:val="en-GB"/>
              </w:rPr>
            </w:pPr>
            <w:r w:rsidRPr="00D30710">
              <w:rPr>
                <w:rFonts w:ascii="Arial" w:hAnsi="Arial" w:cs="Arial"/>
                <w:b/>
                <w:bCs/>
                <w:sz w:val="20"/>
                <w:szCs w:val="20"/>
                <w:lang w:val="en-GB"/>
              </w:rPr>
              <w:t>(If not please suggest an alternative title)</w:t>
            </w:r>
          </w:p>
          <w:p w14:paraId="0275B919" w14:textId="77777777" w:rsidR="00F1171E" w:rsidRPr="00D30710" w:rsidRDefault="00F1171E" w:rsidP="007222C8">
            <w:pPr>
              <w:pStyle w:val="Heading2"/>
              <w:jc w:val="left"/>
              <w:rPr>
                <w:rFonts w:ascii="Arial" w:hAnsi="Arial" w:cs="Arial"/>
                <w:u w:val="single"/>
                <w:lang w:val="en-GB"/>
              </w:rPr>
            </w:pPr>
          </w:p>
        </w:tc>
        <w:tc>
          <w:tcPr>
            <w:tcW w:w="2612" w:type="pct"/>
          </w:tcPr>
          <w:p w14:paraId="794AA9A7" w14:textId="77777777" w:rsidR="00F1171E" w:rsidRPr="00D30710" w:rsidRDefault="00F1171E" w:rsidP="007222C8">
            <w:pPr>
              <w:ind w:left="360"/>
              <w:rPr>
                <w:rFonts w:ascii="Arial" w:hAnsi="Arial" w:cs="Arial"/>
                <w:b/>
                <w:bCs/>
                <w:sz w:val="20"/>
                <w:szCs w:val="20"/>
                <w:lang w:val="en-GB"/>
              </w:rPr>
            </w:pPr>
          </w:p>
        </w:tc>
        <w:tc>
          <w:tcPr>
            <w:tcW w:w="1123" w:type="pct"/>
          </w:tcPr>
          <w:p w14:paraId="405B6701" w14:textId="77777777" w:rsidR="00F1171E" w:rsidRPr="00D30710" w:rsidRDefault="00F1171E" w:rsidP="007222C8">
            <w:pPr>
              <w:pStyle w:val="Heading2"/>
              <w:jc w:val="left"/>
              <w:rPr>
                <w:rFonts w:ascii="Arial" w:hAnsi="Arial" w:cs="Arial"/>
                <w:b w:val="0"/>
                <w:lang w:val="en-GB"/>
              </w:rPr>
            </w:pPr>
          </w:p>
        </w:tc>
      </w:tr>
      <w:tr w:rsidR="00F1171E" w:rsidRPr="00D30710" w14:paraId="5604762A" w14:textId="77777777" w:rsidTr="00D30710">
        <w:trPr>
          <w:trHeight w:val="1262"/>
        </w:trPr>
        <w:tc>
          <w:tcPr>
            <w:tcW w:w="1265" w:type="pct"/>
            <w:noWrap/>
          </w:tcPr>
          <w:p w14:paraId="3635573D" w14:textId="77777777" w:rsidR="00F1171E" w:rsidRPr="00D30710" w:rsidRDefault="00F1171E" w:rsidP="007222C8">
            <w:pPr>
              <w:pStyle w:val="Heading2"/>
              <w:ind w:left="360"/>
              <w:jc w:val="left"/>
              <w:rPr>
                <w:rFonts w:ascii="Arial" w:hAnsi="Arial" w:cs="Arial"/>
                <w:lang w:val="en-GB"/>
              </w:rPr>
            </w:pPr>
            <w:r w:rsidRPr="00D3071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30710" w:rsidRDefault="00F1171E" w:rsidP="007222C8">
            <w:pPr>
              <w:pStyle w:val="Heading2"/>
              <w:jc w:val="left"/>
              <w:rPr>
                <w:rFonts w:ascii="Arial" w:hAnsi="Arial" w:cs="Arial"/>
                <w:u w:val="single"/>
                <w:lang w:val="en-GB"/>
              </w:rPr>
            </w:pPr>
          </w:p>
        </w:tc>
        <w:tc>
          <w:tcPr>
            <w:tcW w:w="2612" w:type="pct"/>
          </w:tcPr>
          <w:p w14:paraId="0FB7E83A" w14:textId="77777777" w:rsidR="00F1171E" w:rsidRPr="00D30710" w:rsidRDefault="00F1171E" w:rsidP="007222C8">
            <w:pPr>
              <w:ind w:left="360"/>
              <w:rPr>
                <w:rFonts w:ascii="Arial" w:hAnsi="Arial" w:cs="Arial"/>
                <w:b/>
                <w:bCs/>
                <w:sz w:val="20"/>
                <w:szCs w:val="20"/>
                <w:lang w:val="en-GB"/>
              </w:rPr>
            </w:pPr>
          </w:p>
        </w:tc>
        <w:tc>
          <w:tcPr>
            <w:tcW w:w="1123" w:type="pct"/>
          </w:tcPr>
          <w:p w14:paraId="1D54B730" w14:textId="77777777" w:rsidR="00F1171E" w:rsidRPr="00D30710" w:rsidRDefault="00F1171E" w:rsidP="007222C8">
            <w:pPr>
              <w:pStyle w:val="Heading2"/>
              <w:jc w:val="left"/>
              <w:rPr>
                <w:rFonts w:ascii="Arial" w:hAnsi="Arial" w:cs="Arial"/>
                <w:b w:val="0"/>
                <w:lang w:val="en-GB"/>
              </w:rPr>
            </w:pPr>
          </w:p>
        </w:tc>
      </w:tr>
      <w:tr w:rsidR="00F1171E" w:rsidRPr="00D30710" w14:paraId="2F579F54" w14:textId="77777777" w:rsidTr="00D30710">
        <w:trPr>
          <w:trHeight w:val="859"/>
        </w:trPr>
        <w:tc>
          <w:tcPr>
            <w:tcW w:w="1265" w:type="pct"/>
            <w:noWrap/>
          </w:tcPr>
          <w:p w14:paraId="04361F46" w14:textId="77777777" w:rsidR="00F1171E" w:rsidRPr="00D30710" w:rsidRDefault="00F1171E" w:rsidP="007222C8">
            <w:pPr>
              <w:ind w:left="360"/>
              <w:rPr>
                <w:rFonts w:ascii="Arial" w:hAnsi="Arial" w:cs="Arial"/>
                <w:b/>
                <w:bCs/>
                <w:sz w:val="20"/>
                <w:szCs w:val="20"/>
                <w:u w:val="single"/>
                <w:lang w:val="en-GB"/>
              </w:rPr>
            </w:pPr>
            <w:r w:rsidRPr="00D30710">
              <w:rPr>
                <w:rFonts w:ascii="Arial" w:hAnsi="Arial" w:cs="Arial"/>
                <w:b/>
                <w:bCs/>
                <w:sz w:val="20"/>
                <w:szCs w:val="20"/>
                <w:lang w:val="en-GB"/>
              </w:rPr>
              <w:t>Are subsections and structure of the manuscript appropriate?</w:t>
            </w:r>
          </w:p>
        </w:tc>
        <w:tc>
          <w:tcPr>
            <w:tcW w:w="2612" w:type="pct"/>
          </w:tcPr>
          <w:p w14:paraId="2B5A7721" w14:textId="77777777" w:rsidR="00F1171E" w:rsidRPr="00D30710" w:rsidRDefault="00F1171E" w:rsidP="007222C8">
            <w:pPr>
              <w:pStyle w:val="ListParagraph"/>
              <w:ind w:left="0"/>
              <w:rPr>
                <w:rFonts w:ascii="Arial" w:hAnsi="Arial" w:cs="Arial"/>
                <w:b/>
                <w:bCs/>
                <w:sz w:val="20"/>
                <w:szCs w:val="20"/>
                <w:lang w:val="en-GB"/>
              </w:rPr>
            </w:pPr>
          </w:p>
        </w:tc>
        <w:tc>
          <w:tcPr>
            <w:tcW w:w="1123" w:type="pct"/>
          </w:tcPr>
          <w:p w14:paraId="4898F764" w14:textId="77777777" w:rsidR="00F1171E" w:rsidRPr="00D30710" w:rsidRDefault="00F1171E" w:rsidP="007222C8">
            <w:pPr>
              <w:pStyle w:val="Heading2"/>
              <w:jc w:val="left"/>
              <w:rPr>
                <w:rFonts w:ascii="Arial" w:hAnsi="Arial" w:cs="Arial"/>
                <w:b w:val="0"/>
                <w:lang w:val="en-GB"/>
              </w:rPr>
            </w:pPr>
          </w:p>
        </w:tc>
      </w:tr>
      <w:tr w:rsidR="00F1171E" w:rsidRPr="00D30710" w14:paraId="29D9208C" w14:textId="77777777" w:rsidTr="00D30710">
        <w:trPr>
          <w:trHeight w:val="704"/>
        </w:trPr>
        <w:tc>
          <w:tcPr>
            <w:tcW w:w="1265" w:type="pct"/>
            <w:noWrap/>
          </w:tcPr>
          <w:p w14:paraId="4F8837DA" w14:textId="77777777" w:rsidR="00F1171E" w:rsidRPr="00D30710" w:rsidRDefault="00F1171E" w:rsidP="007222C8">
            <w:pPr>
              <w:ind w:left="360"/>
              <w:rPr>
                <w:rFonts w:ascii="Arial" w:hAnsi="Arial" w:cs="Arial"/>
                <w:b/>
                <w:bCs/>
                <w:sz w:val="20"/>
                <w:szCs w:val="20"/>
                <w:u w:val="single"/>
                <w:lang w:val="en-GB"/>
              </w:rPr>
            </w:pPr>
            <w:r w:rsidRPr="00D3071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612" w:type="pct"/>
          </w:tcPr>
          <w:p w14:paraId="37D373F9" w14:textId="77777777" w:rsidR="00F1171E" w:rsidRPr="00D30710" w:rsidRDefault="00F1171E" w:rsidP="007222C8">
            <w:pPr>
              <w:pStyle w:val="ListParagraph"/>
              <w:ind w:left="0"/>
              <w:rPr>
                <w:rFonts w:ascii="Arial" w:hAnsi="Arial" w:cs="Arial"/>
                <w:b/>
                <w:bCs/>
                <w:sz w:val="20"/>
                <w:szCs w:val="20"/>
                <w:lang w:val="en-GB"/>
              </w:rPr>
            </w:pPr>
          </w:p>
        </w:tc>
        <w:tc>
          <w:tcPr>
            <w:tcW w:w="1123" w:type="pct"/>
          </w:tcPr>
          <w:p w14:paraId="4614DFC3" w14:textId="77777777" w:rsidR="00F1171E" w:rsidRPr="00D30710" w:rsidRDefault="00F1171E" w:rsidP="007222C8">
            <w:pPr>
              <w:pStyle w:val="Heading2"/>
              <w:jc w:val="left"/>
              <w:rPr>
                <w:rFonts w:ascii="Arial" w:hAnsi="Arial" w:cs="Arial"/>
                <w:b w:val="0"/>
                <w:lang w:val="en-GB"/>
              </w:rPr>
            </w:pPr>
          </w:p>
        </w:tc>
      </w:tr>
      <w:tr w:rsidR="00F1171E" w:rsidRPr="00D30710" w14:paraId="73739464" w14:textId="77777777" w:rsidTr="00D30710">
        <w:trPr>
          <w:trHeight w:val="703"/>
        </w:trPr>
        <w:tc>
          <w:tcPr>
            <w:tcW w:w="1265" w:type="pct"/>
            <w:noWrap/>
          </w:tcPr>
          <w:p w14:paraId="09C25322" w14:textId="77777777" w:rsidR="00F1171E" w:rsidRPr="00D30710" w:rsidRDefault="00F1171E" w:rsidP="007222C8">
            <w:pPr>
              <w:ind w:left="360"/>
              <w:rPr>
                <w:rFonts w:ascii="Arial" w:hAnsi="Arial" w:cs="Arial"/>
                <w:b/>
                <w:bCs/>
                <w:sz w:val="20"/>
                <w:szCs w:val="20"/>
                <w:lang w:val="en-GB"/>
              </w:rPr>
            </w:pPr>
            <w:r w:rsidRPr="00D3071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30710" w:rsidRDefault="00F1171E" w:rsidP="007222C8">
            <w:pPr>
              <w:ind w:left="360"/>
              <w:rPr>
                <w:rFonts w:ascii="Arial" w:hAnsi="Arial" w:cs="Arial"/>
                <w:b/>
                <w:bCs/>
                <w:sz w:val="20"/>
                <w:szCs w:val="20"/>
                <w:u w:val="single"/>
                <w:lang w:val="en-GB"/>
              </w:rPr>
            </w:pPr>
            <w:r w:rsidRPr="00D30710">
              <w:rPr>
                <w:rFonts w:ascii="Arial" w:hAnsi="Arial" w:cs="Arial"/>
                <w:b/>
                <w:bCs/>
                <w:sz w:val="20"/>
                <w:szCs w:val="20"/>
                <w:u w:val="single"/>
                <w:lang w:val="en-GB"/>
              </w:rPr>
              <w:t>-</w:t>
            </w:r>
          </w:p>
        </w:tc>
        <w:tc>
          <w:tcPr>
            <w:tcW w:w="2612" w:type="pct"/>
          </w:tcPr>
          <w:p w14:paraId="24FE0567" w14:textId="77777777" w:rsidR="00F1171E" w:rsidRPr="00D30710" w:rsidRDefault="00F1171E" w:rsidP="007222C8">
            <w:pPr>
              <w:pStyle w:val="ListParagraph"/>
              <w:ind w:left="0"/>
              <w:rPr>
                <w:rFonts w:ascii="Arial" w:hAnsi="Arial" w:cs="Arial"/>
                <w:b/>
                <w:bCs/>
                <w:sz w:val="20"/>
                <w:szCs w:val="20"/>
                <w:lang w:val="en-GB"/>
              </w:rPr>
            </w:pPr>
          </w:p>
        </w:tc>
        <w:tc>
          <w:tcPr>
            <w:tcW w:w="1123" w:type="pct"/>
          </w:tcPr>
          <w:p w14:paraId="40220055" w14:textId="77777777" w:rsidR="00F1171E" w:rsidRPr="00D30710" w:rsidRDefault="00F1171E" w:rsidP="007222C8">
            <w:pPr>
              <w:pStyle w:val="Heading2"/>
              <w:jc w:val="left"/>
              <w:rPr>
                <w:rFonts w:ascii="Arial" w:hAnsi="Arial" w:cs="Arial"/>
                <w:b w:val="0"/>
                <w:lang w:val="en-GB"/>
              </w:rPr>
            </w:pPr>
          </w:p>
        </w:tc>
      </w:tr>
      <w:tr w:rsidR="00F1171E" w:rsidRPr="00D30710" w14:paraId="73CC4A50" w14:textId="77777777" w:rsidTr="00D30710">
        <w:trPr>
          <w:trHeight w:val="386"/>
        </w:trPr>
        <w:tc>
          <w:tcPr>
            <w:tcW w:w="1265" w:type="pct"/>
            <w:noWrap/>
          </w:tcPr>
          <w:p w14:paraId="3410C687" w14:textId="77777777" w:rsidR="00F1171E" w:rsidRPr="00D30710" w:rsidRDefault="00F1171E" w:rsidP="007222C8">
            <w:pPr>
              <w:pStyle w:val="Heading2"/>
              <w:jc w:val="left"/>
              <w:rPr>
                <w:rFonts w:ascii="Arial" w:hAnsi="Arial" w:cs="Arial"/>
                <w:b w:val="0"/>
                <w:lang w:val="en-GB"/>
              </w:rPr>
            </w:pPr>
            <w:r w:rsidRPr="00D30710">
              <w:rPr>
                <w:rFonts w:ascii="Arial" w:hAnsi="Arial" w:cs="Arial"/>
                <w:b w:val="0"/>
                <w:u w:val="single"/>
                <w:lang w:val="en-GB"/>
              </w:rPr>
              <w:lastRenderedPageBreak/>
              <w:t>Minor</w:t>
            </w:r>
            <w:r w:rsidRPr="00D30710">
              <w:rPr>
                <w:rFonts w:ascii="Arial" w:hAnsi="Arial" w:cs="Arial"/>
                <w:b w:val="0"/>
                <w:lang w:val="en-GB"/>
              </w:rPr>
              <w:t xml:space="preserve"> REVISION comments</w:t>
            </w:r>
          </w:p>
          <w:p w14:paraId="029CE8D0" w14:textId="77777777" w:rsidR="00F1171E" w:rsidRPr="00D30710" w:rsidRDefault="00F1171E" w:rsidP="007222C8">
            <w:pPr>
              <w:pStyle w:val="Heading2"/>
              <w:jc w:val="left"/>
              <w:rPr>
                <w:rFonts w:ascii="Arial" w:hAnsi="Arial" w:cs="Arial"/>
                <w:b w:val="0"/>
                <w:lang w:val="en-GB"/>
              </w:rPr>
            </w:pPr>
          </w:p>
          <w:p w14:paraId="589C16C7" w14:textId="77777777" w:rsidR="00F1171E" w:rsidRPr="00D30710" w:rsidRDefault="00F1171E" w:rsidP="007222C8">
            <w:pPr>
              <w:pStyle w:val="Heading2"/>
              <w:ind w:left="360"/>
              <w:jc w:val="left"/>
              <w:rPr>
                <w:rFonts w:ascii="Arial" w:hAnsi="Arial" w:cs="Arial"/>
                <w:bCs w:val="0"/>
                <w:lang w:val="en-GB"/>
              </w:rPr>
            </w:pPr>
            <w:r w:rsidRPr="00D30710">
              <w:rPr>
                <w:rFonts w:ascii="Arial" w:hAnsi="Arial" w:cs="Arial"/>
                <w:bCs w:val="0"/>
                <w:lang w:val="en-GB"/>
              </w:rPr>
              <w:t>Is the language/English quality of the article suitable for scholarly communications?</w:t>
            </w:r>
          </w:p>
          <w:p w14:paraId="7722B85E" w14:textId="77777777" w:rsidR="00F1171E" w:rsidRPr="00D30710" w:rsidRDefault="00F1171E" w:rsidP="007222C8">
            <w:pPr>
              <w:rPr>
                <w:rFonts w:ascii="Arial" w:hAnsi="Arial" w:cs="Arial"/>
                <w:sz w:val="20"/>
                <w:szCs w:val="20"/>
                <w:lang w:val="en-GB"/>
              </w:rPr>
            </w:pPr>
          </w:p>
        </w:tc>
        <w:tc>
          <w:tcPr>
            <w:tcW w:w="2612" w:type="pct"/>
          </w:tcPr>
          <w:p w14:paraId="0A07EA75" w14:textId="77777777" w:rsidR="00F1171E" w:rsidRPr="00D30710" w:rsidRDefault="00F1171E" w:rsidP="007222C8">
            <w:pPr>
              <w:rPr>
                <w:rFonts w:ascii="Arial" w:hAnsi="Arial" w:cs="Arial"/>
                <w:sz w:val="20"/>
                <w:szCs w:val="20"/>
                <w:lang w:val="en-GB"/>
              </w:rPr>
            </w:pPr>
          </w:p>
          <w:p w14:paraId="6CBA4B2A" w14:textId="77777777" w:rsidR="00F1171E" w:rsidRPr="00D30710" w:rsidRDefault="00F1171E" w:rsidP="007222C8">
            <w:pPr>
              <w:rPr>
                <w:rFonts w:ascii="Arial" w:hAnsi="Arial" w:cs="Arial"/>
                <w:sz w:val="20"/>
                <w:szCs w:val="20"/>
                <w:lang w:val="en-GB"/>
              </w:rPr>
            </w:pPr>
          </w:p>
          <w:p w14:paraId="41E28118" w14:textId="77777777" w:rsidR="00F1171E" w:rsidRPr="00D30710" w:rsidRDefault="00F1171E" w:rsidP="007222C8">
            <w:pPr>
              <w:rPr>
                <w:rFonts w:ascii="Arial" w:hAnsi="Arial" w:cs="Arial"/>
                <w:sz w:val="20"/>
                <w:szCs w:val="20"/>
                <w:lang w:val="en-GB"/>
              </w:rPr>
            </w:pPr>
          </w:p>
          <w:p w14:paraId="297F52DB" w14:textId="77777777" w:rsidR="00F1171E" w:rsidRPr="00D30710" w:rsidRDefault="00F1171E" w:rsidP="007222C8">
            <w:pPr>
              <w:rPr>
                <w:rFonts w:ascii="Arial" w:hAnsi="Arial" w:cs="Arial"/>
                <w:sz w:val="20"/>
                <w:szCs w:val="20"/>
                <w:lang w:val="en-GB"/>
              </w:rPr>
            </w:pPr>
          </w:p>
          <w:p w14:paraId="149A6CEF" w14:textId="77777777" w:rsidR="00F1171E" w:rsidRPr="00D30710" w:rsidRDefault="00F1171E" w:rsidP="007222C8">
            <w:pPr>
              <w:rPr>
                <w:rFonts w:ascii="Arial" w:hAnsi="Arial" w:cs="Arial"/>
                <w:sz w:val="20"/>
                <w:szCs w:val="20"/>
                <w:lang w:val="en-GB"/>
              </w:rPr>
            </w:pPr>
          </w:p>
        </w:tc>
        <w:tc>
          <w:tcPr>
            <w:tcW w:w="1123" w:type="pct"/>
          </w:tcPr>
          <w:p w14:paraId="0351CA58" w14:textId="77777777" w:rsidR="00F1171E" w:rsidRPr="00D30710" w:rsidRDefault="00F1171E" w:rsidP="007222C8">
            <w:pPr>
              <w:rPr>
                <w:rFonts w:ascii="Arial" w:hAnsi="Arial" w:cs="Arial"/>
                <w:sz w:val="20"/>
                <w:szCs w:val="20"/>
                <w:lang w:val="en-GB"/>
              </w:rPr>
            </w:pPr>
          </w:p>
        </w:tc>
      </w:tr>
      <w:tr w:rsidR="00F1171E" w:rsidRPr="00D30710" w14:paraId="20A16C0C" w14:textId="77777777" w:rsidTr="00D30710">
        <w:trPr>
          <w:trHeight w:val="1178"/>
        </w:trPr>
        <w:tc>
          <w:tcPr>
            <w:tcW w:w="1265" w:type="pct"/>
            <w:noWrap/>
          </w:tcPr>
          <w:p w14:paraId="7F4BCFAE" w14:textId="77777777" w:rsidR="00F1171E" w:rsidRPr="00D30710" w:rsidRDefault="00F1171E" w:rsidP="007222C8">
            <w:pPr>
              <w:pStyle w:val="Heading2"/>
              <w:jc w:val="left"/>
              <w:rPr>
                <w:rFonts w:ascii="Arial" w:hAnsi="Arial" w:cs="Arial"/>
                <w:b w:val="0"/>
                <w:bCs w:val="0"/>
                <w:lang w:val="en-GB"/>
              </w:rPr>
            </w:pPr>
            <w:r w:rsidRPr="00D30710">
              <w:rPr>
                <w:rFonts w:ascii="Arial" w:hAnsi="Arial" w:cs="Arial"/>
                <w:bCs w:val="0"/>
                <w:u w:val="single"/>
                <w:lang w:val="en-GB"/>
              </w:rPr>
              <w:t>Optional/General</w:t>
            </w:r>
            <w:r w:rsidRPr="00D30710">
              <w:rPr>
                <w:rFonts w:ascii="Arial" w:hAnsi="Arial" w:cs="Arial"/>
                <w:bCs w:val="0"/>
                <w:lang w:val="en-GB"/>
              </w:rPr>
              <w:t xml:space="preserve"> </w:t>
            </w:r>
            <w:r w:rsidRPr="00D30710">
              <w:rPr>
                <w:rFonts w:ascii="Arial" w:hAnsi="Arial" w:cs="Arial"/>
                <w:b w:val="0"/>
                <w:bCs w:val="0"/>
                <w:lang w:val="en-GB"/>
              </w:rPr>
              <w:t>comments</w:t>
            </w:r>
          </w:p>
          <w:p w14:paraId="1A6B3748" w14:textId="77777777" w:rsidR="00F1171E" w:rsidRPr="00D30710" w:rsidRDefault="00F1171E" w:rsidP="007222C8">
            <w:pPr>
              <w:pStyle w:val="Heading2"/>
              <w:jc w:val="left"/>
              <w:rPr>
                <w:rFonts w:ascii="Arial" w:hAnsi="Arial" w:cs="Arial"/>
                <w:b w:val="0"/>
                <w:lang w:val="en-GB"/>
              </w:rPr>
            </w:pPr>
          </w:p>
        </w:tc>
        <w:tc>
          <w:tcPr>
            <w:tcW w:w="2612" w:type="pct"/>
          </w:tcPr>
          <w:p w14:paraId="2460E111" w14:textId="77777777" w:rsidR="00F03AF9" w:rsidRPr="00D30710" w:rsidRDefault="00F03AF9" w:rsidP="00F03AF9">
            <w:pPr>
              <w:spacing w:before="100" w:beforeAutospacing="1" w:after="100" w:afterAutospacing="1"/>
              <w:rPr>
                <w:rFonts w:ascii="Arial" w:hAnsi="Arial" w:cs="Arial"/>
                <w:b/>
                <w:bCs/>
                <w:sz w:val="20"/>
                <w:szCs w:val="20"/>
                <w:lang w:eastAsia="en-GB"/>
              </w:rPr>
            </w:pPr>
            <w:r w:rsidRPr="00D30710">
              <w:rPr>
                <w:rFonts w:ascii="Arial" w:hAnsi="Arial" w:cs="Arial"/>
                <w:b/>
                <w:bCs/>
                <w:sz w:val="20"/>
                <w:szCs w:val="20"/>
                <w:lang w:eastAsia="en-GB"/>
              </w:rPr>
              <w:t xml:space="preserve">Treatment of textiles in plasma afterglow </w:t>
            </w:r>
          </w:p>
          <w:p w14:paraId="33A71262" w14:textId="77777777" w:rsidR="00F03AF9" w:rsidRPr="00D30710" w:rsidRDefault="00F03AF9" w:rsidP="00F03AF9">
            <w:pPr>
              <w:spacing w:before="100" w:beforeAutospacing="1" w:after="100" w:afterAutospacing="1"/>
              <w:rPr>
                <w:rFonts w:ascii="Arial" w:hAnsi="Arial" w:cs="Arial"/>
                <w:sz w:val="20"/>
                <w:szCs w:val="20"/>
                <w:lang w:eastAsia="en-GB"/>
              </w:rPr>
            </w:pPr>
            <w:r w:rsidRPr="00D30710">
              <w:rPr>
                <w:rFonts w:ascii="Arial" w:hAnsi="Arial" w:cs="Arial"/>
                <w:sz w:val="20"/>
                <w:szCs w:val="20"/>
                <w:lang w:eastAsia="en-GB"/>
              </w:rPr>
              <w:t>The manuscript provides a comprehensive overview of the application of plasma afterglow techniques for textile modification. The authors have successfully demonstrated the potential of this technology for various applications, including sterilization, hydrophilization, and shrink resistance.</w:t>
            </w:r>
          </w:p>
          <w:p w14:paraId="2B78FED6"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sz w:val="20"/>
                <w:szCs w:val="20"/>
                <w:lang w:eastAsia="en-GB"/>
              </w:rPr>
              <w:t>While the manuscript provides experimental results, a deeper dive into the underlying mechanisms of the plasma-surface interactions would be beneficial. For example, a more detailed discussion of the chemical reactions involved in the hydrophilization and shrink-resistance processes could be included.</w:t>
            </w:r>
          </w:p>
          <w:p w14:paraId="5BD52B49"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sz w:val="20"/>
                <w:szCs w:val="20"/>
                <w:lang w:eastAsia="en-GB"/>
              </w:rPr>
              <w:t>It would be helpful to discuss the potential limitations of plasma afterglow treatments, such as the energy consumption and the impact on the mechanical properties of the textiles.</w:t>
            </w:r>
          </w:p>
          <w:p w14:paraId="1BEA7DAB"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sz w:val="20"/>
                <w:szCs w:val="20"/>
                <w:lang w:eastAsia="en-GB"/>
              </w:rPr>
              <w:t>A brief comparison of plasma afterglow techniques with other conventional textile finishing methods (e.g., chemical treatments) would provide valuable insights into the advantages and disadvantages of the plasma approach.</w:t>
            </w:r>
          </w:p>
          <w:p w14:paraId="0DE3BD0D"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sz w:val="20"/>
                <w:szCs w:val="20"/>
                <w:lang w:eastAsia="en-GB"/>
              </w:rPr>
              <w:t xml:space="preserve">A discussion of the </w:t>
            </w:r>
            <w:proofErr w:type="gramStart"/>
            <w:r w:rsidRPr="00D30710">
              <w:rPr>
                <w:rFonts w:ascii="Arial" w:hAnsi="Arial" w:cs="Arial"/>
                <w:sz w:val="20"/>
                <w:szCs w:val="20"/>
                <w:lang w:eastAsia="en-GB"/>
              </w:rPr>
              <w:t>future potential</w:t>
            </w:r>
            <w:proofErr w:type="gramEnd"/>
            <w:r w:rsidRPr="00D30710">
              <w:rPr>
                <w:rFonts w:ascii="Arial" w:hAnsi="Arial" w:cs="Arial"/>
                <w:sz w:val="20"/>
                <w:szCs w:val="20"/>
                <w:lang w:eastAsia="en-GB"/>
              </w:rPr>
              <w:t xml:space="preserve"> of plasma afterglow technology in the textile industry could be added. For instance, the authors could explore emerging applications such as antimicrobial textiles, smart textiles, and functional textiles.</w:t>
            </w:r>
          </w:p>
          <w:p w14:paraId="74D84A7A"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b/>
                <w:bCs/>
                <w:sz w:val="20"/>
                <w:szCs w:val="20"/>
                <w:lang w:eastAsia="en-GB"/>
              </w:rPr>
              <w:t>Section 27.2:</w:t>
            </w:r>
            <w:r w:rsidRPr="00D30710">
              <w:rPr>
                <w:rFonts w:ascii="Arial" w:hAnsi="Arial" w:cs="Arial"/>
                <w:sz w:val="20"/>
                <w:szCs w:val="20"/>
                <w:lang w:eastAsia="en-GB"/>
              </w:rPr>
              <w:t xml:space="preserve"> The discussion of the FTIR analysis </w:t>
            </w:r>
            <w:proofErr w:type="gramStart"/>
            <w:r w:rsidRPr="00D30710">
              <w:rPr>
                <w:rFonts w:ascii="Arial" w:hAnsi="Arial" w:cs="Arial"/>
                <w:sz w:val="20"/>
                <w:szCs w:val="20"/>
                <w:lang w:eastAsia="en-GB"/>
              </w:rPr>
              <w:t>could be expanded</w:t>
            </w:r>
            <w:proofErr w:type="gramEnd"/>
            <w:r w:rsidRPr="00D30710">
              <w:rPr>
                <w:rFonts w:ascii="Arial" w:hAnsi="Arial" w:cs="Arial"/>
                <w:sz w:val="20"/>
                <w:szCs w:val="20"/>
                <w:lang w:eastAsia="en-GB"/>
              </w:rPr>
              <w:t xml:space="preserve"> to provide more detailed insights into the chemical modifications induced by the plasma treatment.</w:t>
            </w:r>
          </w:p>
          <w:p w14:paraId="28AE1159"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b/>
                <w:bCs/>
                <w:sz w:val="20"/>
                <w:szCs w:val="20"/>
                <w:lang w:eastAsia="en-GB"/>
              </w:rPr>
              <w:t>Section 27.3:</w:t>
            </w:r>
            <w:r w:rsidRPr="00D30710">
              <w:rPr>
                <w:rFonts w:ascii="Arial" w:hAnsi="Arial" w:cs="Arial"/>
                <w:sz w:val="20"/>
                <w:szCs w:val="20"/>
                <w:lang w:eastAsia="en-GB"/>
              </w:rPr>
              <w:t xml:space="preserve"> The mechanism of hydrophilization </w:t>
            </w:r>
            <w:proofErr w:type="gramStart"/>
            <w:r w:rsidRPr="00D30710">
              <w:rPr>
                <w:rFonts w:ascii="Arial" w:hAnsi="Arial" w:cs="Arial"/>
                <w:sz w:val="20"/>
                <w:szCs w:val="20"/>
                <w:lang w:eastAsia="en-GB"/>
              </w:rPr>
              <w:t>could be explored</w:t>
            </w:r>
            <w:proofErr w:type="gramEnd"/>
            <w:r w:rsidRPr="00D30710">
              <w:rPr>
                <w:rFonts w:ascii="Arial" w:hAnsi="Arial" w:cs="Arial"/>
                <w:sz w:val="20"/>
                <w:szCs w:val="20"/>
                <w:lang w:eastAsia="en-GB"/>
              </w:rPr>
              <w:t xml:space="preserve"> in more detail, including the role of surface functionalization and the removal of hydrophobic coatings.</w:t>
            </w:r>
          </w:p>
          <w:p w14:paraId="38DC53E1"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b/>
                <w:bCs/>
                <w:sz w:val="20"/>
                <w:szCs w:val="20"/>
                <w:lang w:eastAsia="en-GB"/>
              </w:rPr>
              <w:t>Section 27.4:</w:t>
            </w:r>
            <w:r w:rsidRPr="00D30710">
              <w:rPr>
                <w:rFonts w:ascii="Arial" w:hAnsi="Arial" w:cs="Arial"/>
                <w:sz w:val="20"/>
                <w:szCs w:val="20"/>
                <w:lang w:eastAsia="en-GB"/>
              </w:rPr>
              <w:t xml:space="preserve"> A more detailed explanation of the thermochromic mechanism </w:t>
            </w:r>
            <w:proofErr w:type="gramStart"/>
            <w:r w:rsidRPr="00D30710">
              <w:rPr>
                <w:rFonts w:ascii="Arial" w:hAnsi="Arial" w:cs="Arial"/>
                <w:sz w:val="20"/>
                <w:szCs w:val="20"/>
                <w:lang w:eastAsia="en-GB"/>
              </w:rPr>
              <w:t>could be provided</w:t>
            </w:r>
            <w:proofErr w:type="gramEnd"/>
            <w:r w:rsidRPr="00D30710">
              <w:rPr>
                <w:rFonts w:ascii="Arial" w:hAnsi="Arial" w:cs="Arial"/>
                <w:sz w:val="20"/>
                <w:szCs w:val="20"/>
                <w:lang w:eastAsia="en-GB"/>
              </w:rPr>
              <w:t xml:space="preserve">. Additionally, the impact of the plasma treatment on the color stability and durability of the indicator </w:t>
            </w:r>
            <w:proofErr w:type="gramStart"/>
            <w:r w:rsidRPr="00D30710">
              <w:rPr>
                <w:rFonts w:ascii="Arial" w:hAnsi="Arial" w:cs="Arial"/>
                <w:sz w:val="20"/>
                <w:szCs w:val="20"/>
                <w:lang w:eastAsia="en-GB"/>
              </w:rPr>
              <w:t>could be discussed</w:t>
            </w:r>
            <w:proofErr w:type="gramEnd"/>
            <w:r w:rsidRPr="00D30710">
              <w:rPr>
                <w:rFonts w:ascii="Arial" w:hAnsi="Arial" w:cs="Arial"/>
                <w:sz w:val="20"/>
                <w:szCs w:val="20"/>
                <w:lang w:eastAsia="en-GB"/>
              </w:rPr>
              <w:t>.</w:t>
            </w:r>
          </w:p>
          <w:p w14:paraId="778AC2B1"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b/>
                <w:bCs/>
                <w:sz w:val="20"/>
                <w:szCs w:val="20"/>
                <w:lang w:eastAsia="en-GB"/>
              </w:rPr>
              <w:t>Section 27.5:</w:t>
            </w:r>
            <w:r w:rsidRPr="00D30710">
              <w:rPr>
                <w:rFonts w:ascii="Arial" w:hAnsi="Arial" w:cs="Arial"/>
                <w:sz w:val="20"/>
                <w:szCs w:val="20"/>
                <w:lang w:eastAsia="en-GB"/>
              </w:rPr>
              <w:t xml:space="preserve"> The comparison of plasma and afterglow treatments </w:t>
            </w:r>
            <w:proofErr w:type="gramStart"/>
            <w:r w:rsidRPr="00D30710">
              <w:rPr>
                <w:rFonts w:ascii="Arial" w:hAnsi="Arial" w:cs="Arial"/>
                <w:sz w:val="20"/>
                <w:szCs w:val="20"/>
                <w:lang w:eastAsia="en-GB"/>
              </w:rPr>
              <w:t>could be further elaborated</w:t>
            </w:r>
            <w:proofErr w:type="gramEnd"/>
            <w:r w:rsidRPr="00D30710">
              <w:rPr>
                <w:rFonts w:ascii="Arial" w:hAnsi="Arial" w:cs="Arial"/>
                <w:sz w:val="20"/>
                <w:szCs w:val="20"/>
                <w:lang w:eastAsia="en-GB"/>
              </w:rPr>
              <w:t xml:space="preserve"> to highlight the unique advantages of each approach.</w:t>
            </w:r>
          </w:p>
          <w:p w14:paraId="215BE5FB" w14:textId="77777777" w:rsidR="00F03AF9" w:rsidRPr="00D30710" w:rsidRDefault="00F03AF9" w:rsidP="00F03AF9">
            <w:pPr>
              <w:numPr>
                <w:ilvl w:val="0"/>
                <w:numId w:val="11"/>
              </w:numPr>
              <w:spacing w:before="100" w:beforeAutospacing="1" w:after="100" w:afterAutospacing="1"/>
              <w:rPr>
                <w:rFonts w:ascii="Arial" w:hAnsi="Arial" w:cs="Arial"/>
                <w:sz w:val="20"/>
                <w:szCs w:val="20"/>
                <w:lang w:eastAsia="en-GB"/>
              </w:rPr>
            </w:pPr>
            <w:r w:rsidRPr="00D30710">
              <w:rPr>
                <w:rFonts w:ascii="Arial" w:hAnsi="Arial" w:cs="Arial"/>
                <w:b/>
                <w:bCs/>
                <w:sz w:val="20"/>
                <w:szCs w:val="20"/>
                <w:lang w:eastAsia="en-GB"/>
              </w:rPr>
              <w:t>Add the following citation to improve the content.</w:t>
            </w:r>
            <w:r w:rsidRPr="00D30710">
              <w:rPr>
                <w:rFonts w:ascii="Arial" w:hAnsi="Arial" w:cs="Arial"/>
                <w:sz w:val="20"/>
                <w:szCs w:val="20"/>
                <w:lang w:eastAsia="en-GB"/>
              </w:rPr>
              <w:t xml:space="preserve"> </w:t>
            </w:r>
          </w:p>
          <w:p w14:paraId="15DFD0E8" w14:textId="524CAB1F" w:rsidR="00F1171E" w:rsidRPr="00D30710" w:rsidRDefault="00270F2F" w:rsidP="00F03AF9">
            <w:pPr>
              <w:pStyle w:val="ListParagraph"/>
              <w:rPr>
                <w:rFonts w:ascii="Arial" w:hAnsi="Arial" w:cs="Arial"/>
                <w:sz w:val="20"/>
                <w:szCs w:val="20"/>
                <w:lang w:eastAsia="en-GB"/>
              </w:rPr>
            </w:pPr>
            <w:hyperlink r:id="rId7" w:history="1">
              <w:r w:rsidR="00F03AF9" w:rsidRPr="00D30710">
                <w:rPr>
                  <w:rFonts w:ascii="Arial" w:hAnsi="Arial" w:cs="Arial"/>
                  <w:sz w:val="20"/>
                  <w:szCs w:val="20"/>
                  <w:lang w:eastAsia="en-GB"/>
                </w:rPr>
                <w:t>Hydrophilization of polyester textiles by nonthermal plasma</w:t>
              </w:r>
            </w:hyperlink>
            <w:r w:rsidR="00F03AF9" w:rsidRPr="00D30710">
              <w:rPr>
                <w:rFonts w:ascii="Arial" w:hAnsi="Arial" w:cs="Arial"/>
                <w:sz w:val="20"/>
                <w:szCs w:val="20"/>
                <w:lang w:eastAsia="en-GB"/>
              </w:rPr>
              <w:t xml:space="preserve">. M </w:t>
            </w:r>
            <w:proofErr w:type="spellStart"/>
            <w:r w:rsidR="00F03AF9" w:rsidRPr="00D30710">
              <w:rPr>
                <w:rFonts w:ascii="Arial" w:hAnsi="Arial" w:cs="Arial"/>
                <w:sz w:val="20"/>
                <w:szCs w:val="20"/>
                <w:lang w:eastAsia="en-GB"/>
              </w:rPr>
              <w:t>Azeem</w:t>
            </w:r>
            <w:proofErr w:type="spellEnd"/>
            <w:r w:rsidR="00F03AF9" w:rsidRPr="00D30710">
              <w:rPr>
                <w:rFonts w:ascii="Arial" w:hAnsi="Arial" w:cs="Arial"/>
                <w:sz w:val="20"/>
                <w:szCs w:val="20"/>
                <w:lang w:eastAsia="en-GB"/>
              </w:rPr>
              <w:t xml:space="preserve">, A </w:t>
            </w:r>
            <w:proofErr w:type="spellStart"/>
            <w:r w:rsidR="00F03AF9" w:rsidRPr="00D30710">
              <w:rPr>
                <w:rFonts w:ascii="Arial" w:hAnsi="Arial" w:cs="Arial"/>
                <w:sz w:val="20"/>
                <w:szCs w:val="20"/>
                <w:lang w:eastAsia="en-GB"/>
              </w:rPr>
              <w:t>Javed</w:t>
            </w:r>
            <w:proofErr w:type="spellEnd"/>
            <w:r w:rsidR="00F03AF9" w:rsidRPr="00D30710">
              <w:rPr>
                <w:rFonts w:ascii="Arial" w:hAnsi="Arial" w:cs="Arial"/>
                <w:sz w:val="20"/>
                <w:szCs w:val="20"/>
                <w:lang w:eastAsia="en-GB"/>
              </w:rPr>
              <w:t xml:space="preserve">, H </w:t>
            </w:r>
            <w:proofErr w:type="spellStart"/>
            <w:r w:rsidR="00F03AF9" w:rsidRPr="00D30710">
              <w:rPr>
                <w:rFonts w:ascii="Arial" w:hAnsi="Arial" w:cs="Arial"/>
                <w:sz w:val="20"/>
                <w:szCs w:val="20"/>
                <w:lang w:eastAsia="en-GB"/>
              </w:rPr>
              <w:t>Morikawa</w:t>
            </w:r>
            <w:proofErr w:type="spellEnd"/>
            <w:r w:rsidR="00F03AF9" w:rsidRPr="00D30710">
              <w:rPr>
                <w:rFonts w:ascii="Arial" w:hAnsi="Arial" w:cs="Arial"/>
                <w:sz w:val="20"/>
                <w:szCs w:val="20"/>
                <w:lang w:eastAsia="en-GB"/>
              </w:rPr>
              <w:t>, MT Noman, MQ Khan, M Shahid, Autex Research Journal 21 (2), 142-149</w:t>
            </w:r>
          </w:p>
        </w:tc>
        <w:tc>
          <w:tcPr>
            <w:tcW w:w="1123" w:type="pct"/>
          </w:tcPr>
          <w:p w14:paraId="465E098E" w14:textId="77777777" w:rsidR="00F1171E" w:rsidRPr="00D30710" w:rsidRDefault="00F1171E" w:rsidP="007222C8">
            <w:pPr>
              <w:rPr>
                <w:rFonts w:ascii="Arial" w:hAnsi="Arial" w:cs="Arial"/>
                <w:sz w:val="20"/>
                <w:szCs w:val="20"/>
                <w:lang w:val="en-GB"/>
              </w:rPr>
            </w:pPr>
          </w:p>
        </w:tc>
      </w:tr>
    </w:tbl>
    <w:p w14:paraId="4437A01F" w14:textId="67460C6A" w:rsidR="00F1171E" w:rsidRPr="00D3071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37130" w:rsidRPr="00D30710" w14:paraId="485A66A6" w14:textId="77777777" w:rsidTr="00D3071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E9ACE2" w14:textId="77777777" w:rsidR="00C37130" w:rsidRPr="00D30710" w:rsidRDefault="00C37130" w:rsidP="00D30710">
            <w:pPr>
              <w:rPr>
                <w:rFonts w:ascii="Arial" w:eastAsia="Arial Unicode MS" w:hAnsi="Arial" w:cs="Arial"/>
                <w:b/>
                <w:sz w:val="20"/>
                <w:szCs w:val="20"/>
                <w:u w:val="single"/>
                <w:lang w:val="en-GB"/>
              </w:rPr>
            </w:pPr>
            <w:bookmarkStart w:id="1" w:name="_Hlk165652409"/>
            <w:r w:rsidRPr="00D30710">
              <w:rPr>
                <w:rFonts w:ascii="Arial" w:eastAsia="Arial Unicode MS" w:hAnsi="Arial" w:cs="Arial"/>
                <w:b/>
                <w:sz w:val="20"/>
                <w:szCs w:val="20"/>
                <w:highlight w:val="yellow"/>
                <w:u w:val="single"/>
                <w:lang w:val="en-GB"/>
              </w:rPr>
              <w:t>PART  2:</w:t>
            </w:r>
            <w:r w:rsidRPr="00D30710">
              <w:rPr>
                <w:rFonts w:ascii="Arial" w:eastAsia="Arial Unicode MS" w:hAnsi="Arial" w:cs="Arial"/>
                <w:b/>
                <w:sz w:val="20"/>
                <w:szCs w:val="20"/>
                <w:u w:val="single"/>
                <w:lang w:val="en-GB"/>
              </w:rPr>
              <w:t xml:space="preserve"> </w:t>
            </w:r>
          </w:p>
          <w:p w14:paraId="2F9A2A6D" w14:textId="77777777" w:rsidR="00C37130" w:rsidRPr="00D30710" w:rsidRDefault="00C37130" w:rsidP="00234B67">
            <w:pPr>
              <w:rPr>
                <w:rFonts w:ascii="Arial" w:eastAsia="Arial Unicode MS" w:hAnsi="Arial" w:cs="Arial"/>
                <w:b/>
                <w:sz w:val="20"/>
                <w:szCs w:val="20"/>
                <w:u w:val="single"/>
                <w:lang w:val="en-GB"/>
              </w:rPr>
            </w:pPr>
          </w:p>
        </w:tc>
      </w:tr>
      <w:tr w:rsidR="00C37130" w:rsidRPr="00D30710" w14:paraId="4155D600" w14:textId="77777777" w:rsidTr="00D30710">
        <w:tc>
          <w:tcPr>
            <w:tcW w:w="1615" w:type="pct"/>
            <w:shd w:val="clear" w:color="auto" w:fill="auto"/>
            <w:noWrap/>
            <w:tcMar>
              <w:top w:w="0" w:type="dxa"/>
              <w:left w:w="108" w:type="dxa"/>
              <w:bottom w:w="0" w:type="dxa"/>
              <w:right w:w="108" w:type="dxa"/>
            </w:tcMar>
            <w:vAlign w:val="center"/>
          </w:tcPr>
          <w:p w14:paraId="4F20B9FB" w14:textId="77777777" w:rsidR="00C37130" w:rsidRPr="00D30710" w:rsidRDefault="00C37130" w:rsidP="00234B6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58BBD8F" w14:textId="77777777" w:rsidR="00C37130" w:rsidRPr="00D30710" w:rsidRDefault="00C37130" w:rsidP="00234B67">
            <w:pPr>
              <w:keepNext/>
              <w:outlineLvl w:val="1"/>
              <w:rPr>
                <w:rFonts w:ascii="Arial" w:eastAsia="MS Mincho" w:hAnsi="Arial" w:cs="Arial"/>
                <w:b/>
                <w:bCs/>
                <w:sz w:val="20"/>
                <w:szCs w:val="20"/>
                <w:lang w:val="en-GB"/>
              </w:rPr>
            </w:pPr>
            <w:r w:rsidRPr="00D30710">
              <w:rPr>
                <w:rFonts w:ascii="Arial" w:eastAsia="MS Mincho" w:hAnsi="Arial" w:cs="Arial"/>
                <w:b/>
                <w:bCs/>
                <w:sz w:val="20"/>
                <w:szCs w:val="20"/>
                <w:lang w:val="en-GB"/>
              </w:rPr>
              <w:t>Reviewer’s comment</w:t>
            </w:r>
          </w:p>
        </w:tc>
        <w:tc>
          <w:tcPr>
            <w:tcW w:w="1691" w:type="pct"/>
            <w:shd w:val="clear" w:color="auto" w:fill="auto"/>
          </w:tcPr>
          <w:p w14:paraId="4CF3D597" w14:textId="77777777" w:rsidR="00C37130" w:rsidRPr="00D30710" w:rsidRDefault="00C37130" w:rsidP="00234B67">
            <w:pPr>
              <w:keepNext/>
              <w:outlineLvl w:val="1"/>
              <w:rPr>
                <w:rFonts w:ascii="Arial" w:eastAsia="MS Mincho" w:hAnsi="Arial" w:cs="Arial"/>
                <w:bCs/>
                <w:sz w:val="20"/>
                <w:szCs w:val="20"/>
                <w:lang w:val="en-GB"/>
              </w:rPr>
            </w:pPr>
            <w:r w:rsidRPr="00D30710">
              <w:rPr>
                <w:rFonts w:ascii="Arial" w:eastAsia="MS Mincho" w:hAnsi="Arial" w:cs="Arial"/>
                <w:b/>
                <w:bCs/>
                <w:sz w:val="20"/>
                <w:szCs w:val="20"/>
                <w:lang w:val="en-GB"/>
              </w:rPr>
              <w:t>Author’s comment</w:t>
            </w:r>
            <w:r w:rsidRPr="00D30710">
              <w:rPr>
                <w:rFonts w:ascii="Arial" w:eastAsia="MS Mincho" w:hAnsi="Arial" w:cs="Arial"/>
                <w:bCs/>
                <w:sz w:val="20"/>
                <w:szCs w:val="20"/>
                <w:lang w:val="en-GB"/>
              </w:rPr>
              <w:t xml:space="preserve"> </w:t>
            </w:r>
            <w:r w:rsidRPr="00D3071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7130" w:rsidRPr="00D30710" w14:paraId="30A8005A" w14:textId="77777777" w:rsidTr="00D30710">
        <w:trPr>
          <w:trHeight w:val="890"/>
        </w:trPr>
        <w:tc>
          <w:tcPr>
            <w:tcW w:w="1615" w:type="pct"/>
            <w:shd w:val="clear" w:color="auto" w:fill="auto"/>
            <w:noWrap/>
            <w:tcMar>
              <w:top w:w="0" w:type="dxa"/>
              <w:left w:w="108" w:type="dxa"/>
              <w:bottom w:w="0" w:type="dxa"/>
              <w:right w:w="108" w:type="dxa"/>
            </w:tcMar>
            <w:vAlign w:val="center"/>
          </w:tcPr>
          <w:p w14:paraId="14FF972B" w14:textId="77777777" w:rsidR="00C37130" w:rsidRPr="00D30710" w:rsidRDefault="00C37130" w:rsidP="00234B67">
            <w:pPr>
              <w:rPr>
                <w:rFonts w:ascii="Arial" w:eastAsia="Arial Unicode MS" w:hAnsi="Arial" w:cs="Arial"/>
                <w:b/>
                <w:sz w:val="20"/>
                <w:szCs w:val="20"/>
                <w:lang w:val="en-GB"/>
              </w:rPr>
            </w:pPr>
            <w:r w:rsidRPr="00D30710">
              <w:rPr>
                <w:rFonts w:ascii="Arial" w:eastAsia="Arial Unicode MS" w:hAnsi="Arial" w:cs="Arial"/>
                <w:b/>
                <w:sz w:val="20"/>
                <w:szCs w:val="20"/>
                <w:lang w:val="en-GB"/>
              </w:rPr>
              <w:t xml:space="preserve">Are there ethical issues in this manuscript? </w:t>
            </w:r>
          </w:p>
          <w:p w14:paraId="2C5705F1" w14:textId="77777777" w:rsidR="00C37130" w:rsidRPr="00D30710" w:rsidRDefault="00C37130" w:rsidP="00234B6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18BC6AB" w14:textId="77777777" w:rsidR="00C37130" w:rsidRPr="00D30710" w:rsidRDefault="00C37130" w:rsidP="00234B67">
            <w:pPr>
              <w:rPr>
                <w:rFonts w:ascii="Arial" w:eastAsia="Arial Unicode MS" w:hAnsi="Arial" w:cs="Arial"/>
                <w:i/>
                <w:iCs/>
                <w:sz w:val="20"/>
                <w:szCs w:val="20"/>
                <w:u w:val="single"/>
                <w:lang w:val="en-GB"/>
              </w:rPr>
            </w:pPr>
            <w:r w:rsidRPr="00D30710">
              <w:rPr>
                <w:rFonts w:ascii="Arial" w:eastAsia="Arial Unicode MS" w:hAnsi="Arial" w:cs="Arial"/>
                <w:i/>
                <w:iCs/>
                <w:sz w:val="20"/>
                <w:szCs w:val="20"/>
                <w:u w:val="single"/>
                <w:lang w:val="en-GB"/>
              </w:rPr>
              <w:t>(If yes, Kindly please write down the ethical issues here in details)</w:t>
            </w:r>
          </w:p>
          <w:p w14:paraId="0A5158FA" w14:textId="77777777" w:rsidR="00C37130" w:rsidRPr="00D30710" w:rsidRDefault="00C37130" w:rsidP="00234B67">
            <w:pPr>
              <w:rPr>
                <w:rFonts w:ascii="Arial" w:eastAsia="Arial Unicode MS" w:hAnsi="Arial" w:cs="Arial"/>
                <w:sz w:val="20"/>
                <w:szCs w:val="20"/>
                <w:lang w:val="en-GB"/>
              </w:rPr>
            </w:pPr>
          </w:p>
          <w:p w14:paraId="6DCF33E7" w14:textId="77777777" w:rsidR="00C37130" w:rsidRPr="00D30710" w:rsidRDefault="00C37130" w:rsidP="00234B67">
            <w:pPr>
              <w:rPr>
                <w:rFonts w:ascii="Arial" w:eastAsia="Arial Unicode MS" w:hAnsi="Arial" w:cs="Arial"/>
                <w:sz w:val="20"/>
                <w:szCs w:val="20"/>
                <w:lang w:val="en-GB"/>
              </w:rPr>
            </w:pPr>
          </w:p>
        </w:tc>
        <w:tc>
          <w:tcPr>
            <w:tcW w:w="1691" w:type="pct"/>
            <w:shd w:val="clear" w:color="auto" w:fill="auto"/>
            <w:vAlign w:val="center"/>
          </w:tcPr>
          <w:p w14:paraId="410710E4" w14:textId="77777777" w:rsidR="00C37130" w:rsidRPr="00D30710" w:rsidRDefault="00C37130" w:rsidP="00234B67">
            <w:pPr>
              <w:rPr>
                <w:rFonts w:ascii="Arial" w:eastAsia="Arial Unicode MS" w:hAnsi="Arial" w:cs="Arial"/>
                <w:sz w:val="20"/>
                <w:szCs w:val="20"/>
                <w:lang w:val="en-GB"/>
              </w:rPr>
            </w:pPr>
          </w:p>
          <w:p w14:paraId="471FCAED" w14:textId="77777777" w:rsidR="00C37130" w:rsidRPr="00D30710" w:rsidRDefault="00C37130" w:rsidP="00234B67">
            <w:pPr>
              <w:rPr>
                <w:rFonts w:ascii="Arial" w:eastAsia="Arial Unicode MS" w:hAnsi="Arial" w:cs="Arial"/>
                <w:sz w:val="20"/>
                <w:szCs w:val="20"/>
                <w:lang w:val="en-GB"/>
              </w:rPr>
            </w:pPr>
          </w:p>
          <w:p w14:paraId="29B8C69B" w14:textId="77777777" w:rsidR="00C37130" w:rsidRPr="00D30710" w:rsidRDefault="00C37130" w:rsidP="00234B67">
            <w:pPr>
              <w:rPr>
                <w:rFonts w:ascii="Arial" w:eastAsia="Arial Unicode MS" w:hAnsi="Arial" w:cs="Arial"/>
                <w:sz w:val="20"/>
                <w:szCs w:val="20"/>
                <w:lang w:val="en-GB"/>
              </w:rPr>
            </w:pPr>
          </w:p>
        </w:tc>
      </w:tr>
    </w:tbl>
    <w:p w14:paraId="38224095" w14:textId="77777777" w:rsidR="00C37130" w:rsidRPr="00D30710" w:rsidRDefault="00C37130" w:rsidP="00C3713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37130" w:rsidRPr="00D30710" w14:paraId="5A04A32C" w14:textId="77777777" w:rsidTr="00D3071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9C61A40" w14:textId="680A612F" w:rsidR="00C37130" w:rsidRPr="00D30710" w:rsidRDefault="00C37130" w:rsidP="00234B67">
            <w:pPr>
              <w:rPr>
                <w:rFonts w:ascii="Arial" w:hAnsi="Arial" w:cs="Arial"/>
                <w:b/>
                <w:sz w:val="20"/>
                <w:szCs w:val="20"/>
                <w:u w:val="single"/>
                <w:lang w:val="en-GB"/>
              </w:rPr>
            </w:pPr>
            <w:r w:rsidRPr="00D30710">
              <w:rPr>
                <w:rFonts w:ascii="Arial" w:hAnsi="Arial" w:cs="Arial"/>
                <w:b/>
                <w:sz w:val="20"/>
                <w:szCs w:val="20"/>
                <w:u w:val="single"/>
                <w:lang w:val="en-GB"/>
              </w:rPr>
              <w:t>Reviewer Details:</w:t>
            </w:r>
          </w:p>
          <w:p w14:paraId="4FE9DE5E" w14:textId="77777777" w:rsidR="00C37130" w:rsidRPr="00D30710" w:rsidRDefault="00C37130" w:rsidP="00234B67">
            <w:pPr>
              <w:rPr>
                <w:rFonts w:ascii="Arial" w:hAnsi="Arial" w:cs="Arial"/>
                <w:bCs/>
                <w:sz w:val="20"/>
                <w:szCs w:val="20"/>
                <w:u w:val="single"/>
                <w:lang w:val="en-GB"/>
              </w:rPr>
            </w:pPr>
          </w:p>
        </w:tc>
      </w:tr>
      <w:tr w:rsidR="00C37130" w:rsidRPr="00D30710" w14:paraId="6D6FF54D" w14:textId="77777777" w:rsidTr="00D30710">
        <w:trPr>
          <w:trHeight w:val="233"/>
        </w:trPr>
        <w:tc>
          <w:tcPr>
            <w:tcW w:w="1409" w:type="pct"/>
            <w:shd w:val="clear" w:color="auto" w:fill="auto"/>
            <w:noWrap/>
            <w:tcMar>
              <w:top w:w="0" w:type="dxa"/>
              <w:left w:w="108" w:type="dxa"/>
              <w:bottom w:w="0" w:type="dxa"/>
              <w:right w:w="108" w:type="dxa"/>
            </w:tcMar>
            <w:vAlign w:val="center"/>
          </w:tcPr>
          <w:p w14:paraId="7EF4C5D1" w14:textId="77777777" w:rsidR="00C37130" w:rsidRPr="00D30710" w:rsidRDefault="00C37130" w:rsidP="00234B67">
            <w:pPr>
              <w:rPr>
                <w:rFonts w:ascii="Arial" w:hAnsi="Arial" w:cs="Arial"/>
                <w:sz w:val="20"/>
                <w:szCs w:val="20"/>
                <w:lang w:val="en-GB"/>
              </w:rPr>
            </w:pPr>
            <w:r w:rsidRPr="00D3071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F55E647" w14:textId="14131D86" w:rsidR="00C37130" w:rsidRPr="00D30710" w:rsidRDefault="00D30710" w:rsidP="00234B67">
            <w:pPr>
              <w:rPr>
                <w:rFonts w:ascii="Arial" w:hAnsi="Arial" w:cs="Arial"/>
                <w:b/>
                <w:bCs/>
                <w:sz w:val="20"/>
                <w:szCs w:val="20"/>
              </w:rPr>
            </w:pPr>
            <w:proofErr w:type="spellStart"/>
            <w:r w:rsidRPr="00D30710">
              <w:rPr>
                <w:rFonts w:ascii="Arial" w:hAnsi="Arial" w:cs="Arial"/>
                <w:b/>
                <w:bCs/>
                <w:sz w:val="20"/>
                <w:szCs w:val="20"/>
              </w:rPr>
              <w:t>Musaddaq</w:t>
            </w:r>
            <w:proofErr w:type="spellEnd"/>
            <w:r w:rsidRPr="00D30710">
              <w:rPr>
                <w:rFonts w:ascii="Arial" w:hAnsi="Arial" w:cs="Arial"/>
                <w:b/>
                <w:bCs/>
                <w:sz w:val="20"/>
                <w:szCs w:val="20"/>
              </w:rPr>
              <w:t xml:space="preserve"> </w:t>
            </w:r>
            <w:proofErr w:type="spellStart"/>
            <w:r w:rsidRPr="00D30710">
              <w:rPr>
                <w:rFonts w:ascii="Arial" w:hAnsi="Arial" w:cs="Arial"/>
                <w:b/>
                <w:bCs/>
                <w:sz w:val="20"/>
                <w:szCs w:val="20"/>
              </w:rPr>
              <w:t>Azeem</w:t>
            </w:r>
            <w:proofErr w:type="spellEnd"/>
          </w:p>
        </w:tc>
      </w:tr>
      <w:tr w:rsidR="00C37130" w:rsidRPr="00D30710" w14:paraId="5A24A96A" w14:textId="77777777" w:rsidTr="00D30710">
        <w:trPr>
          <w:trHeight w:val="77"/>
        </w:trPr>
        <w:tc>
          <w:tcPr>
            <w:tcW w:w="1409" w:type="pct"/>
            <w:shd w:val="clear" w:color="auto" w:fill="auto"/>
            <w:noWrap/>
            <w:tcMar>
              <w:top w:w="0" w:type="dxa"/>
              <w:left w:w="108" w:type="dxa"/>
              <w:bottom w:w="0" w:type="dxa"/>
              <w:right w:w="108" w:type="dxa"/>
            </w:tcMar>
            <w:vAlign w:val="center"/>
          </w:tcPr>
          <w:p w14:paraId="7B227E0F" w14:textId="77777777" w:rsidR="00C37130" w:rsidRPr="00D30710" w:rsidRDefault="00C37130" w:rsidP="00234B67">
            <w:pPr>
              <w:rPr>
                <w:rFonts w:ascii="Arial" w:hAnsi="Arial" w:cs="Arial"/>
                <w:sz w:val="20"/>
                <w:szCs w:val="20"/>
                <w:lang w:val="en-GB"/>
              </w:rPr>
            </w:pPr>
            <w:r w:rsidRPr="00D3071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54B05A6" w14:textId="7FC05502" w:rsidR="00C37130" w:rsidRPr="00D30710" w:rsidRDefault="00D30710" w:rsidP="00234B67">
            <w:pPr>
              <w:rPr>
                <w:rFonts w:ascii="Arial" w:hAnsi="Arial" w:cs="Arial"/>
                <w:b/>
                <w:bCs/>
                <w:sz w:val="20"/>
                <w:szCs w:val="20"/>
                <w:lang w:val="en-GB"/>
              </w:rPr>
            </w:pPr>
            <w:r w:rsidRPr="00D30710">
              <w:rPr>
                <w:rFonts w:ascii="Arial" w:hAnsi="Arial" w:cs="Arial"/>
                <w:b/>
                <w:bCs/>
                <w:sz w:val="20"/>
                <w:szCs w:val="20"/>
                <w:lang w:val="en-GB"/>
              </w:rPr>
              <w:t>Technical University of Liberec,</w:t>
            </w:r>
            <w:r w:rsidRPr="00D30710">
              <w:rPr>
                <w:rFonts w:ascii="Arial" w:hAnsi="Arial" w:cs="Arial"/>
                <w:sz w:val="20"/>
                <w:szCs w:val="20"/>
              </w:rPr>
              <w:t xml:space="preserve"> </w:t>
            </w:r>
            <w:r w:rsidRPr="00D30710">
              <w:rPr>
                <w:rFonts w:ascii="Arial" w:hAnsi="Arial" w:cs="Arial"/>
                <w:b/>
                <w:bCs/>
                <w:sz w:val="20"/>
                <w:szCs w:val="20"/>
                <w:lang w:val="en-GB"/>
              </w:rPr>
              <w:t>Czech Republic</w:t>
            </w:r>
          </w:p>
        </w:tc>
      </w:tr>
      <w:bookmarkEnd w:id="1"/>
    </w:tbl>
    <w:p w14:paraId="4B8427F1" w14:textId="77777777" w:rsidR="00C37130" w:rsidRPr="00D30710" w:rsidRDefault="00C37130" w:rsidP="00C37130">
      <w:pPr>
        <w:rPr>
          <w:rFonts w:ascii="Arial" w:hAnsi="Arial" w:cs="Arial"/>
          <w:sz w:val="20"/>
          <w:szCs w:val="20"/>
        </w:rPr>
      </w:pPr>
    </w:p>
    <w:bookmarkEnd w:id="0"/>
    <w:p w14:paraId="48DC05A4" w14:textId="77777777" w:rsidR="004C3DF1" w:rsidRPr="00D30710" w:rsidRDefault="004C3DF1" w:rsidP="00C37130">
      <w:pPr>
        <w:pStyle w:val="BodyText"/>
        <w:rPr>
          <w:rFonts w:ascii="Arial" w:hAnsi="Arial" w:cs="Arial"/>
          <w:b/>
          <w:sz w:val="20"/>
          <w:szCs w:val="20"/>
          <w:lang w:val="en-GB"/>
        </w:rPr>
      </w:pPr>
    </w:p>
    <w:sectPr w:rsidR="004C3DF1" w:rsidRPr="00D3071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A0349" w14:textId="77777777" w:rsidR="00270F2F" w:rsidRPr="0000007A" w:rsidRDefault="00270F2F" w:rsidP="0099583E">
      <w:r>
        <w:separator/>
      </w:r>
    </w:p>
  </w:endnote>
  <w:endnote w:type="continuationSeparator" w:id="0">
    <w:p w14:paraId="162C62A1" w14:textId="77777777" w:rsidR="00270F2F" w:rsidRPr="0000007A" w:rsidRDefault="00270F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E3F1A" w14:textId="77777777" w:rsidR="00270F2F" w:rsidRPr="0000007A" w:rsidRDefault="00270F2F" w:rsidP="0099583E">
      <w:r>
        <w:separator/>
      </w:r>
    </w:p>
  </w:footnote>
  <w:footnote w:type="continuationSeparator" w:id="0">
    <w:p w14:paraId="0AB5F97B" w14:textId="77777777" w:rsidR="00270F2F" w:rsidRPr="0000007A" w:rsidRDefault="00270F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171B46"/>
    <w:multiLevelType w:val="multilevel"/>
    <w:tmpl w:val="EAAA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3741"/>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0F2F"/>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11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2EA"/>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538"/>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7130"/>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6CC"/>
    <w:rsid w:val="00D27A79"/>
    <w:rsid w:val="00D30710"/>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3AF9"/>
    <w:rsid w:val="00F1171E"/>
    <w:rsid w:val="00F13071"/>
    <w:rsid w:val="00F2643C"/>
    <w:rsid w:val="00F32717"/>
    <w:rsid w:val="00F3295A"/>
    <w:rsid w:val="00F32A9A"/>
    <w:rsid w:val="00F330FA"/>
    <w:rsid w:val="00F33C84"/>
    <w:rsid w:val="00F3669D"/>
    <w:rsid w:val="00F405F8"/>
    <w:rsid w:val="00F42729"/>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cholar.google.co.uk/citations?view_op=view_citation&amp;hl=en&amp;user=ngC5r1wAAAAJ&amp;citation_for_view=ngC5r1wAAAAJ:7PzlFSSx8t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