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6AA9999" w:rsidR="0000007A" w:rsidRPr="00DE7D30" w:rsidRDefault="00ED21EC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r w:rsidRPr="00ED21EC">
              <w:rPr>
                <w:rFonts w:ascii="Arial" w:hAnsi="Arial" w:cs="Arial"/>
                <w:b/>
                <w:bCs/>
                <w:szCs w:val="28"/>
                <w:u w:val="single"/>
              </w:rPr>
              <w:t>Plasmas Afterglows with N2 for Surface Treatments synthesis 2024</w:t>
            </w:r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B3BB4DF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proofErr w:type="spellEnd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ED21EC">
              <w:t xml:space="preserve"> </w:t>
            </w:r>
            <w:r w:rsidR="00ED21EC" w:rsidRPr="00ED21EC">
              <w:rPr>
                <w:rFonts w:ascii="Arial" w:hAnsi="Arial" w:cs="Arial"/>
                <w:b/>
                <w:bCs/>
                <w:szCs w:val="28"/>
                <w:lang w:val="en-GB"/>
              </w:rPr>
              <w:t>3686.2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C9F344" w:rsidR="0000007A" w:rsidRPr="00DE7D30" w:rsidRDefault="00ED21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ED21EC">
              <w:rPr>
                <w:rFonts w:ascii="Arial" w:hAnsi="Arial" w:cs="Arial"/>
                <w:b/>
                <w:szCs w:val="28"/>
                <w:lang w:val="en-GB"/>
              </w:rPr>
              <w:t>Active Species in R (</w:t>
            </w:r>
            <w:proofErr w:type="spellStart"/>
            <w:r w:rsidRPr="00ED21EC">
              <w:rPr>
                <w:rFonts w:ascii="Arial" w:hAnsi="Arial" w:cs="Arial"/>
                <w:b/>
                <w:szCs w:val="28"/>
                <w:lang w:val="en-GB"/>
              </w:rPr>
              <w:t>He,Ne,Ar</w:t>
            </w:r>
            <w:proofErr w:type="spellEnd"/>
            <w:r w:rsidRPr="00ED21EC">
              <w:rPr>
                <w:rFonts w:ascii="Arial" w:hAnsi="Arial" w:cs="Arial"/>
                <w:b/>
                <w:szCs w:val="28"/>
                <w:lang w:val="en-GB"/>
              </w:rPr>
              <w:t>)-Molecular Gas Plasmas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8B7A366" w:rsidR="00CF0BBB" w:rsidRPr="00DE7D30" w:rsidRDefault="00ED21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A743ECE" w14:textId="6391D9EF" w:rsidR="00D27A79" w:rsidRPr="00DE7D30" w:rsidRDefault="00D27A79" w:rsidP="00ED21E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Review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06DA2C7D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 xml:space="preserve">Compulsory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Why do you like (or dislike) this manuscript?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F1171E" w:rsidRPr="00900E9B" w:rsidRDefault="00F1171E" w:rsidP="007222C8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77EE3F7" w:rsidR="00F1171E" w:rsidRPr="00DF2C77" w:rsidRDefault="0077487E" w:rsidP="0077487E">
            <w:pPr>
              <w:rPr>
                <w:b/>
                <w:bCs/>
                <w:sz w:val="20"/>
                <w:szCs w:val="20"/>
              </w:rPr>
            </w:pPr>
            <w:r w:rsidRPr="00DF2C77">
              <w:rPr>
                <w:b/>
                <w:bCs/>
                <w:sz w:val="20"/>
                <w:szCs w:val="20"/>
              </w:rPr>
              <w:t xml:space="preserve">The write up has expand the knowledge of cold plasma reactive species produced from inert gases. This is important and will help in understanding the reactive species </w:t>
            </w:r>
            <w:proofErr w:type="spellStart"/>
            <w:r w:rsidRPr="00DF2C77">
              <w:rPr>
                <w:b/>
                <w:bCs/>
                <w:sz w:val="20"/>
                <w:szCs w:val="20"/>
              </w:rPr>
              <w:t>spectra</w:t>
            </w:r>
            <w:proofErr w:type="spellEnd"/>
            <w:r w:rsidRPr="00DF2C77">
              <w:rPr>
                <w:b/>
                <w:bCs/>
                <w:sz w:val="20"/>
                <w:szCs w:val="20"/>
              </w:rPr>
              <w:t xml:space="preserve"> diagnostics during plasma generation. The chapter has highlighted the interaction of the chemical species with He, Ne, and </w:t>
            </w:r>
            <w:proofErr w:type="spellStart"/>
            <w:r w:rsidRPr="00DF2C77">
              <w:rPr>
                <w:b/>
                <w:bCs/>
                <w:sz w:val="20"/>
                <w:szCs w:val="20"/>
              </w:rPr>
              <w:t>Ar</w:t>
            </w:r>
            <w:proofErr w:type="spellEnd"/>
            <w:r w:rsidRPr="00DF2C77">
              <w:rPr>
                <w:b/>
                <w:bCs/>
                <w:sz w:val="20"/>
                <w:szCs w:val="20"/>
              </w:rPr>
              <w:t xml:space="preserve"> at gas interphase which crucial in plasma generation. The contribution is scientifically robust.</w:t>
            </w:r>
          </w:p>
        </w:tc>
        <w:tc>
          <w:tcPr>
            <w:tcW w:w="1523" w:type="pct"/>
          </w:tcPr>
          <w:p w14:paraId="462A339C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0D8B5B2C" w14:textId="77777777" w:rsidTr="00B87429">
        <w:trPr>
          <w:trHeight w:val="773"/>
        </w:trPr>
        <w:tc>
          <w:tcPr>
            <w:tcW w:w="1265" w:type="pct"/>
            <w:noWrap/>
          </w:tcPr>
          <w:p w14:paraId="21CBA5FE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31CA7A3" w:rsidR="00F1171E" w:rsidRPr="0077487E" w:rsidRDefault="0077487E" w:rsidP="007222C8">
            <w:pPr>
              <w:ind w:left="360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I suggest the following title: </w:t>
            </w:r>
            <w:r w:rsidRPr="0077487E">
              <w:rPr>
                <w:b/>
                <w:bCs/>
                <w:sz w:val="20"/>
                <w:szCs w:val="20"/>
                <w:lang w:val="en-GB"/>
              </w:rPr>
              <w:t>Interaction of Active Species in R (He,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77487E">
              <w:rPr>
                <w:b/>
                <w:bCs/>
                <w:sz w:val="20"/>
                <w:szCs w:val="20"/>
                <w:lang w:val="en-GB"/>
              </w:rPr>
              <w:t>Ne,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7487E">
              <w:rPr>
                <w:b/>
                <w:bCs/>
                <w:sz w:val="20"/>
                <w:szCs w:val="20"/>
                <w:lang w:val="en-GB"/>
              </w:rPr>
              <w:t>Ar</w:t>
            </w:r>
            <w:proofErr w:type="spellEnd"/>
            <w:r w:rsidRPr="0077487E">
              <w:rPr>
                <w:b/>
                <w:bCs/>
                <w:sz w:val="20"/>
                <w:szCs w:val="20"/>
                <w:lang w:val="en-GB"/>
              </w:rPr>
              <w:t>) Gas Plasmas</w:t>
            </w:r>
          </w:p>
        </w:tc>
        <w:tc>
          <w:tcPr>
            <w:tcW w:w="1523" w:type="pct"/>
          </w:tcPr>
          <w:p w14:paraId="405B6701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5604762A" w14:textId="77777777" w:rsidTr="00B87429">
        <w:trPr>
          <w:trHeight w:val="710"/>
        </w:trPr>
        <w:tc>
          <w:tcPr>
            <w:tcW w:w="1265" w:type="pct"/>
            <w:noWrap/>
          </w:tcPr>
          <w:p w14:paraId="3635573D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6AD7310" w:rsidR="00F1171E" w:rsidRPr="00900E9B" w:rsidRDefault="0077487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The Abstract is ok. However, I suggest that all units in the manuscript should converted to S.I. units</w:t>
            </w:r>
            <w:r w:rsidR="00DF2C77">
              <w:rPr>
                <w:b/>
                <w:bCs/>
                <w:sz w:val="20"/>
                <w:szCs w:val="20"/>
                <w:lang w:val="en-GB"/>
              </w:rPr>
              <w:t xml:space="preserve"> for consistency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. For instant in the Abstract </w:t>
            </w:r>
            <w:r w:rsidR="00DF2C77">
              <w:rPr>
                <w:b/>
                <w:bCs/>
                <w:sz w:val="20"/>
                <w:szCs w:val="20"/>
                <w:lang w:val="en-GB"/>
              </w:rPr>
              <w:t>5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torr</w:t>
            </w:r>
            <w:r w:rsidR="00DF2C77">
              <w:rPr>
                <w:b/>
                <w:bCs/>
                <w:sz w:val="20"/>
                <w:szCs w:val="20"/>
                <w:lang w:val="en-GB"/>
              </w:rPr>
              <w:t xml:space="preserve"> should converted to S.I. unit of pressure.</w:t>
            </w:r>
          </w:p>
        </w:tc>
        <w:tc>
          <w:tcPr>
            <w:tcW w:w="1523" w:type="pct"/>
          </w:tcPr>
          <w:p w14:paraId="1D54B7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14:paraId="2B5A7721" w14:textId="45231136" w:rsidR="00F1171E" w:rsidRPr="00DF2C77" w:rsidRDefault="00DF2C77" w:rsidP="00DF2C77">
            <w:r>
              <w:rPr>
                <w:b/>
                <w:bCs/>
                <w:sz w:val="20"/>
                <w:szCs w:val="20"/>
                <w:lang w:val="en-GB"/>
              </w:rPr>
              <w:t>Yes, but the introduction has not adequately introduce the</w:t>
            </w:r>
            <w:r w:rsidR="00B87429">
              <w:rPr>
                <w:b/>
                <w:bCs/>
                <w:sz w:val="20"/>
                <w:szCs w:val="20"/>
                <w:lang w:val="en-GB"/>
              </w:rPr>
              <w:t xml:space="preserve"> background of the chapter. For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example; See </w:t>
            </w:r>
            <w:r w:rsidRPr="00DF2C77">
              <w:rPr>
                <w:b/>
                <w:bCs/>
                <w:sz w:val="20"/>
                <w:szCs w:val="20"/>
              </w:rPr>
              <w:t>Page 46: In the overall Introduction on this page, there are many disjoints statements, inferences to other subsection and chapters which would be very difficult for the targets audience to comprehend. I suggest all these paragraphs on page 46 should be revised and each paragraph should systematically explain the important message the paragraph is trying to portray.</w:t>
            </w:r>
          </w:p>
        </w:tc>
        <w:tc>
          <w:tcPr>
            <w:tcW w:w="1523" w:type="pct"/>
          </w:tcPr>
          <w:p w14:paraId="4898F76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29D9208C" w14:textId="77777777" w:rsidTr="007222C8">
        <w:trPr>
          <w:trHeight w:val="704"/>
        </w:trPr>
        <w:tc>
          <w:tcPr>
            <w:tcW w:w="1265" w:type="pct"/>
            <w:noWrap/>
          </w:tcPr>
          <w:p w14:paraId="4F8837DA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scientific correctness of this manuscript. Why do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you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think that this manuscript is scientifically robust and technically sound?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</w:tc>
        <w:tc>
          <w:tcPr>
            <w:tcW w:w="2212" w:type="pct"/>
          </w:tcPr>
          <w:p w14:paraId="37D373F9" w14:textId="4E2089F2" w:rsidR="00F1171E" w:rsidRPr="00900E9B" w:rsidRDefault="00DF2C77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The reaction chemistry is adequate. The presentation of all the equations are commendable. The depth of authors’ </w:t>
            </w: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understaning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of the topical issue is excellent. However, for sake of potential readers, I suggest that</w:t>
            </w:r>
            <w:r>
              <w:t xml:space="preserve"> </w:t>
            </w:r>
            <w:r w:rsidRPr="00DF2C77">
              <w:rPr>
                <w:b/>
                <w:bCs/>
                <w:sz w:val="20"/>
                <w:szCs w:val="20"/>
                <w:lang w:val="en-GB"/>
              </w:rPr>
              <w:t>Equations 11, 12 and others: Authors should use Microsoft Word equation editor to write these equations properly.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1523" w:type="pct"/>
          </w:tcPr>
          <w:p w14:paraId="4614DFC3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F1171E" w:rsidRPr="00900E9B" w:rsidRDefault="00F1171E" w:rsidP="007222C8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7A2DD82E" w14:textId="77777777" w:rsidR="00F1171E" w:rsidRDefault="00DF2C77" w:rsidP="007222C8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No. </w:t>
            </w:r>
            <w:r w:rsidRPr="00DF2C77">
              <w:rPr>
                <w:b/>
                <w:bCs/>
                <w:sz w:val="20"/>
                <w:szCs w:val="20"/>
                <w:lang w:val="en-GB"/>
              </w:rPr>
              <w:t>All the references listed are obsolete, with latest one being 2001. I suggest authors should improve on this and cite some recent relevant sources.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04384C7B" w14:textId="77777777" w:rsidR="00DF2C77" w:rsidRPr="00DF2C77" w:rsidRDefault="00DF2C77" w:rsidP="00DF2C77">
            <w:pPr>
              <w:rPr>
                <w:b/>
                <w:bCs/>
                <w:sz w:val="20"/>
                <w:szCs w:val="20"/>
                <w:lang w:val="en-GB"/>
              </w:rPr>
            </w:pPr>
            <w:r w:rsidRPr="00DF2C77">
              <w:rPr>
                <w:b/>
                <w:bCs/>
                <w:sz w:val="20"/>
                <w:szCs w:val="20"/>
                <w:lang w:val="en-GB"/>
              </w:rPr>
              <w:t xml:space="preserve">Grzegorzewski, F., Rohn, S., Quade, A., </w:t>
            </w:r>
            <w:proofErr w:type="spellStart"/>
            <w:r w:rsidRPr="00DF2C77">
              <w:rPr>
                <w:b/>
                <w:bCs/>
                <w:sz w:val="20"/>
                <w:szCs w:val="20"/>
                <w:lang w:val="en-GB"/>
              </w:rPr>
              <w:t>Schr¨oder</w:t>
            </w:r>
            <w:proofErr w:type="spellEnd"/>
            <w:r w:rsidRPr="00DF2C77">
              <w:rPr>
                <w:b/>
                <w:bCs/>
                <w:sz w:val="20"/>
                <w:szCs w:val="20"/>
                <w:lang w:val="en-GB"/>
              </w:rPr>
              <w:t xml:space="preserve">, K., </w:t>
            </w:r>
            <w:proofErr w:type="spellStart"/>
            <w:r w:rsidRPr="00DF2C77">
              <w:rPr>
                <w:b/>
                <w:bCs/>
                <w:sz w:val="20"/>
                <w:szCs w:val="20"/>
                <w:lang w:val="en-GB"/>
              </w:rPr>
              <w:t>Ehlbeck</w:t>
            </w:r>
            <w:proofErr w:type="spellEnd"/>
            <w:r w:rsidRPr="00DF2C77">
              <w:rPr>
                <w:b/>
                <w:bCs/>
                <w:sz w:val="20"/>
                <w:szCs w:val="20"/>
                <w:lang w:val="en-GB"/>
              </w:rPr>
              <w:t xml:space="preserve">, J., </w:t>
            </w:r>
            <w:proofErr w:type="spellStart"/>
            <w:r w:rsidRPr="00DF2C77">
              <w:rPr>
                <w:b/>
                <w:bCs/>
                <w:sz w:val="20"/>
                <w:szCs w:val="20"/>
                <w:lang w:val="en-GB"/>
              </w:rPr>
              <w:t>Schl¨uter</w:t>
            </w:r>
            <w:proofErr w:type="spellEnd"/>
            <w:r w:rsidRPr="00DF2C77">
              <w:rPr>
                <w:b/>
                <w:bCs/>
                <w:sz w:val="20"/>
                <w:szCs w:val="20"/>
                <w:lang w:val="en-GB"/>
              </w:rPr>
              <w:t>, O., &amp; Kroh, L. W. (2010b). Reaction chemistry of 1,4-benzopyrone derivates in non-equilibrium low-temperature plasmas. Plasma Processes and Polymers, 7(6), 466–473. https://doi.org/10.1002/ppap.200900140</w:t>
            </w:r>
          </w:p>
          <w:p w14:paraId="49205236" w14:textId="77777777" w:rsidR="00DF2C77" w:rsidRDefault="00DF2C77" w:rsidP="00DF2C77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DF2C77">
              <w:rPr>
                <w:b/>
                <w:bCs/>
                <w:sz w:val="20"/>
                <w:szCs w:val="20"/>
                <w:lang w:val="en-GB"/>
              </w:rPr>
              <w:t>Grzegorzewski,</w:t>
            </w:r>
          </w:p>
          <w:p w14:paraId="0E45D172" w14:textId="77777777" w:rsidR="00DF2C77" w:rsidRDefault="00DF2C77" w:rsidP="00DF2C77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  <w:p w14:paraId="0940DADB" w14:textId="77777777" w:rsidR="00695978" w:rsidRDefault="00695978" w:rsidP="00DF2C77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695978">
              <w:rPr>
                <w:b/>
                <w:bCs/>
                <w:sz w:val="20"/>
                <w:szCs w:val="20"/>
                <w:lang w:val="en-GB"/>
              </w:rPr>
              <w:t>Liu ZC, Liu DX, Chen C et al (2015) Physicochemical processes in the indirect interaction between surface air plasma and deionized water. J Phys D Appl Phys 48(49):495201</w:t>
            </w:r>
          </w:p>
          <w:p w14:paraId="0A630137" w14:textId="77777777" w:rsidR="00695978" w:rsidRDefault="00695978" w:rsidP="00DF2C77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</w:p>
          <w:p w14:paraId="24FE0567" w14:textId="216E314A" w:rsidR="00695978" w:rsidRPr="00900E9B" w:rsidRDefault="00695978" w:rsidP="00DF2C77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695978">
              <w:rPr>
                <w:b/>
                <w:bCs/>
                <w:sz w:val="20"/>
                <w:szCs w:val="20"/>
                <w:lang w:val="en-GB"/>
              </w:rPr>
              <w:t xml:space="preserve">Adhikari, B. C., Lamichhane, P., Lim, J. S., Nguyen, L. N., &amp; Choi, E. H. (2021). Generation of reactive species by naturally sucked air in the </w:t>
            </w:r>
            <w:proofErr w:type="spellStart"/>
            <w:r w:rsidRPr="00695978">
              <w:rPr>
                <w:b/>
                <w:bCs/>
                <w:sz w:val="20"/>
                <w:szCs w:val="20"/>
                <w:lang w:val="en-GB"/>
              </w:rPr>
              <w:t>Ar</w:t>
            </w:r>
            <w:proofErr w:type="spellEnd"/>
            <w:r w:rsidRPr="00695978">
              <w:rPr>
                <w:b/>
                <w:bCs/>
                <w:sz w:val="20"/>
                <w:szCs w:val="20"/>
                <w:lang w:val="en-GB"/>
              </w:rPr>
              <w:t xml:space="preserve"> plasma jet. Results in Physics, 30, 104863. https://doi.org/10.1016/j.rinp.2021.104863</w:t>
            </w:r>
          </w:p>
        </w:tc>
        <w:tc>
          <w:tcPr>
            <w:tcW w:w="1523" w:type="pct"/>
          </w:tcPr>
          <w:p w14:paraId="40220055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F1171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3410C687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b w:val="0"/>
                <w:u w:val="single"/>
                <w:lang w:val="en-GB"/>
              </w:rPr>
              <w:lastRenderedPageBreak/>
              <w:t>Minor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F1171E" w:rsidRPr="00900E9B" w:rsidRDefault="00F1171E" w:rsidP="007222C8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03E71134" w:rsidR="00F1171E" w:rsidRDefault="00E2701D" w:rsidP="007222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Yes, but there some minor revisions required. Below is a </w:t>
            </w:r>
            <w:proofErr w:type="spellStart"/>
            <w:r>
              <w:rPr>
                <w:sz w:val="20"/>
                <w:szCs w:val="20"/>
                <w:lang w:val="en-GB"/>
              </w:rPr>
              <w:t>nonexhaustive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comments:</w:t>
            </w:r>
          </w:p>
          <w:p w14:paraId="43A6C63A" w14:textId="77777777" w:rsidR="00E2701D" w:rsidRDefault="00E2701D" w:rsidP="007222C8">
            <w:pPr>
              <w:rPr>
                <w:sz w:val="20"/>
                <w:szCs w:val="20"/>
                <w:lang w:val="en-GB"/>
              </w:rPr>
            </w:pPr>
          </w:p>
          <w:p w14:paraId="670C9E3C" w14:textId="77777777" w:rsidR="00E2701D" w:rsidRPr="00E2701D" w:rsidRDefault="00E2701D" w:rsidP="00E2701D">
            <w:pPr>
              <w:rPr>
                <w:sz w:val="20"/>
                <w:szCs w:val="20"/>
                <w:lang w:val="en-GB"/>
              </w:rPr>
            </w:pPr>
            <w:r w:rsidRPr="00E2701D">
              <w:rPr>
                <w:sz w:val="20"/>
                <w:szCs w:val="20"/>
                <w:lang w:val="en-GB"/>
              </w:rPr>
              <w:t xml:space="preserve">Page 46, Frist paragraph: It </w:t>
            </w:r>
            <w:proofErr w:type="gramStart"/>
            <w:r w:rsidRPr="00E2701D">
              <w:rPr>
                <w:sz w:val="20"/>
                <w:szCs w:val="20"/>
                <w:lang w:val="en-GB"/>
              </w:rPr>
              <w:t>investigated .....</w:t>
            </w:r>
            <w:proofErr w:type="gramEnd"/>
          </w:p>
          <w:p w14:paraId="5C47C218" w14:textId="6A1F3EFB" w:rsidR="00E2701D" w:rsidRDefault="00E2701D" w:rsidP="00E2701D">
            <w:pPr>
              <w:rPr>
                <w:sz w:val="20"/>
                <w:szCs w:val="20"/>
                <w:lang w:val="en-GB"/>
              </w:rPr>
            </w:pPr>
            <w:r w:rsidRPr="00E2701D">
              <w:rPr>
                <w:sz w:val="20"/>
                <w:szCs w:val="20"/>
                <w:lang w:val="en-GB"/>
              </w:rPr>
              <w:t>It is shown in sub-section 2.2 ....</w:t>
            </w:r>
          </w:p>
          <w:p w14:paraId="0CC56654" w14:textId="6FE85EA6" w:rsidR="00E2701D" w:rsidRDefault="00E2701D" w:rsidP="00E2701D">
            <w:pPr>
              <w:rPr>
                <w:sz w:val="20"/>
                <w:szCs w:val="20"/>
                <w:lang w:val="en-GB"/>
              </w:rPr>
            </w:pPr>
            <w:r w:rsidRPr="00E2701D">
              <w:rPr>
                <w:sz w:val="20"/>
                <w:szCs w:val="20"/>
                <w:lang w:val="en-GB"/>
              </w:rPr>
              <w:t>Page 46: In the overall Introduction on this page, there are many disjoints statements, inferences to other subsection and chapters which would be very difficult for the targets audience to comprehend. I suggest all these paragraphs on page 46 should be revised and each paragraph should systematically explain the important message the paragraph is trying to portray.</w:t>
            </w:r>
          </w:p>
          <w:p w14:paraId="256DBAE3" w14:textId="77777777" w:rsidR="00E2701D" w:rsidRPr="00900E9B" w:rsidRDefault="00E2701D" w:rsidP="00E2701D">
            <w:pPr>
              <w:rPr>
                <w:sz w:val="20"/>
                <w:szCs w:val="20"/>
                <w:lang w:val="en-GB"/>
              </w:rPr>
            </w:pPr>
          </w:p>
          <w:p w14:paraId="4FF2DB1B" w14:textId="77777777" w:rsidR="00E2701D" w:rsidRPr="00E2701D" w:rsidRDefault="00E2701D" w:rsidP="00E2701D">
            <w:pPr>
              <w:rPr>
                <w:sz w:val="20"/>
                <w:szCs w:val="20"/>
                <w:lang w:val="en-GB"/>
              </w:rPr>
            </w:pPr>
            <w:r w:rsidRPr="00E2701D">
              <w:rPr>
                <w:sz w:val="20"/>
                <w:szCs w:val="20"/>
                <w:lang w:val="en-GB"/>
              </w:rPr>
              <w:t>Page 49, 2nd to the last paragraph:</w:t>
            </w:r>
          </w:p>
          <w:p w14:paraId="149A6CEF" w14:textId="66F752CC" w:rsidR="00F1171E" w:rsidRPr="00900E9B" w:rsidRDefault="00E2701D" w:rsidP="007222C8">
            <w:pPr>
              <w:rPr>
                <w:sz w:val="20"/>
                <w:szCs w:val="20"/>
                <w:lang w:val="en-GB"/>
              </w:rPr>
            </w:pPr>
            <w:r w:rsidRPr="00E2701D">
              <w:rPr>
                <w:sz w:val="20"/>
                <w:szCs w:val="20"/>
                <w:lang w:val="en-GB"/>
              </w:rPr>
              <w:t xml:space="preserve">The best sensitivity of impurity detection was obtained with </w:t>
            </w:r>
            <w:proofErr w:type="gramStart"/>
            <w:r w:rsidRPr="00E2701D">
              <w:rPr>
                <w:sz w:val="20"/>
                <w:szCs w:val="20"/>
                <w:lang w:val="en-GB"/>
              </w:rPr>
              <w:t>N2 ,</w:t>
            </w:r>
            <w:proofErr w:type="gramEnd"/>
            <w:r w:rsidRPr="00E2701D">
              <w:rPr>
                <w:sz w:val="20"/>
                <w:szCs w:val="20"/>
                <w:lang w:val="en-GB"/>
              </w:rPr>
              <w:t xml:space="preserve"> having been detected....</w:t>
            </w:r>
          </w:p>
        </w:tc>
        <w:tc>
          <w:tcPr>
            <w:tcW w:w="1523" w:type="pct"/>
          </w:tcPr>
          <w:p w14:paraId="0351CA5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3659235" w14:textId="77777777" w:rsidR="00E2701D" w:rsidRPr="00E2701D" w:rsidRDefault="00E2701D" w:rsidP="00E2701D">
            <w:pPr>
              <w:rPr>
                <w:sz w:val="20"/>
                <w:szCs w:val="20"/>
              </w:rPr>
            </w:pPr>
            <w:r w:rsidRPr="00E2701D">
              <w:rPr>
                <w:sz w:val="20"/>
                <w:szCs w:val="20"/>
              </w:rPr>
              <w:t>Fig. 2.1: This figure is not clear, I will suggest that authors should redraw it rather than relying on source that is not visible.</w:t>
            </w:r>
          </w:p>
          <w:p w14:paraId="0B37F27B" w14:textId="77777777" w:rsidR="00E2701D" w:rsidRPr="00E2701D" w:rsidRDefault="00E2701D" w:rsidP="00E2701D">
            <w:pPr>
              <w:rPr>
                <w:sz w:val="20"/>
                <w:szCs w:val="20"/>
              </w:rPr>
            </w:pPr>
          </w:p>
          <w:p w14:paraId="747CABF1" w14:textId="77777777" w:rsidR="00E2701D" w:rsidRPr="00E2701D" w:rsidRDefault="00E2701D" w:rsidP="00E2701D">
            <w:pPr>
              <w:rPr>
                <w:sz w:val="20"/>
                <w:szCs w:val="20"/>
              </w:rPr>
            </w:pPr>
            <w:r w:rsidRPr="00E2701D">
              <w:rPr>
                <w:sz w:val="20"/>
                <w:szCs w:val="20"/>
              </w:rPr>
              <w:t>Fig. 3 is not clear and visible; I suggest improving it by sourcing for the original figure from the source.</w:t>
            </w:r>
          </w:p>
          <w:p w14:paraId="5E946A0E" w14:textId="77777777" w:rsidR="00F1171E" w:rsidRPr="00E2701D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AFFCED6" w14:textId="77777777" w:rsidR="00E2701D" w:rsidRPr="00E2701D" w:rsidRDefault="00E2701D" w:rsidP="00E2701D">
            <w:pPr>
              <w:rPr>
                <w:sz w:val="20"/>
                <w:szCs w:val="20"/>
              </w:rPr>
            </w:pPr>
            <w:r w:rsidRPr="00E2701D">
              <w:rPr>
                <w:sz w:val="20"/>
                <w:szCs w:val="20"/>
              </w:rPr>
              <w:t>The numbering of all the equations is not organized. I suggest the authors to number their equation systematically, starting for equation (a) as (1</w:t>
            </w:r>
            <w:proofErr w:type="gramStart"/>
            <w:r w:rsidRPr="00E2701D">
              <w:rPr>
                <w:sz w:val="20"/>
                <w:szCs w:val="20"/>
              </w:rPr>
              <w:t>) .....</w:t>
            </w:r>
            <w:proofErr w:type="gramEnd"/>
            <w:r w:rsidRPr="00E2701D">
              <w:rPr>
                <w:sz w:val="20"/>
                <w:szCs w:val="20"/>
              </w:rPr>
              <w:t xml:space="preserve">  </w:t>
            </w:r>
          </w:p>
          <w:p w14:paraId="42AED3A4" w14:textId="77777777" w:rsidR="00E2701D" w:rsidRPr="00E2701D" w:rsidRDefault="00E2701D" w:rsidP="00E2701D">
            <w:pPr>
              <w:rPr>
                <w:sz w:val="20"/>
                <w:szCs w:val="20"/>
              </w:rPr>
            </w:pPr>
            <w:r w:rsidRPr="00E2701D">
              <w:rPr>
                <w:sz w:val="20"/>
                <w:szCs w:val="20"/>
              </w:rPr>
              <w:t>Fig. 2.4: Comment same as in previous figure.</w:t>
            </w:r>
          </w:p>
          <w:p w14:paraId="257B01C6" w14:textId="77777777" w:rsidR="00E2701D" w:rsidRPr="00E2701D" w:rsidRDefault="00E2701D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CB9EDDC" w:rsidR="00F1171E" w:rsidRPr="00B87429" w:rsidRDefault="00E2701D" w:rsidP="007222C8">
            <w:pPr>
              <w:rPr>
                <w:sz w:val="20"/>
                <w:szCs w:val="20"/>
              </w:rPr>
            </w:pPr>
            <w:r w:rsidRPr="00E2701D">
              <w:rPr>
                <w:sz w:val="20"/>
                <w:szCs w:val="20"/>
              </w:rPr>
              <w:t>Equations 11, 12 and others: Authors should use Microsoft Word equation editor to write these equations properly.</w:t>
            </w: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25069224" w14:textId="538E483E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B4074" w:rsidRPr="001B4074" w14:paraId="7B58C18C" w14:textId="77777777" w:rsidTr="00826BE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5913A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1B4074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18010CE7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B4074" w:rsidRPr="001B4074" w14:paraId="3DE6394E" w14:textId="77777777" w:rsidTr="00826BE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60A94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86D6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B4074">
              <w:rPr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3D1ACFD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B4074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1B4074">
              <w:rPr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B4074" w:rsidRPr="001B4074" w14:paraId="5ECEC48A" w14:textId="77777777" w:rsidTr="00826BE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1458B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B4074">
              <w:rPr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145C807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788E9" w14:textId="77777777" w:rsidR="001B4074" w:rsidRPr="001B4074" w:rsidRDefault="001B4074" w:rsidP="001B4074">
            <w:pPr>
              <w:pStyle w:val="BodyText"/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1B4074">
              <w:rPr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6AEC40B6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047B7FCE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0E2B4B7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643B90C4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5C2DA98F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3D56CA0F" w14:textId="77777777" w:rsidR="001B4074" w:rsidRPr="001B4074" w:rsidRDefault="001B4074" w:rsidP="001B4074">
      <w:pPr>
        <w:pStyle w:val="BodyText"/>
        <w:rPr>
          <w:b/>
          <w:bCs/>
          <w:sz w:val="20"/>
          <w:szCs w:val="20"/>
          <w:u w:val="single"/>
          <w:lang w:val="en-US"/>
        </w:rPr>
      </w:pPr>
      <w:bookmarkStart w:id="1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1B4074" w:rsidRPr="001B4074" w14:paraId="23126D61" w14:textId="77777777" w:rsidTr="00826BE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9F8F0" w14:textId="7762CAEE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1B4074">
              <w:rPr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99FD09A" w14:textId="77777777" w:rsidR="001B4074" w:rsidRPr="001B4074" w:rsidRDefault="001B4074" w:rsidP="001B4074">
            <w:pPr>
              <w:pStyle w:val="BodyText"/>
              <w:rPr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B4074" w:rsidRPr="001B4074" w14:paraId="3FD146BA" w14:textId="77777777" w:rsidTr="00826BE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AE3AC" w14:textId="77777777" w:rsidR="001B4074" w:rsidRPr="00826BE1" w:rsidRDefault="001B4074" w:rsidP="001B4074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826BE1">
              <w:rPr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CFF0B" w14:textId="67DEDAC5" w:rsidR="001B4074" w:rsidRPr="00826BE1" w:rsidRDefault="00826BE1" w:rsidP="001B4074">
            <w:pPr>
              <w:pStyle w:val="BodyText"/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826BE1">
              <w:rPr>
                <w:b/>
                <w:bCs/>
                <w:sz w:val="20"/>
                <w:szCs w:val="20"/>
                <w:lang w:val="en-US"/>
              </w:rPr>
              <w:t>Aliyu</w:t>
            </w:r>
            <w:proofErr w:type="spellEnd"/>
            <w:r w:rsidRPr="00826BE1">
              <w:rPr>
                <w:b/>
                <w:bCs/>
                <w:sz w:val="20"/>
                <w:szCs w:val="20"/>
                <w:lang w:val="en-US"/>
              </w:rPr>
              <w:t xml:space="preserve"> Idris Muhammad</w:t>
            </w:r>
          </w:p>
        </w:tc>
      </w:tr>
      <w:tr w:rsidR="001B4074" w:rsidRPr="001B4074" w14:paraId="3F32FEB0" w14:textId="77777777" w:rsidTr="00826BE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31F9E" w14:textId="77777777" w:rsidR="001B4074" w:rsidRPr="00826BE1" w:rsidRDefault="001B4074" w:rsidP="001B4074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r w:rsidRPr="00826BE1">
              <w:rPr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0C644" w14:textId="295E8ACE" w:rsidR="001B4074" w:rsidRPr="00826BE1" w:rsidRDefault="00826BE1" w:rsidP="00826BE1">
            <w:pPr>
              <w:pStyle w:val="BodyText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>
              <w:rPr>
                <w:b/>
                <w:bCs/>
                <w:sz w:val="20"/>
                <w:szCs w:val="20"/>
                <w:lang w:val="en-GB"/>
              </w:rPr>
              <w:t>Bayero</w:t>
            </w:r>
            <w:proofErr w:type="spellEnd"/>
            <w:r>
              <w:rPr>
                <w:b/>
                <w:bCs/>
                <w:sz w:val="20"/>
                <w:szCs w:val="20"/>
                <w:lang w:val="en-GB"/>
              </w:rPr>
              <w:t xml:space="preserve"> University, </w:t>
            </w:r>
            <w:r w:rsidRPr="00826BE1">
              <w:rPr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</w:tbl>
    <w:p w14:paraId="22617391" w14:textId="77777777" w:rsidR="001B4074" w:rsidRPr="001B4074" w:rsidRDefault="001B4074" w:rsidP="001B4074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bookmarkEnd w:id="0"/>
    <w:p w14:paraId="0F9B3C0C" w14:textId="77777777" w:rsidR="001B4074" w:rsidRPr="001B4074" w:rsidRDefault="001B4074" w:rsidP="001B4074">
      <w:pPr>
        <w:pStyle w:val="BodyText"/>
        <w:rPr>
          <w:b/>
          <w:bCs/>
          <w:sz w:val="20"/>
          <w:szCs w:val="20"/>
          <w:u w:val="single"/>
          <w:lang w:val="en-US"/>
        </w:rPr>
      </w:pPr>
    </w:p>
    <w:bookmarkEnd w:id="1"/>
    <w:p w14:paraId="0821307F" w14:textId="137ED521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sectPr w:rsidR="00F1171E" w:rsidRPr="00900E9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CEB18" w14:textId="77777777" w:rsidR="00BE2FE8" w:rsidRPr="0000007A" w:rsidRDefault="00BE2FE8" w:rsidP="0099583E">
      <w:r>
        <w:separator/>
      </w:r>
    </w:p>
  </w:endnote>
  <w:endnote w:type="continuationSeparator" w:id="0">
    <w:p w14:paraId="098738C3" w14:textId="77777777" w:rsidR="00BE2FE8" w:rsidRPr="0000007A" w:rsidRDefault="00BE2FE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EF64B4" w14:textId="77777777" w:rsidR="00BE2FE8" w:rsidRPr="0000007A" w:rsidRDefault="00BE2FE8" w:rsidP="0099583E">
      <w:r>
        <w:separator/>
      </w:r>
    </w:p>
  </w:footnote>
  <w:footnote w:type="continuationSeparator" w:id="0">
    <w:p w14:paraId="7F872F34" w14:textId="77777777" w:rsidR="00BE2FE8" w:rsidRPr="0000007A" w:rsidRDefault="00BE2FE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rgUAjCn5sy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074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2B44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136AC"/>
    <w:rsid w:val="00620677"/>
    <w:rsid w:val="00624032"/>
    <w:rsid w:val="00625E84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5978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45C5"/>
    <w:rsid w:val="0077487E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6BE1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4D66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7429"/>
    <w:rsid w:val="00BA1AB3"/>
    <w:rsid w:val="00BA6421"/>
    <w:rsid w:val="00BB21AB"/>
    <w:rsid w:val="00BB4FEC"/>
    <w:rsid w:val="00BC402F"/>
    <w:rsid w:val="00BD0DF5"/>
    <w:rsid w:val="00BD7527"/>
    <w:rsid w:val="00BE13EF"/>
    <w:rsid w:val="00BE2FE8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844A8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351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D5E2D"/>
    <w:rsid w:val="00DE7D30"/>
    <w:rsid w:val="00DF2C77"/>
    <w:rsid w:val="00E03C32"/>
    <w:rsid w:val="00E2701D"/>
    <w:rsid w:val="00E3111A"/>
    <w:rsid w:val="00E436EF"/>
    <w:rsid w:val="00E451EA"/>
    <w:rsid w:val="00E57F4B"/>
    <w:rsid w:val="00E63889"/>
    <w:rsid w:val="00E6399D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1EC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97</cp:revision>
  <dcterms:created xsi:type="dcterms:W3CDTF">2023-08-30T09:21:00Z</dcterms:created>
  <dcterms:modified xsi:type="dcterms:W3CDTF">2025-03-12T11:46:00Z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