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5B6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45B6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US" w:bidi="ar-IQ"/>
              </w:rPr>
            </w:pPr>
          </w:p>
        </w:tc>
      </w:tr>
      <w:tr w:rsidR="0000007A" w:rsidRPr="00145B6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45B6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5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C36DC7" w:rsidR="0000007A" w:rsidRPr="00145B68" w:rsidRDefault="00C624D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145B6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45B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5F16F1" w:rsidR="0000007A" w:rsidRPr="00145B6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9036D"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4465.2</w:t>
            </w:r>
          </w:p>
        </w:tc>
      </w:tr>
      <w:tr w:rsidR="0000007A" w:rsidRPr="00145B6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45B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7F854E5" w:rsidR="0000007A" w:rsidRPr="00145B68" w:rsidRDefault="00C624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45B68">
              <w:rPr>
                <w:rFonts w:ascii="Arial" w:hAnsi="Arial" w:cs="Arial"/>
                <w:b/>
                <w:sz w:val="20"/>
                <w:szCs w:val="20"/>
                <w:lang w:val="en-GB"/>
              </w:rPr>
              <w:t>RECENT ADVANCES IN GREEN BROMINATION: AN OVERVIEW</w:t>
            </w:r>
          </w:p>
        </w:tc>
      </w:tr>
      <w:tr w:rsidR="00CF0BBB" w:rsidRPr="00145B6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45B6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3274ED" w:rsidR="00CF0BBB" w:rsidRPr="00145B68" w:rsidRDefault="007464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24D9" w:rsidRPr="00145B6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D9E95AD" w:rsidR="00D27A79" w:rsidRPr="00145B68" w:rsidRDefault="00D27A79" w:rsidP="00145B68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45B6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45B68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145B6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45B6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5B6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5B6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45B6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145B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145B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14:paraId="674EDCCA" w14:textId="2AFB7F5C" w:rsidR="00421DBF" w:rsidRPr="00145B6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5B68">
              <w:rPr>
                <w:rFonts w:ascii="Arial" w:hAnsi="Arial" w:cs="Arial"/>
                <w:lang w:val="en-GB"/>
              </w:rPr>
              <w:t>Author’s Feedback</w:t>
            </w:r>
            <w:r w:rsidRPr="00145B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5B6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45B68" w14:paraId="5C0AB4EC" w14:textId="77777777" w:rsidTr="00C83560">
        <w:trPr>
          <w:trHeight w:val="1610"/>
        </w:trPr>
        <w:tc>
          <w:tcPr>
            <w:tcW w:w="1265" w:type="pct"/>
            <w:noWrap/>
          </w:tcPr>
          <w:p w14:paraId="66B47184" w14:textId="48030299" w:rsidR="00F1171E" w:rsidRPr="00145B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45B6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4C6648" w14:textId="34117B5A" w:rsidR="00D01C76" w:rsidRPr="00145B68" w:rsidRDefault="00D01C76" w:rsidP="00D01C7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rtl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</w:rPr>
              <w:t>The review topic is valuable and includes the core of well-known pure chemical reactions.</w:t>
            </w:r>
          </w:p>
          <w:p w14:paraId="55F3DCF5" w14:textId="4B689295" w:rsidR="00D01C76" w:rsidRPr="00145B68" w:rsidRDefault="00D01C76" w:rsidP="00D01C7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45B68">
              <w:rPr>
                <w:rFonts w:ascii="Arial" w:hAnsi="Arial" w:cs="Arial"/>
                <w:sz w:val="20"/>
                <w:szCs w:val="20"/>
              </w:rPr>
              <w:t xml:space="preserve">The review focused on a detailed examination of the reagents used in </w:t>
            </w:r>
            <w:proofErr w:type="spellStart"/>
            <w:r w:rsidRPr="00145B68">
              <w:rPr>
                <w:rFonts w:ascii="Arial" w:hAnsi="Arial" w:cs="Arial"/>
                <w:sz w:val="20"/>
                <w:szCs w:val="20"/>
              </w:rPr>
              <w:t>bromination</w:t>
            </w:r>
            <w:proofErr w:type="spellEnd"/>
            <w:r w:rsidRPr="00145B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BC9196" w14:textId="62D58C96" w:rsidR="00F1171E" w:rsidRPr="00145B68" w:rsidRDefault="00D01C76" w:rsidP="00C8356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45B68">
              <w:rPr>
                <w:rFonts w:ascii="Arial" w:hAnsi="Arial" w:cs="Arial"/>
                <w:sz w:val="20"/>
                <w:szCs w:val="20"/>
              </w:rPr>
              <w:t>This review addressed clear chemical reactions and included the fundamental basis for understanding the role of chemical reagents.</w:t>
            </w:r>
          </w:p>
        </w:tc>
        <w:tc>
          <w:tcPr>
            <w:tcW w:w="1523" w:type="pct"/>
          </w:tcPr>
          <w:p w14:paraId="462A339C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B68" w14:paraId="0D8B5B2C" w14:textId="77777777" w:rsidTr="00C83560">
        <w:trPr>
          <w:trHeight w:val="575"/>
        </w:trPr>
        <w:tc>
          <w:tcPr>
            <w:tcW w:w="1265" w:type="pct"/>
            <w:noWrap/>
          </w:tcPr>
          <w:p w14:paraId="21CBA5FE" w14:textId="77777777" w:rsidR="00F1171E" w:rsidRPr="00145B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45B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AA515C" w14:textId="2FE36C48" w:rsidR="0083396C" w:rsidRPr="00145B68" w:rsidRDefault="0083396C" w:rsidP="0083396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45B68">
              <w:rPr>
                <w:rFonts w:ascii="Arial" w:hAnsi="Arial" w:cs="Arial"/>
                <w:sz w:val="20"/>
                <w:szCs w:val="20"/>
              </w:rPr>
              <w:t xml:space="preserve">Versatile Reagents in Green </w:t>
            </w:r>
            <w:proofErr w:type="spellStart"/>
            <w:r w:rsidRPr="00145B68">
              <w:rPr>
                <w:rFonts w:ascii="Arial" w:hAnsi="Arial" w:cs="Arial"/>
                <w:sz w:val="20"/>
                <w:szCs w:val="20"/>
              </w:rPr>
              <w:t>Bromination</w:t>
            </w:r>
            <w:proofErr w:type="spellEnd"/>
          </w:p>
          <w:p w14:paraId="794AA9A7" w14:textId="77777777" w:rsidR="00F1171E" w:rsidRPr="00145B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B68" w14:paraId="5604762A" w14:textId="77777777" w:rsidTr="00C83560">
        <w:trPr>
          <w:trHeight w:val="530"/>
        </w:trPr>
        <w:tc>
          <w:tcPr>
            <w:tcW w:w="1265" w:type="pct"/>
            <w:noWrap/>
          </w:tcPr>
          <w:p w14:paraId="3635573D" w14:textId="77777777" w:rsidR="00F1171E" w:rsidRPr="00145B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5B6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F8E1FF" w14:textId="77777777" w:rsidR="0083396C" w:rsidRPr="00145B68" w:rsidRDefault="0083396C" w:rsidP="0083396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45B68">
              <w:rPr>
                <w:rFonts w:ascii="Arial" w:hAnsi="Arial" w:cs="Arial"/>
                <w:sz w:val="20"/>
                <w:szCs w:val="20"/>
              </w:rPr>
              <w:t>I suggest adding a section titled "Green Chemistry" to make the concept of green chemistry clearer.</w:t>
            </w:r>
          </w:p>
          <w:p w14:paraId="0FB7E83A" w14:textId="77777777" w:rsidR="00F1171E" w:rsidRPr="00145B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523" w:type="pct"/>
          </w:tcPr>
          <w:p w14:paraId="1D54B730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B68" w14:paraId="2F579F54" w14:textId="77777777" w:rsidTr="00C83560">
        <w:trPr>
          <w:trHeight w:val="431"/>
        </w:trPr>
        <w:tc>
          <w:tcPr>
            <w:tcW w:w="1265" w:type="pct"/>
            <w:noWrap/>
          </w:tcPr>
          <w:p w14:paraId="04361F46" w14:textId="368783AB" w:rsidR="00F1171E" w:rsidRPr="00145B6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02DB31" w:rsidR="00F1171E" w:rsidRPr="00145B68" w:rsidRDefault="008339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B6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544888C" w:rsidR="00F1171E" w:rsidRPr="00145B68" w:rsidRDefault="00F1171E" w:rsidP="00C835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10A9CB8" w14:textId="77777777" w:rsidR="0083396C" w:rsidRPr="00145B68" w:rsidRDefault="0083396C" w:rsidP="0083396C">
            <w:p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Exchange the references number (10</w:t>
            </w:r>
            <w:proofErr w:type="gramStart"/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,14</w:t>
            </w:r>
            <w:proofErr w:type="gramEnd"/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) by newer.</w:t>
            </w:r>
          </w:p>
          <w:p w14:paraId="24FE0567" w14:textId="77777777" w:rsidR="00F1171E" w:rsidRPr="00145B6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B6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45B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5B6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F304BFC" w:rsidR="00F1171E" w:rsidRPr="00145B68" w:rsidRDefault="00C83560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675F1E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5B6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5B6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45B6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5B6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45B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D97991" w14:textId="77777777" w:rsidR="0083396C" w:rsidRPr="00145B68" w:rsidRDefault="0083396C" w:rsidP="008339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You must define G appear in all schemes.</w:t>
            </w:r>
          </w:p>
          <w:p w14:paraId="6A1968C5" w14:textId="77777777" w:rsidR="0083396C" w:rsidRPr="00145B68" w:rsidRDefault="0083396C" w:rsidP="008339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 xml:space="preserve">You must rewrite </w:t>
            </w:r>
            <w:proofErr w:type="spellStart"/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Ar</w:t>
            </w:r>
            <w:proofErr w:type="spellEnd"/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 xml:space="preserve"> in scheme 2</w:t>
            </w:r>
          </w:p>
          <w:p w14:paraId="6BD53723" w14:textId="77777777" w:rsidR="0083396C" w:rsidRPr="00145B68" w:rsidRDefault="0083396C" w:rsidP="008339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 xml:space="preserve">You must insert all full worlds of all abbreviations </w:t>
            </w:r>
          </w:p>
          <w:p w14:paraId="6DB1374B" w14:textId="77777777" w:rsidR="0083396C" w:rsidRPr="00145B68" w:rsidRDefault="0083396C" w:rsidP="008339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You should write H</w:t>
            </w:r>
            <w:r w:rsidRPr="00145B68">
              <w:rPr>
                <w:rFonts w:ascii="Arial" w:hAnsi="Arial" w:cs="Arial"/>
                <w:sz w:val="20"/>
                <w:szCs w:val="20"/>
                <w:vertAlign w:val="subscript"/>
                <w:lang w:bidi="ar-IQ"/>
              </w:rPr>
              <w:t>2</w:t>
            </w: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SO</w:t>
            </w:r>
            <w:r w:rsidRPr="00145B68">
              <w:rPr>
                <w:rFonts w:ascii="Arial" w:hAnsi="Arial" w:cs="Arial"/>
                <w:sz w:val="20"/>
                <w:szCs w:val="20"/>
                <w:vertAlign w:val="subscript"/>
                <w:lang w:bidi="ar-IQ"/>
              </w:rPr>
              <w:t>4</w:t>
            </w: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 xml:space="preserve">   as this (scheme 6)</w:t>
            </w:r>
          </w:p>
          <w:p w14:paraId="42A32292" w14:textId="77777777" w:rsidR="0083396C" w:rsidRPr="00145B68" w:rsidRDefault="0083396C" w:rsidP="008339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You write H</w:t>
            </w:r>
            <w:r w:rsidRPr="00145B68">
              <w:rPr>
                <w:rFonts w:ascii="Arial" w:hAnsi="Arial" w:cs="Arial"/>
                <w:sz w:val="20"/>
                <w:szCs w:val="20"/>
                <w:vertAlign w:val="subscript"/>
                <w:lang w:bidi="ar-IQ"/>
              </w:rPr>
              <w:t>2</w:t>
            </w: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O twice in scheme 8, delete one</w:t>
            </w:r>
          </w:p>
          <w:p w14:paraId="15DFD0E8" w14:textId="55158447" w:rsidR="00F1171E" w:rsidRPr="00145B68" w:rsidRDefault="0083396C" w:rsidP="007222C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bidi="ar-IQ"/>
              </w:rPr>
              <w:t>Define R  (scheme 10)</w:t>
            </w:r>
          </w:p>
        </w:tc>
        <w:tc>
          <w:tcPr>
            <w:tcW w:w="1523" w:type="pct"/>
          </w:tcPr>
          <w:p w14:paraId="465E098E" w14:textId="77777777" w:rsidR="00F1171E" w:rsidRPr="00145B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B7BAC60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909E1D" w14:textId="310EA410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B8D873" w14:textId="63547710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687EFF" w14:textId="55DCE2D7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F722A8" w14:textId="44F9449F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CA6D71" w14:textId="55D54E2F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253B83" w14:textId="7668F3A4" w:rsidR="004140EA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57DFE0" w14:textId="77777777" w:rsidR="004140EA" w:rsidRPr="00145B68" w:rsidRDefault="004140E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5307E" w:rsidRPr="00145B68" w14:paraId="6E287842" w14:textId="77777777" w:rsidTr="00145B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6A6C" w14:textId="77777777" w:rsidR="0065307E" w:rsidRPr="00145B68" w:rsidRDefault="0065307E" w:rsidP="006530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45B6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45B6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7A7006" w14:textId="77777777" w:rsidR="0065307E" w:rsidRPr="00145B68" w:rsidRDefault="0065307E" w:rsidP="006530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307E" w:rsidRPr="00145B68" w14:paraId="28A6505F" w14:textId="77777777" w:rsidTr="00145B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7344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B1C6" w14:textId="77777777" w:rsidR="0065307E" w:rsidRPr="00145B68" w:rsidRDefault="0065307E" w:rsidP="006530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F64CA01" w14:textId="77777777" w:rsidR="0065307E" w:rsidRPr="00145B68" w:rsidRDefault="0065307E" w:rsidP="006530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45B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45B6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5307E" w:rsidRPr="00145B68" w14:paraId="752FE649" w14:textId="77777777" w:rsidTr="00145B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1558" w14:textId="77777777" w:rsidR="0065307E" w:rsidRPr="00145B68" w:rsidRDefault="0065307E" w:rsidP="0065307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45B6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4D99B9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365B" w14:textId="77777777" w:rsidR="0065307E" w:rsidRPr="00145B68" w:rsidRDefault="0065307E" w:rsidP="0065307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45B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8A52D54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C8DB7D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B991A6F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97EDDE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8D1373" w14:textId="77777777" w:rsidR="0065307E" w:rsidRPr="00145B68" w:rsidRDefault="0065307E" w:rsidP="0065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9A2719C" w14:textId="77777777" w:rsidR="0065307E" w:rsidRPr="00145B68" w:rsidRDefault="0065307E" w:rsidP="0065307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5307E" w:rsidRPr="00145B68" w14:paraId="22ACB8E7" w14:textId="77777777" w:rsidTr="00145B6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3E43" w14:textId="527DD22C" w:rsidR="0065307E" w:rsidRPr="00145B68" w:rsidRDefault="0065307E" w:rsidP="0065307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45B6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6AA69E2" w14:textId="77777777" w:rsidR="0065307E" w:rsidRPr="00145B68" w:rsidRDefault="0065307E" w:rsidP="0065307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5307E" w:rsidRPr="00145B68" w14:paraId="446A22C7" w14:textId="77777777" w:rsidTr="00145B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396D" w14:textId="77777777" w:rsidR="0065307E" w:rsidRPr="00145B68" w:rsidRDefault="0065307E" w:rsidP="006530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FDB1" w14:textId="34EA27E1" w:rsidR="0065307E" w:rsidRPr="00145B68" w:rsidRDefault="00145B68" w:rsidP="00653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45B68">
              <w:rPr>
                <w:rFonts w:ascii="Arial" w:hAnsi="Arial" w:cs="Arial"/>
                <w:b/>
                <w:bCs/>
                <w:sz w:val="20"/>
                <w:szCs w:val="20"/>
              </w:rPr>
              <w:t>MuathJabbarTarfa</w:t>
            </w:r>
            <w:proofErr w:type="spellEnd"/>
            <w:r w:rsidRPr="00145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Al-</w:t>
            </w:r>
            <w:proofErr w:type="spellStart"/>
            <w:r w:rsidRPr="00145B68">
              <w:rPr>
                <w:rFonts w:ascii="Arial" w:hAnsi="Arial" w:cs="Arial"/>
                <w:b/>
                <w:bCs/>
                <w:sz w:val="20"/>
                <w:szCs w:val="20"/>
              </w:rPr>
              <w:t>Abbasee</w:t>
            </w:r>
            <w:proofErr w:type="spellEnd"/>
          </w:p>
        </w:tc>
      </w:tr>
      <w:tr w:rsidR="0065307E" w:rsidRPr="00145B68" w14:paraId="1570617D" w14:textId="77777777" w:rsidTr="00145B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FDF7" w14:textId="77777777" w:rsidR="0065307E" w:rsidRPr="00145B68" w:rsidRDefault="0065307E" w:rsidP="006530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C61F" w14:textId="4D6FBBA0" w:rsidR="0065307E" w:rsidRPr="00145B68" w:rsidRDefault="00145B68" w:rsidP="006530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Samarra, Iraq</w:t>
            </w:r>
          </w:p>
        </w:tc>
      </w:tr>
      <w:bookmarkEnd w:id="2"/>
    </w:tbl>
    <w:p w14:paraId="1358C42A" w14:textId="77777777" w:rsidR="0065307E" w:rsidRPr="00145B68" w:rsidRDefault="0065307E" w:rsidP="0065307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45B6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45B6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701D" w14:textId="77777777" w:rsidR="00190344" w:rsidRPr="0000007A" w:rsidRDefault="00190344" w:rsidP="0099583E">
      <w:r>
        <w:separator/>
      </w:r>
    </w:p>
  </w:endnote>
  <w:endnote w:type="continuationSeparator" w:id="0">
    <w:p w14:paraId="75B98984" w14:textId="77777777" w:rsidR="00190344" w:rsidRPr="0000007A" w:rsidRDefault="0019034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40D4" w14:textId="77777777" w:rsidR="00190344" w:rsidRPr="0000007A" w:rsidRDefault="00190344" w:rsidP="0099583E">
      <w:r>
        <w:separator/>
      </w:r>
    </w:p>
  </w:footnote>
  <w:footnote w:type="continuationSeparator" w:id="0">
    <w:p w14:paraId="5C494FCF" w14:textId="77777777" w:rsidR="00190344" w:rsidRPr="0000007A" w:rsidRDefault="0019034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66F09"/>
    <w:multiLevelType w:val="hybridMultilevel"/>
    <w:tmpl w:val="7A4E7AF4"/>
    <w:lvl w:ilvl="0" w:tplc="6E02DE22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B68"/>
    <w:rsid w:val="00150304"/>
    <w:rsid w:val="0015296D"/>
    <w:rsid w:val="00163622"/>
    <w:rsid w:val="001645A2"/>
    <w:rsid w:val="00164F4E"/>
    <w:rsid w:val="00165685"/>
    <w:rsid w:val="00172595"/>
    <w:rsid w:val="0017480A"/>
    <w:rsid w:val="0017545C"/>
    <w:rsid w:val="001766DF"/>
    <w:rsid w:val="00176F0D"/>
    <w:rsid w:val="001852F5"/>
    <w:rsid w:val="00186C8F"/>
    <w:rsid w:val="0018753A"/>
    <w:rsid w:val="00190344"/>
    <w:rsid w:val="0019036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92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8F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0E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4C7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D17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07E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40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759"/>
    <w:rsid w:val="007F5873"/>
    <w:rsid w:val="008126B7"/>
    <w:rsid w:val="00815F94"/>
    <w:rsid w:val="008224E2"/>
    <w:rsid w:val="00825DC9"/>
    <w:rsid w:val="0082676D"/>
    <w:rsid w:val="008324FC"/>
    <w:rsid w:val="0083396C"/>
    <w:rsid w:val="00846F1F"/>
    <w:rsid w:val="008470AB"/>
    <w:rsid w:val="0085546D"/>
    <w:rsid w:val="0086369B"/>
    <w:rsid w:val="00867E37"/>
    <w:rsid w:val="0087201B"/>
    <w:rsid w:val="00877F10"/>
    <w:rsid w:val="00882091"/>
    <w:rsid w:val="0088321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C7B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4D9"/>
    <w:rsid w:val="00C635B6"/>
    <w:rsid w:val="00C70DFC"/>
    <w:rsid w:val="00C82466"/>
    <w:rsid w:val="00C83560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C76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1A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E3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88A"/>
    <w:rsid w:val="00F4700F"/>
    <w:rsid w:val="00F52B15"/>
    <w:rsid w:val="00F573EA"/>
    <w:rsid w:val="00F57E9D"/>
    <w:rsid w:val="00F65FB1"/>
    <w:rsid w:val="00F73CF2"/>
    <w:rsid w:val="00F80C14"/>
    <w:rsid w:val="00F9113B"/>
    <w:rsid w:val="00F96F54"/>
    <w:rsid w:val="00F978B8"/>
    <w:rsid w:val="00FA23C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19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114</cp:revision>
  <dcterms:created xsi:type="dcterms:W3CDTF">2023-08-30T09:21:00Z</dcterms:created>
  <dcterms:modified xsi:type="dcterms:W3CDTF">2025-03-22T12:14:00Z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