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74AE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74AE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774AE7" w14:paraId="127EAD7E" w14:textId="77777777" w:rsidTr="00774AE7">
        <w:trPr>
          <w:trHeight w:val="77"/>
        </w:trPr>
        <w:tc>
          <w:tcPr>
            <w:tcW w:w="1234" w:type="pct"/>
          </w:tcPr>
          <w:p w14:paraId="3C159AA5" w14:textId="77777777" w:rsidR="0000007A" w:rsidRPr="00774AE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74AE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01A5032" w:rsidR="0000007A" w:rsidRPr="00774AE7" w:rsidRDefault="0041339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774AE7" w14:paraId="73C90375" w14:textId="77777777" w:rsidTr="00774AE7">
        <w:trPr>
          <w:trHeight w:val="77"/>
        </w:trPr>
        <w:tc>
          <w:tcPr>
            <w:tcW w:w="1234" w:type="pct"/>
          </w:tcPr>
          <w:p w14:paraId="20D28135" w14:textId="77777777" w:rsidR="0000007A" w:rsidRPr="00774A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3E49D6" w:rsidR="0000007A" w:rsidRPr="00774AE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F554F"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4465.8</w:t>
            </w:r>
          </w:p>
        </w:tc>
      </w:tr>
      <w:tr w:rsidR="0000007A" w:rsidRPr="00774AE7" w14:paraId="05B60576" w14:textId="77777777" w:rsidTr="00774AE7">
        <w:trPr>
          <w:trHeight w:val="77"/>
        </w:trPr>
        <w:tc>
          <w:tcPr>
            <w:tcW w:w="1234" w:type="pct"/>
          </w:tcPr>
          <w:p w14:paraId="0196A627" w14:textId="77777777" w:rsidR="0000007A" w:rsidRPr="00774AE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BAB6EE4" w:rsidR="0000007A" w:rsidRPr="00774AE7" w:rsidRDefault="0041339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74AE7">
              <w:rPr>
                <w:rFonts w:ascii="Arial" w:hAnsi="Arial" w:cs="Arial"/>
                <w:b/>
                <w:sz w:val="20"/>
                <w:szCs w:val="20"/>
                <w:lang w:val="en-GB"/>
              </w:rPr>
              <w:t>Nanochemistry</w:t>
            </w:r>
            <w:proofErr w:type="spellEnd"/>
            <w:r w:rsidRPr="00774AE7">
              <w:rPr>
                <w:rFonts w:ascii="Arial" w:hAnsi="Arial" w:cs="Arial"/>
                <w:b/>
                <w:sz w:val="20"/>
                <w:szCs w:val="20"/>
                <w:lang w:val="en-GB"/>
              </w:rPr>
              <w:t>: Exploring the Science of the Infinitely Small</w:t>
            </w:r>
          </w:p>
        </w:tc>
      </w:tr>
      <w:tr w:rsidR="00CF0BBB" w:rsidRPr="00774AE7" w14:paraId="6D508B1C" w14:textId="77777777" w:rsidTr="00774AE7">
        <w:trPr>
          <w:trHeight w:val="77"/>
        </w:trPr>
        <w:tc>
          <w:tcPr>
            <w:tcW w:w="1234" w:type="pct"/>
          </w:tcPr>
          <w:p w14:paraId="32FC28F7" w14:textId="77777777" w:rsidR="00CF0BBB" w:rsidRPr="00774AE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2835F5D" w:rsidR="00CF0BBB" w:rsidRPr="00774AE7" w:rsidRDefault="0041339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5C553FB" w:rsidR="00D27A79" w:rsidRPr="00774AE7" w:rsidRDefault="00D27A79" w:rsidP="0041339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9362"/>
        <w:gridCol w:w="5903"/>
      </w:tblGrid>
      <w:tr w:rsidR="00F1171E" w:rsidRPr="00774AE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74AE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774AE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74AE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74A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4AE7" w14:paraId="5EA12279" w14:textId="77777777" w:rsidTr="006C5B7F">
        <w:tc>
          <w:tcPr>
            <w:tcW w:w="1354" w:type="pct"/>
            <w:noWrap/>
          </w:tcPr>
          <w:p w14:paraId="7AE9682F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6" w:type="pct"/>
          </w:tcPr>
          <w:p w14:paraId="5B8DBE06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4AE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12D813A8" w:rsidR="00421DBF" w:rsidRPr="00774AE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774A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774AE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410" w:type="pct"/>
          </w:tcPr>
          <w:p w14:paraId="57792C30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4AE7">
              <w:rPr>
                <w:rFonts w:ascii="Arial" w:hAnsi="Arial" w:cs="Arial"/>
                <w:lang w:val="en-GB"/>
              </w:rPr>
              <w:t>Author’s Feedback</w:t>
            </w:r>
            <w:r w:rsidRPr="00774AE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4AE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74AE7" w14:paraId="5C0AB4EC" w14:textId="77777777" w:rsidTr="006C5B7F">
        <w:trPr>
          <w:trHeight w:val="77"/>
        </w:trPr>
        <w:tc>
          <w:tcPr>
            <w:tcW w:w="1354" w:type="pct"/>
            <w:noWrap/>
          </w:tcPr>
          <w:p w14:paraId="66B47184" w14:textId="48030299" w:rsidR="00F1171E" w:rsidRPr="00774A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74AE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6" w:type="pct"/>
          </w:tcPr>
          <w:p w14:paraId="7DBC9196" w14:textId="67493E47" w:rsidR="00F1171E" w:rsidRPr="00774AE7" w:rsidRDefault="003031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sz w:val="20"/>
                <w:szCs w:val="20"/>
              </w:rPr>
              <w:t xml:space="preserve">It would be beneficial for the author to elaborate on the relevance of this manuscript within the broader scientific community. Specifically, highlighting how advances in </w:t>
            </w:r>
            <w:proofErr w:type="spellStart"/>
            <w:r w:rsidRPr="00774AE7">
              <w:rPr>
                <w:rFonts w:ascii="Arial" w:hAnsi="Arial" w:cs="Arial"/>
                <w:sz w:val="20"/>
                <w:szCs w:val="20"/>
              </w:rPr>
              <w:t>nanochemistry</w:t>
            </w:r>
            <w:proofErr w:type="spellEnd"/>
            <w:r w:rsidRPr="00774AE7">
              <w:rPr>
                <w:rFonts w:ascii="Arial" w:hAnsi="Arial" w:cs="Arial"/>
                <w:sz w:val="20"/>
                <w:szCs w:val="20"/>
              </w:rPr>
              <w:t xml:space="preserve"> can contribute to sustainability or resolve significant global challenges would provide a deeper context for the work</w:t>
            </w:r>
            <w:r w:rsidR="00821800" w:rsidRPr="00774A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0" w:type="pct"/>
          </w:tcPr>
          <w:p w14:paraId="462A339C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4AE7" w14:paraId="0D8B5B2C" w14:textId="77777777" w:rsidTr="006C5B7F">
        <w:trPr>
          <w:trHeight w:val="77"/>
        </w:trPr>
        <w:tc>
          <w:tcPr>
            <w:tcW w:w="1354" w:type="pct"/>
            <w:noWrap/>
          </w:tcPr>
          <w:p w14:paraId="21CBA5FE" w14:textId="77777777" w:rsidR="00F1171E" w:rsidRPr="00774A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74A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6" w:type="pct"/>
          </w:tcPr>
          <w:p w14:paraId="794AA9A7" w14:textId="4431F4E8" w:rsidR="00F1171E" w:rsidRPr="00774A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405B6701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4AE7" w14:paraId="5604762A" w14:textId="77777777" w:rsidTr="006C5B7F">
        <w:trPr>
          <w:trHeight w:val="908"/>
        </w:trPr>
        <w:tc>
          <w:tcPr>
            <w:tcW w:w="1354" w:type="pct"/>
            <w:noWrap/>
          </w:tcPr>
          <w:p w14:paraId="3635573D" w14:textId="77777777" w:rsidR="00F1171E" w:rsidRPr="00774AE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4AE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6" w:type="pct"/>
          </w:tcPr>
          <w:p w14:paraId="0FB7E83A" w14:textId="699A80BA" w:rsidR="00F1171E" w:rsidRPr="00774AE7" w:rsidRDefault="00821800" w:rsidP="0082180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While the abstract serves as a solid overview of the manuscript, it </w:t>
            </w:r>
            <w:proofErr w:type="gramStart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could be improved</w:t>
            </w:r>
            <w:proofErr w:type="gramEnd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by offering a more concise summary of the key insights or implications of the discussed </w:t>
            </w:r>
            <w:proofErr w:type="spellStart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nanochemical</w:t>
            </w:r>
            <w:proofErr w:type="spellEnd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processes. The addition of information regarding the potential real-world applications of this research would strengthen the abstract.</w:t>
            </w:r>
          </w:p>
        </w:tc>
        <w:tc>
          <w:tcPr>
            <w:tcW w:w="1410" w:type="pct"/>
          </w:tcPr>
          <w:p w14:paraId="1D54B730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4AE7" w14:paraId="2F579F54" w14:textId="77777777" w:rsidTr="006C5B7F">
        <w:trPr>
          <w:trHeight w:val="859"/>
        </w:trPr>
        <w:tc>
          <w:tcPr>
            <w:tcW w:w="1354" w:type="pct"/>
            <w:noWrap/>
          </w:tcPr>
          <w:p w14:paraId="04361F46" w14:textId="368783AB" w:rsidR="00F1171E" w:rsidRPr="00774AE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6" w:type="pct"/>
          </w:tcPr>
          <w:p w14:paraId="2B5A7721" w14:textId="7FE71A68" w:rsidR="00F1171E" w:rsidRPr="00774AE7" w:rsidRDefault="003031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sz w:val="20"/>
                <w:szCs w:val="20"/>
              </w:rPr>
              <w:t xml:space="preserve">The manuscript appears to be accurate from a scientific standpoint, with clear explanations and logical flow. However, some sections could benefit from further clarification, particularly when discussing complex </w:t>
            </w:r>
            <w:proofErr w:type="spellStart"/>
            <w:r w:rsidRPr="00774AE7">
              <w:rPr>
                <w:rFonts w:ascii="Arial" w:hAnsi="Arial" w:cs="Arial"/>
                <w:sz w:val="20"/>
                <w:szCs w:val="20"/>
              </w:rPr>
              <w:t>nanochemical</w:t>
            </w:r>
            <w:proofErr w:type="spellEnd"/>
            <w:r w:rsidRPr="00774AE7">
              <w:rPr>
                <w:rFonts w:ascii="Arial" w:hAnsi="Arial" w:cs="Arial"/>
                <w:sz w:val="20"/>
                <w:szCs w:val="20"/>
              </w:rPr>
              <w:t xml:space="preserve"> reactions. This would enhance the overall readability and understanding of the material</w:t>
            </w:r>
            <w:r w:rsidR="00821800" w:rsidRPr="00774A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0" w:type="pct"/>
          </w:tcPr>
          <w:p w14:paraId="4898F764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4AE7" w14:paraId="73739464" w14:textId="77777777" w:rsidTr="006C5B7F">
        <w:trPr>
          <w:trHeight w:val="703"/>
        </w:trPr>
        <w:tc>
          <w:tcPr>
            <w:tcW w:w="1354" w:type="pct"/>
            <w:noWrap/>
          </w:tcPr>
          <w:p w14:paraId="09C25322" w14:textId="77777777" w:rsidR="00F1171E" w:rsidRPr="00774A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74AE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6" w:type="pct"/>
          </w:tcPr>
          <w:p w14:paraId="299CAAD2" w14:textId="2360BFFC" w:rsidR="00821800" w:rsidRPr="00774AE7" w:rsidRDefault="008218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3031FB"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but</w:t>
            </w: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references </w:t>
            </w:r>
            <w:proofErr w:type="gramStart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could be added</w:t>
            </w:r>
            <w:proofErr w:type="gramEnd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4FE0567" w14:textId="1899B02B" w:rsidR="00821800" w:rsidRPr="00774AE7" w:rsidRDefault="008218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included in the manuscript are generally appropriate and </w:t>
            </w:r>
            <w:proofErr w:type="gramStart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well-selected</w:t>
            </w:r>
            <w:proofErr w:type="gramEnd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However, I recommend incorporating additional recent studies (from the last 2-3 years) to reflect the latest trends and developments in </w:t>
            </w:r>
            <w:proofErr w:type="spellStart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nanochemistry</w:t>
            </w:r>
            <w:proofErr w:type="spellEnd"/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which would help position the manuscript within the current scientific discourse.</w:t>
            </w:r>
          </w:p>
        </w:tc>
        <w:tc>
          <w:tcPr>
            <w:tcW w:w="1410" w:type="pct"/>
          </w:tcPr>
          <w:p w14:paraId="40220055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4AE7" w14:paraId="73CC4A50" w14:textId="77777777" w:rsidTr="006C5B7F">
        <w:trPr>
          <w:trHeight w:val="386"/>
        </w:trPr>
        <w:tc>
          <w:tcPr>
            <w:tcW w:w="1354" w:type="pct"/>
            <w:noWrap/>
          </w:tcPr>
          <w:p w14:paraId="029CE8D0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74AE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4AE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74A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6" w:type="pct"/>
          </w:tcPr>
          <w:p w14:paraId="41E28118" w14:textId="53201803" w:rsidR="00F1171E" w:rsidRPr="00774AE7" w:rsidRDefault="003031F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774A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74A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0351CA58" w14:textId="77777777" w:rsidR="00F1171E" w:rsidRPr="00774A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4AE7" w14:paraId="20A16C0C" w14:textId="77777777" w:rsidTr="006C5B7F">
        <w:trPr>
          <w:trHeight w:val="77"/>
        </w:trPr>
        <w:tc>
          <w:tcPr>
            <w:tcW w:w="1354" w:type="pct"/>
            <w:noWrap/>
          </w:tcPr>
          <w:p w14:paraId="7F4BCFAE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4AE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4AE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74AE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74AE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6" w:type="pct"/>
          </w:tcPr>
          <w:p w14:paraId="15DFD0E8" w14:textId="42F796E8" w:rsidR="00F1171E" w:rsidRPr="00774A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0" w:type="pct"/>
          </w:tcPr>
          <w:p w14:paraId="465E098E" w14:textId="77777777" w:rsidR="00F1171E" w:rsidRPr="00774AE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548A3BD" w:rsidR="00F1171E" w:rsidRPr="00774A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A4ACD" w:rsidRPr="00774AE7" w14:paraId="6D50A5D8" w14:textId="77777777" w:rsidTr="00B6227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90F2" w14:textId="77777777" w:rsidR="006A4ACD" w:rsidRPr="00774AE7" w:rsidRDefault="006A4ACD" w:rsidP="006A4A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774AE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4AE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739CBD" w14:textId="77777777" w:rsidR="006A4ACD" w:rsidRPr="00774AE7" w:rsidRDefault="006A4ACD" w:rsidP="006A4A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4ACD" w:rsidRPr="00774AE7" w14:paraId="1244AD8B" w14:textId="77777777" w:rsidTr="00B6227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4F99" w14:textId="77777777" w:rsidR="006A4ACD" w:rsidRPr="00774AE7" w:rsidRDefault="006A4ACD" w:rsidP="006A4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6B70" w14:textId="77777777" w:rsidR="006A4ACD" w:rsidRPr="00774AE7" w:rsidRDefault="006A4ACD" w:rsidP="006A4AC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DE76CC5" w14:textId="77777777" w:rsidR="006A4ACD" w:rsidRPr="00774AE7" w:rsidRDefault="006A4ACD" w:rsidP="006A4AC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74AE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74AE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A4ACD" w:rsidRPr="00774AE7" w14:paraId="1A3801AA" w14:textId="77777777" w:rsidTr="00B6227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5727" w14:textId="77777777" w:rsidR="006A4ACD" w:rsidRPr="00774AE7" w:rsidRDefault="006A4ACD" w:rsidP="006A4AC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4AE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967313" w14:textId="77777777" w:rsidR="006A4ACD" w:rsidRPr="00774AE7" w:rsidRDefault="006A4ACD" w:rsidP="006A4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55C6" w14:textId="77777777" w:rsidR="006A4ACD" w:rsidRPr="00774AE7" w:rsidRDefault="006A4ACD" w:rsidP="006A4AC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4AE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9EC7DC5" w14:textId="77777777" w:rsidR="006A4ACD" w:rsidRPr="00774AE7" w:rsidRDefault="006A4ACD" w:rsidP="006A4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A1DD8A" w14:textId="77777777" w:rsidR="006A4ACD" w:rsidRPr="00774AE7" w:rsidRDefault="006A4ACD" w:rsidP="006A4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CBCAAFC" w14:textId="77777777" w:rsidR="006A4ACD" w:rsidRPr="00774AE7" w:rsidRDefault="006A4ACD" w:rsidP="006A4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F853B2" w14:textId="77777777" w:rsidR="006A4ACD" w:rsidRPr="00774AE7" w:rsidRDefault="006A4ACD" w:rsidP="006A4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AFBED0" w14:textId="77777777" w:rsidR="006A4ACD" w:rsidRPr="00774AE7" w:rsidRDefault="006A4ACD" w:rsidP="006A4AC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1A490E6" w14:textId="77777777" w:rsidR="006A4ACD" w:rsidRPr="00774AE7" w:rsidRDefault="006A4ACD" w:rsidP="006A4AC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6A4ACD" w:rsidRPr="00774AE7" w14:paraId="5CF89769" w14:textId="77777777" w:rsidTr="00B6227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3254" w14:textId="2A13C35C" w:rsidR="006A4ACD" w:rsidRPr="00774AE7" w:rsidRDefault="006A4ACD" w:rsidP="006A4AC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74AE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F6190AF" w14:textId="77777777" w:rsidR="006A4ACD" w:rsidRPr="00774AE7" w:rsidRDefault="006A4ACD" w:rsidP="006A4AC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A4ACD" w:rsidRPr="00774AE7" w14:paraId="7C37D347" w14:textId="77777777" w:rsidTr="00B6227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9181" w14:textId="77777777" w:rsidR="006A4ACD" w:rsidRPr="00774AE7" w:rsidRDefault="006A4ACD" w:rsidP="006A4A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CD17" w14:textId="129A11F2" w:rsidR="006A4ACD" w:rsidRPr="00774AE7" w:rsidRDefault="00774AE7" w:rsidP="006A4A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</w:rPr>
              <w:t>Saba Wahid Khan</w:t>
            </w:r>
          </w:p>
        </w:tc>
      </w:tr>
      <w:tr w:rsidR="006A4ACD" w:rsidRPr="00774AE7" w14:paraId="2199CB71" w14:textId="77777777" w:rsidTr="00B6227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4887" w14:textId="77777777" w:rsidR="006A4ACD" w:rsidRPr="00774AE7" w:rsidRDefault="006A4ACD" w:rsidP="006A4A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0EBA" w14:textId="0A70F280" w:rsidR="006A4ACD" w:rsidRPr="00774AE7" w:rsidRDefault="00774AE7" w:rsidP="00774AE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 K College of P</w:t>
            </w: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harmacy, University of Mumbai, </w:t>
            </w:r>
            <w:r w:rsidRPr="00774AE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241E67AC" w14:textId="77777777" w:rsidR="006A4ACD" w:rsidRPr="00774AE7" w:rsidRDefault="006A4ACD" w:rsidP="006A4ACD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774AE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74AE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751C8" w14:textId="77777777" w:rsidR="00A3721E" w:rsidRPr="0000007A" w:rsidRDefault="00A3721E" w:rsidP="0099583E">
      <w:r>
        <w:separator/>
      </w:r>
    </w:p>
  </w:endnote>
  <w:endnote w:type="continuationSeparator" w:id="0">
    <w:p w14:paraId="04831901" w14:textId="77777777" w:rsidR="00A3721E" w:rsidRPr="0000007A" w:rsidRDefault="00A3721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8549" w14:textId="77777777" w:rsidR="00A3721E" w:rsidRPr="0000007A" w:rsidRDefault="00A3721E" w:rsidP="0099583E">
      <w:r>
        <w:separator/>
      </w:r>
    </w:p>
  </w:footnote>
  <w:footnote w:type="continuationSeparator" w:id="0">
    <w:p w14:paraId="3825218F" w14:textId="77777777" w:rsidR="00A3721E" w:rsidRPr="0000007A" w:rsidRDefault="00A3721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61F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1FB"/>
    <w:rsid w:val="00312559"/>
    <w:rsid w:val="003204B8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339C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54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ACD"/>
    <w:rsid w:val="006A5E0B"/>
    <w:rsid w:val="006A7405"/>
    <w:rsid w:val="006C3797"/>
    <w:rsid w:val="006C5B7F"/>
    <w:rsid w:val="006D467C"/>
    <w:rsid w:val="006E01EE"/>
    <w:rsid w:val="006E6014"/>
    <w:rsid w:val="006E7D6E"/>
    <w:rsid w:val="00700A1D"/>
    <w:rsid w:val="00700EF2"/>
    <w:rsid w:val="00701186"/>
    <w:rsid w:val="00707BE1"/>
    <w:rsid w:val="0072314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AE7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1800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97E"/>
    <w:rsid w:val="009C5642"/>
    <w:rsid w:val="009E13C3"/>
    <w:rsid w:val="009E6A30"/>
    <w:rsid w:val="009F07D4"/>
    <w:rsid w:val="009F29EB"/>
    <w:rsid w:val="009F3EE8"/>
    <w:rsid w:val="009F7A71"/>
    <w:rsid w:val="00A001A0"/>
    <w:rsid w:val="00A12C83"/>
    <w:rsid w:val="00A15F2F"/>
    <w:rsid w:val="00A17184"/>
    <w:rsid w:val="00A31AAC"/>
    <w:rsid w:val="00A32905"/>
    <w:rsid w:val="00A36C95"/>
    <w:rsid w:val="00A3721E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6A12"/>
    <w:rsid w:val="00BD7527"/>
    <w:rsid w:val="00BE13EF"/>
    <w:rsid w:val="00BE40A5"/>
    <w:rsid w:val="00BE6454"/>
    <w:rsid w:val="00BF5C56"/>
    <w:rsid w:val="00C01111"/>
    <w:rsid w:val="00C03A1D"/>
    <w:rsid w:val="00C10065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2B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CA3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4F8FDFE6-E2D5-BA41-9079-EBAA3149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1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2025-02-04T08:54:00Z</dcterms:created>
  <dcterms:modified xsi:type="dcterms:W3CDTF">2025-03-22T12:59:00Z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