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7C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A7C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7C5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A7C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44C462" w:rsidR="0000007A" w:rsidRPr="007A7C57" w:rsidRDefault="001967C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22B1D" w:rsidRPr="007A7C5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A7C5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A7C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95A665" w:rsidR="0000007A" w:rsidRPr="007A7C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22B1D"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4479</w:t>
            </w:r>
          </w:p>
        </w:tc>
      </w:tr>
      <w:tr w:rsidR="0000007A" w:rsidRPr="007A7C5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A7C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48B53E" w:rsidR="0000007A" w:rsidRPr="007A7C57" w:rsidRDefault="00E22B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7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Wide Awake local </w:t>
            </w:r>
            <w:proofErr w:type="spellStart"/>
            <w:r w:rsidRPr="007A7C57">
              <w:rPr>
                <w:rFonts w:ascii="Arial" w:hAnsi="Arial" w:cs="Arial"/>
                <w:b/>
                <w:sz w:val="20"/>
                <w:szCs w:val="20"/>
                <w:lang w:val="en-GB"/>
              </w:rPr>
              <w:t>anesthesia</w:t>
            </w:r>
            <w:proofErr w:type="spellEnd"/>
            <w:r w:rsidRPr="007A7C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 tourniquet (WALANT) versus Bier’s block, in internal fixation of unstable metacarpal and phalangeal fractures of the hand: A comparative study</w:t>
            </w:r>
          </w:p>
        </w:tc>
      </w:tr>
      <w:tr w:rsidR="00CF0BBB" w:rsidRPr="007A7C5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A7C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DB163B" w:rsidR="00CF0BBB" w:rsidRPr="007A7C57" w:rsidRDefault="00E22B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A7C57" w:rsidRDefault="00D27A79" w:rsidP="00127A7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7C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7C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7C5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7C5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7C5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A7C5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A7C5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7C57">
              <w:rPr>
                <w:rFonts w:ascii="Arial" w:hAnsi="Arial" w:cs="Arial"/>
                <w:lang w:val="en-GB"/>
              </w:rPr>
              <w:t>Author’s Feedback</w:t>
            </w:r>
            <w:r w:rsidRPr="007A7C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7C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7C5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A7C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A7C5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FB9C5F6" w:rsidR="00F1171E" w:rsidRPr="007A7C57" w:rsidRDefault="004D2A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WALLANT procedure has many advantages over regional analgesia, and it offer active movement so as to check the stability of the fixation. The results of this </w:t>
            </w:r>
            <w:proofErr w:type="spellStart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aticle</w:t>
            </w:r>
            <w:proofErr w:type="spellEnd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will help surgeons in decision making regarding type of anaesthesia. It also </w:t>
            </w:r>
            <w:proofErr w:type="gramStart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demonstrates  that</w:t>
            </w:r>
            <w:proofErr w:type="gramEnd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WALLANT is favourable for patients not suitable for general anaesthesia.</w:t>
            </w:r>
          </w:p>
        </w:tc>
        <w:tc>
          <w:tcPr>
            <w:tcW w:w="1523" w:type="pct"/>
          </w:tcPr>
          <w:p w14:paraId="462A339C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C57" w14:paraId="0D8B5B2C" w14:textId="77777777" w:rsidTr="00E12C2F">
        <w:trPr>
          <w:trHeight w:val="647"/>
        </w:trPr>
        <w:tc>
          <w:tcPr>
            <w:tcW w:w="1265" w:type="pct"/>
            <w:noWrap/>
          </w:tcPr>
          <w:p w14:paraId="21CBA5FE" w14:textId="77777777" w:rsidR="00F1171E" w:rsidRPr="007A7C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A7C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E4DC48" w:rsidR="00F1171E" w:rsidRPr="007A7C57" w:rsidRDefault="004D2A26" w:rsidP="004D2A2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C5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A7C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7C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7C8ABC1" w14:textId="77777777" w:rsidR="00F1171E" w:rsidRPr="007A7C57" w:rsidRDefault="004D2A26" w:rsidP="004D2A2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of the article is compr</w:t>
            </w:r>
            <w:r w:rsidR="0034498F"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ehensive.</w:t>
            </w:r>
          </w:p>
          <w:p w14:paraId="0FB7E83A" w14:textId="000EA68F" w:rsidR="0034498F" w:rsidRPr="007A7C57" w:rsidRDefault="0034498F" w:rsidP="00E12C2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C5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A7C5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B64363D" w14:textId="77777777" w:rsidR="00F1171E" w:rsidRPr="007A7C57" w:rsidRDefault="004D2A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manuscript is scientifically correct.</w:t>
            </w:r>
          </w:p>
          <w:p w14:paraId="0DAADA67" w14:textId="77777777" w:rsidR="0034498F" w:rsidRPr="007A7C57" w:rsidRDefault="003449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</w:t>
            </w:r>
          </w:p>
          <w:p w14:paraId="21C9DCC0" w14:textId="387DF4C1" w:rsidR="0034498F" w:rsidRPr="007A7C57" w:rsidRDefault="0034498F" w:rsidP="0034498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Clarify process of randomization</w:t>
            </w:r>
            <w:r w:rsidR="009E53AF"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into two groups</w:t>
            </w: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58F9B881" w14:textId="77777777" w:rsidR="0034498F" w:rsidRPr="007A7C57" w:rsidRDefault="0034498F" w:rsidP="0034498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Specify blinding method if done.</w:t>
            </w:r>
          </w:p>
          <w:p w14:paraId="7A842876" w14:textId="02C426DB" w:rsidR="0034498F" w:rsidRPr="007A7C57" w:rsidRDefault="0034498F" w:rsidP="0034498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Specify blinding of </w:t>
            </w:r>
            <w:r w:rsidR="009E53AF"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observer if. done.</w:t>
            </w:r>
          </w:p>
          <w:p w14:paraId="2B5A7721" w14:textId="469A2D50" w:rsidR="009E53AF" w:rsidRPr="007A7C57" w:rsidRDefault="009E53AF" w:rsidP="009E53AF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C5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A7C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A7C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D17F625" w14:textId="77777777" w:rsidR="0034498F" w:rsidRPr="007A7C57" w:rsidRDefault="003449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references are sufficient and recent.</w:t>
            </w:r>
          </w:p>
          <w:p w14:paraId="1B56AAF6" w14:textId="77777777" w:rsidR="0034498F" w:rsidRPr="007A7C57" w:rsidRDefault="003449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</w:t>
            </w:r>
          </w:p>
          <w:p w14:paraId="24FE0567" w14:textId="3A07D42F" w:rsidR="0034498F" w:rsidRPr="007A7C57" w:rsidRDefault="003449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Doi of following references are missing: 1, 9, 15,17, 21 </w:t>
            </w:r>
          </w:p>
        </w:tc>
        <w:tc>
          <w:tcPr>
            <w:tcW w:w="1523" w:type="pct"/>
          </w:tcPr>
          <w:p w14:paraId="40220055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7C5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A7C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7C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38A52E67" w:rsidR="00F1171E" w:rsidRPr="007A7C57" w:rsidRDefault="0034498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7C5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7C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7C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7C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A7C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BE711FF" w:rsidR="00F1171E" w:rsidRPr="007A7C57" w:rsidRDefault="009E53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Few </w:t>
            </w:r>
            <w:proofErr w:type="spellStart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grammertical</w:t>
            </w:r>
            <w:proofErr w:type="spellEnd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 error</w:t>
            </w:r>
          </w:p>
          <w:p w14:paraId="5E946A0E" w14:textId="3AAA165D" w:rsidR="00F1171E" w:rsidRPr="007A7C57" w:rsidRDefault="009E53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Abstract line 22 “sorter” to “shorter”.</w:t>
            </w:r>
          </w:p>
          <w:p w14:paraId="7953F8BC" w14:textId="7CECCA46" w:rsidR="009E53AF" w:rsidRPr="007A7C57" w:rsidRDefault="009E53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and Methods line </w:t>
            </w:r>
            <w:proofErr w:type="gramStart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15 ”All</w:t>
            </w:r>
            <w:proofErr w:type="gramEnd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 patients were operated from author” to “All patients were operated by author”.</w:t>
            </w:r>
          </w:p>
          <w:p w14:paraId="7EB58C99" w14:textId="44F24581" w:rsidR="00F1171E" w:rsidRPr="007A7C57" w:rsidRDefault="009E53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Bier block </w:t>
            </w:r>
            <w:proofErr w:type="gramStart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procedure  line</w:t>
            </w:r>
            <w:proofErr w:type="gramEnd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 1 ”They were performed at operating room with </w:t>
            </w:r>
            <w:proofErr w:type="spellStart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anaesthesioligy</w:t>
            </w:r>
            <w:proofErr w:type="spellEnd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 group”  to “They were performed at operating room by </w:t>
            </w:r>
            <w:proofErr w:type="spellStart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anaesthesioligy</w:t>
            </w:r>
            <w:proofErr w:type="spellEnd"/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 xml:space="preserve"> group”.</w:t>
            </w:r>
          </w:p>
          <w:p w14:paraId="349F678A" w14:textId="10B3C21F" w:rsidR="009E53AF" w:rsidRPr="007A7C57" w:rsidRDefault="009E53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Surgical procedure line 10 “</w:t>
            </w:r>
            <w:r w:rsidR="00B162F0" w:rsidRPr="007A7C57">
              <w:rPr>
                <w:rFonts w:ascii="Arial" w:hAnsi="Arial" w:cs="Arial"/>
                <w:sz w:val="20"/>
                <w:szCs w:val="20"/>
                <w:lang w:val="en-GB"/>
              </w:rPr>
              <w:t>imagining intensifier” to “image intensifier’.</w:t>
            </w:r>
          </w:p>
          <w:p w14:paraId="15DFD0E8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A7C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A13FFDE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4B992D" w14:textId="3B402FA9" w:rsidR="00127A7D" w:rsidRDefault="00127A7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7137D8" w14:textId="6AA3460F" w:rsidR="00127A7D" w:rsidRDefault="00127A7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C3AA5C" w14:textId="77777777" w:rsidR="00127A7D" w:rsidRPr="007A7C57" w:rsidRDefault="00127A7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8482C" w:rsidRPr="007A7C57" w14:paraId="1CDC540F" w14:textId="77777777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E1A9" w14:textId="77777777" w:rsidR="0078482C" w:rsidRPr="007A7C57" w:rsidRDefault="0078482C" w:rsidP="007848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A7C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A7C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DBBE8BD" w14:textId="77777777" w:rsidR="0078482C" w:rsidRPr="007A7C57" w:rsidRDefault="0078482C" w:rsidP="007848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482C" w:rsidRPr="007A7C57" w14:paraId="7D22A46B" w14:textId="77777777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7C2B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6AB8" w14:textId="77777777" w:rsidR="0078482C" w:rsidRPr="007A7C57" w:rsidRDefault="0078482C" w:rsidP="0078482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2EBDA4E" w14:textId="77777777" w:rsidR="0078482C" w:rsidRPr="007A7C57" w:rsidRDefault="0078482C" w:rsidP="0078482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A7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A7C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A7C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482C" w:rsidRPr="007A7C57" w14:paraId="086168F2" w14:textId="77777777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A504" w14:textId="77777777" w:rsidR="0078482C" w:rsidRPr="007A7C57" w:rsidRDefault="0078482C" w:rsidP="0078482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A7C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46965F0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8A014" w14:textId="77777777" w:rsidR="0078482C" w:rsidRPr="007A7C57" w:rsidRDefault="0078482C" w:rsidP="0078482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7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7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7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A1C45B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F6AD86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A6BDF0B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58A260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5A46F8" w14:textId="77777777" w:rsidR="0078482C" w:rsidRPr="007A7C57" w:rsidRDefault="0078482C" w:rsidP="007848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C03BF05" w14:textId="77777777" w:rsidR="0078482C" w:rsidRPr="007A7C57" w:rsidRDefault="0078482C" w:rsidP="007848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8482C" w:rsidRPr="007A7C57" w14:paraId="5EC0967E" w14:textId="77777777" w:rsidTr="002F19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94F0" w14:textId="77777777" w:rsidR="0078482C" w:rsidRPr="007A7C57" w:rsidRDefault="0078482C" w:rsidP="0078482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7C5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EB4878A" w14:textId="77777777" w:rsidR="0078482C" w:rsidRPr="007A7C57" w:rsidRDefault="0078482C" w:rsidP="0078482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8482C" w:rsidRPr="007A7C57" w14:paraId="0D005BFF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460E" w14:textId="77777777" w:rsidR="0078482C" w:rsidRPr="007A7C57" w:rsidRDefault="0078482C" w:rsidP="007848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383E" w14:textId="1DDA1F38" w:rsidR="0078482C" w:rsidRPr="007A7C57" w:rsidRDefault="00127A7D" w:rsidP="007848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A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Abhishek </w:t>
            </w:r>
            <w:proofErr w:type="spellStart"/>
            <w:r w:rsidRPr="00127A7D">
              <w:rPr>
                <w:rFonts w:ascii="Arial" w:hAnsi="Arial" w:cs="Arial"/>
                <w:b/>
                <w:bCs/>
                <w:sz w:val="20"/>
                <w:szCs w:val="20"/>
              </w:rPr>
              <w:t>Guria</w:t>
            </w:r>
            <w:proofErr w:type="spellEnd"/>
          </w:p>
        </w:tc>
      </w:tr>
      <w:tr w:rsidR="0078482C" w:rsidRPr="007A7C57" w14:paraId="4437F9D2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0553" w14:textId="77777777" w:rsidR="0078482C" w:rsidRPr="007A7C57" w:rsidRDefault="0078482C" w:rsidP="007848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7C5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2A20" w14:textId="060DBAC1" w:rsidR="0078482C" w:rsidRPr="007A7C57" w:rsidRDefault="00127A7D" w:rsidP="00127A7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7A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Ranchi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27A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3277D238" w14:textId="77777777" w:rsidR="0078482C" w:rsidRPr="007A7C57" w:rsidRDefault="0078482C" w:rsidP="0078482C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7A7C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A7C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9A7DE" w14:textId="77777777" w:rsidR="001967CB" w:rsidRPr="0000007A" w:rsidRDefault="001967CB" w:rsidP="0099583E">
      <w:r>
        <w:separator/>
      </w:r>
    </w:p>
  </w:endnote>
  <w:endnote w:type="continuationSeparator" w:id="0">
    <w:p w14:paraId="6F12063D" w14:textId="77777777" w:rsidR="001967CB" w:rsidRPr="0000007A" w:rsidRDefault="001967C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1153" w14:textId="77777777" w:rsidR="001967CB" w:rsidRPr="0000007A" w:rsidRDefault="001967CB" w:rsidP="0099583E">
      <w:r>
        <w:separator/>
      </w:r>
    </w:p>
  </w:footnote>
  <w:footnote w:type="continuationSeparator" w:id="0">
    <w:p w14:paraId="61F2E436" w14:textId="77777777" w:rsidR="001967CB" w:rsidRPr="0000007A" w:rsidRDefault="001967C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B4819"/>
    <w:multiLevelType w:val="hybridMultilevel"/>
    <w:tmpl w:val="76E49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0E648A"/>
    <w:multiLevelType w:val="hybridMultilevel"/>
    <w:tmpl w:val="F07C6C26"/>
    <w:lvl w:ilvl="0" w:tplc="3F3AF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6655C9"/>
    <w:multiLevelType w:val="hybridMultilevel"/>
    <w:tmpl w:val="759A3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ED3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0DDC"/>
    <w:rsid w:val="000C3B7E"/>
    <w:rsid w:val="000D13B0"/>
    <w:rsid w:val="000F6EA8"/>
    <w:rsid w:val="00101322"/>
    <w:rsid w:val="00115767"/>
    <w:rsid w:val="00121FFA"/>
    <w:rsid w:val="0012616A"/>
    <w:rsid w:val="00127A7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7CB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498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A26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C8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82C"/>
    <w:rsid w:val="007A62F8"/>
    <w:rsid w:val="007A7C57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3AF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29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2F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55B7"/>
    <w:rsid w:val="00DB7E1B"/>
    <w:rsid w:val="00DC1D81"/>
    <w:rsid w:val="00DC6FED"/>
    <w:rsid w:val="00DD0C4A"/>
    <w:rsid w:val="00DD274C"/>
    <w:rsid w:val="00DE7D30"/>
    <w:rsid w:val="00DF04E3"/>
    <w:rsid w:val="00E03C32"/>
    <w:rsid w:val="00E12C2F"/>
    <w:rsid w:val="00E22B1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5E7"/>
    <w:rsid w:val="00E72A8E"/>
    <w:rsid w:val="00E8145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B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B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2025-03-01T05:36:00Z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