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D0B0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D0B0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D0B0C" w14:paraId="127EAD7E" w14:textId="77777777" w:rsidTr="00CF4F1C">
        <w:trPr>
          <w:trHeight w:val="70"/>
        </w:trPr>
        <w:tc>
          <w:tcPr>
            <w:tcW w:w="1234" w:type="pct"/>
          </w:tcPr>
          <w:p w14:paraId="3C159AA5" w14:textId="77777777" w:rsidR="0000007A" w:rsidRPr="00DD0B0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D0B0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5E96A05" w:rsidR="0000007A" w:rsidRPr="00DD0B0C" w:rsidRDefault="007777E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B5A2F" w:rsidRPr="00DD0B0C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DD0B0C" w14:paraId="73C90375" w14:textId="77777777" w:rsidTr="00CF4F1C">
        <w:trPr>
          <w:trHeight w:val="70"/>
        </w:trPr>
        <w:tc>
          <w:tcPr>
            <w:tcW w:w="1234" w:type="pct"/>
          </w:tcPr>
          <w:p w14:paraId="20D28135" w14:textId="77777777" w:rsidR="0000007A" w:rsidRPr="00DD0B0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92E784" w:rsidR="0000007A" w:rsidRPr="00DD0B0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D0B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D0B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D0B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2002F" w:rsidRPr="00DD0B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4503</w:t>
            </w:r>
          </w:p>
        </w:tc>
      </w:tr>
      <w:tr w:rsidR="0000007A" w:rsidRPr="00DD0B0C" w14:paraId="05B60576" w14:textId="77777777" w:rsidTr="00CF4F1C">
        <w:trPr>
          <w:trHeight w:val="70"/>
        </w:trPr>
        <w:tc>
          <w:tcPr>
            <w:tcW w:w="1234" w:type="pct"/>
          </w:tcPr>
          <w:p w14:paraId="0196A627" w14:textId="77777777" w:rsidR="0000007A" w:rsidRPr="00DD0B0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B3666B" w:rsidR="0000007A" w:rsidRPr="00DD0B0C" w:rsidRDefault="002B5A2F" w:rsidP="002B5A2F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Intercellular adhesion molecule-1 is a surrogate biomarker for subclinical atherosclerosis in Type 2 diabetes mellitus</w:t>
            </w:r>
          </w:p>
        </w:tc>
      </w:tr>
      <w:tr w:rsidR="00CF0BBB" w:rsidRPr="00DD0B0C" w14:paraId="6D508B1C" w14:textId="77777777" w:rsidTr="00CF4F1C">
        <w:trPr>
          <w:trHeight w:val="70"/>
        </w:trPr>
        <w:tc>
          <w:tcPr>
            <w:tcW w:w="1234" w:type="pct"/>
          </w:tcPr>
          <w:p w14:paraId="32FC28F7" w14:textId="77777777" w:rsidR="00CF0BBB" w:rsidRPr="00DD0B0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84A6D32" w:rsidR="00CF0BBB" w:rsidRPr="00DD0B0C" w:rsidRDefault="002B5A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D0B0C" w:rsidRDefault="00D27A79" w:rsidP="00CF4F1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D0B0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0B0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D0B0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D0B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0B0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0B0C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D81DA81" w:rsidR="00421DBF" w:rsidRPr="00CF4F1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B0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0B0C">
              <w:rPr>
                <w:rFonts w:ascii="Arial" w:hAnsi="Arial" w:cs="Arial"/>
                <w:lang w:val="en-GB"/>
              </w:rPr>
              <w:t>Author’s Feedback</w:t>
            </w:r>
            <w:r w:rsidRPr="00DD0B0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0B0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D0B0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D0B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D0B0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3D2FBFF" w14:textId="77777777" w:rsidR="001B59B3" w:rsidRPr="00DD0B0C" w:rsidRDefault="001B59B3" w:rsidP="001B59B3">
            <w:pPr>
              <w:rPr>
                <w:rFonts w:ascii="Arial" w:hAnsi="Arial" w:cs="Arial"/>
                <w:sz w:val="20"/>
                <w:szCs w:val="20"/>
              </w:rPr>
            </w:pPr>
            <w:r w:rsidRPr="00DD0B0C">
              <w:rPr>
                <w:rFonts w:ascii="Arial" w:hAnsi="Arial" w:cs="Arial"/>
                <w:sz w:val="20"/>
                <w:szCs w:val="20"/>
              </w:rPr>
              <w:t>Because it identifies intercellular adhesion molecule-1 (ICAM-1) as a possible substitute biomarker for identifying subclinical atherosclerosis in patients with type 2 diabetes mellitus (T2DM), this publication is extremely significant to the scientific community.</w:t>
            </w:r>
          </w:p>
          <w:p w14:paraId="7DBC9196" w14:textId="77777777" w:rsidR="00F1171E" w:rsidRPr="00DD0B0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B0C" w14:paraId="0D8B5B2C" w14:textId="77777777" w:rsidTr="00964DBB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DD0B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D0B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7A02E1" w14:textId="48E57965" w:rsidR="001B59B3" w:rsidRPr="00DD0B0C" w:rsidRDefault="001B59B3" w:rsidP="00C368DF">
            <w:pPr>
              <w:rPr>
                <w:rFonts w:ascii="Arial" w:hAnsi="Arial" w:cs="Arial"/>
                <w:sz w:val="20"/>
                <w:szCs w:val="20"/>
              </w:rPr>
            </w:pPr>
            <w:r w:rsidRPr="00DD0B0C">
              <w:rPr>
                <w:rFonts w:ascii="Arial" w:hAnsi="Arial" w:cs="Arial"/>
                <w:sz w:val="20"/>
                <w:szCs w:val="20"/>
              </w:rPr>
              <w:t>The current title of the article</w:t>
            </w:r>
            <w:r w:rsidR="00C368DF" w:rsidRPr="00DD0B0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D0B0C">
              <w:rPr>
                <w:rFonts w:ascii="Arial" w:hAnsi="Arial" w:cs="Arial"/>
                <w:sz w:val="20"/>
                <w:szCs w:val="20"/>
              </w:rPr>
              <w:t>is clear and expressive</w:t>
            </w:r>
          </w:p>
          <w:p w14:paraId="794AA9A7" w14:textId="77777777" w:rsidR="00F1171E" w:rsidRPr="00DD0B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B0C" w14:paraId="5604762A" w14:textId="77777777" w:rsidTr="00964DBB">
        <w:trPr>
          <w:trHeight w:val="854"/>
        </w:trPr>
        <w:tc>
          <w:tcPr>
            <w:tcW w:w="1265" w:type="pct"/>
            <w:noWrap/>
          </w:tcPr>
          <w:p w14:paraId="3635573D" w14:textId="77777777" w:rsidR="00F1171E" w:rsidRPr="00DD0B0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D0B0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30F78B" w14:textId="77777777" w:rsidR="008F5F09" w:rsidRPr="00DD0B0C" w:rsidRDefault="008F5F09" w:rsidP="008F5F09">
            <w:pPr>
              <w:rPr>
                <w:rFonts w:ascii="Arial" w:hAnsi="Arial" w:cs="Arial"/>
                <w:sz w:val="20"/>
                <w:szCs w:val="20"/>
              </w:rPr>
            </w:pPr>
            <w:r w:rsidRPr="00DD0B0C">
              <w:rPr>
                <w:rFonts w:ascii="Arial" w:hAnsi="Arial" w:cs="Arial"/>
                <w:sz w:val="20"/>
                <w:szCs w:val="20"/>
              </w:rPr>
              <w:t>Yes, the article's abstract is clear and comprehensive; it starts with the study's objective and presents the results and conclusion.</w:t>
            </w:r>
          </w:p>
          <w:p w14:paraId="0FB7E83A" w14:textId="77777777" w:rsidR="00F1171E" w:rsidRPr="00DD0B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B0C" w14:paraId="2F579F54" w14:textId="77777777" w:rsidTr="00CF4F1C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DD0B0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0B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A4605EC" w14:textId="77777777" w:rsidR="008F5F09" w:rsidRPr="00DD0B0C" w:rsidRDefault="008F5F09" w:rsidP="008F5F09">
            <w:pPr>
              <w:rPr>
                <w:rFonts w:ascii="Arial" w:hAnsi="Arial" w:cs="Arial"/>
                <w:sz w:val="20"/>
                <w:szCs w:val="20"/>
              </w:rPr>
            </w:pPr>
            <w:r w:rsidRPr="00DD0B0C">
              <w:rPr>
                <w:rFonts w:ascii="Arial" w:hAnsi="Arial" w:cs="Arial"/>
                <w:sz w:val="20"/>
                <w:szCs w:val="20"/>
              </w:rPr>
              <w:t>The research is scientifically sound; the methodology, data analysis, and conclusions are well-supported by evidence.</w:t>
            </w:r>
          </w:p>
          <w:p w14:paraId="2B5A7721" w14:textId="77777777" w:rsidR="00F1171E" w:rsidRPr="00DD0B0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898F764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B0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D0B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D0B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0B0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314721F" w14:textId="77777777" w:rsidR="007F2EF4" w:rsidRPr="00DD0B0C" w:rsidRDefault="007F2EF4" w:rsidP="007F2EF4">
            <w:pPr>
              <w:rPr>
                <w:rFonts w:ascii="Arial" w:hAnsi="Arial" w:cs="Arial"/>
                <w:sz w:val="20"/>
                <w:szCs w:val="20"/>
              </w:rPr>
            </w:pPr>
            <w:r w:rsidRPr="00DD0B0C">
              <w:rPr>
                <w:rFonts w:ascii="Arial" w:hAnsi="Arial" w:cs="Arial"/>
                <w:sz w:val="20"/>
                <w:szCs w:val="20"/>
              </w:rPr>
              <w:t>The number of references covers the research topic well, but some sources are old (more than 10 years).</w:t>
            </w:r>
          </w:p>
          <w:p w14:paraId="24FE0567" w14:textId="77777777" w:rsidR="00F1171E" w:rsidRPr="00DD0B0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220055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B0C" w14:paraId="73CC4A50" w14:textId="77777777" w:rsidTr="00964DBB">
        <w:trPr>
          <w:trHeight w:val="638"/>
        </w:trPr>
        <w:tc>
          <w:tcPr>
            <w:tcW w:w="1265" w:type="pct"/>
            <w:noWrap/>
          </w:tcPr>
          <w:p w14:paraId="029CE8D0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D0B0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D0B0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D0B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0879C3" w14:textId="67D29A17" w:rsidR="00461B4E" w:rsidRPr="00DD0B0C" w:rsidRDefault="00461B4E" w:rsidP="00461B4E">
            <w:pPr>
              <w:rPr>
                <w:rFonts w:ascii="Arial" w:hAnsi="Arial" w:cs="Arial"/>
                <w:sz w:val="20"/>
                <w:szCs w:val="20"/>
              </w:rPr>
            </w:pPr>
            <w:r w:rsidRPr="00DD0B0C">
              <w:rPr>
                <w:rFonts w:ascii="Arial" w:hAnsi="Arial" w:cs="Arial"/>
                <w:sz w:val="20"/>
                <w:szCs w:val="20"/>
              </w:rPr>
              <w:t xml:space="preserve">The language is clear and appropriate. </w:t>
            </w:r>
          </w:p>
          <w:p w14:paraId="149A6CEF" w14:textId="156E42B1" w:rsidR="00F1171E" w:rsidRPr="00DD0B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D0B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0B0C" w14:paraId="20A16C0C" w14:textId="77777777" w:rsidTr="00CF4F1C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D0B0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D0B0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D0B0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D0B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279C1E41" w:rsidR="00F1171E" w:rsidRPr="00CF4F1C" w:rsidRDefault="00962052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DD0B0C">
              <w:rPr>
                <w:rFonts w:ascii="Arial" w:hAnsi="Arial" w:cs="Arial"/>
                <w:sz w:val="20"/>
                <w:szCs w:val="20"/>
              </w:rPr>
              <w:t>There is none.</w:t>
            </w:r>
          </w:p>
        </w:tc>
        <w:tc>
          <w:tcPr>
            <w:tcW w:w="1523" w:type="pct"/>
          </w:tcPr>
          <w:p w14:paraId="465E098E" w14:textId="77777777" w:rsidR="00F1171E" w:rsidRPr="00DD0B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D0B0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F1712A" w:rsidRPr="00DD0B0C" w14:paraId="16398E01" w14:textId="77777777" w:rsidTr="00F1712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EC5D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DD0B0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D0B0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2FA0D3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712A" w:rsidRPr="00DD0B0C" w14:paraId="707EB7E7" w14:textId="77777777" w:rsidTr="00F1712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7D8D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51C" w14:textId="77777777" w:rsidR="00F1712A" w:rsidRPr="00DD0B0C" w:rsidRDefault="00F1712A" w:rsidP="00F171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C9AD" w14:textId="77777777" w:rsidR="00F1712A" w:rsidRPr="00DD0B0C" w:rsidRDefault="00F1712A" w:rsidP="00F171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D0B0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D0B0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D0B0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1712A" w:rsidRPr="00DD0B0C" w14:paraId="45C94BD7" w14:textId="77777777" w:rsidTr="00CF4F1C">
        <w:trPr>
          <w:trHeight w:val="7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12C0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D0B0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5763713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C03F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D0B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D0B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D0B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7B23E7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1D27CA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462D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6D055C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739289" w14:textId="77777777" w:rsidR="00F1712A" w:rsidRPr="00DD0B0C" w:rsidRDefault="00F1712A" w:rsidP="00F171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66F482D" w14:textId="77777777" w:rsidR="00F1712A" w:rsidRPr="00DD0B0C" w:rsidRDefault="00F1712A" w:rsidP="00F1712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F1712A" w:rsidRPr="00DD0B0C" w14:paraId="3A845419" w14:textId="77777777" w:rsidTr="00CF4F1C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5FAD" w14:textId="77777777" w:rsidR="00F1712A" w:rsidRPr="00DD0B0C" w:rsidRDefault="00F1712A" w:rsidP="00F1712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D0B0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B2C389B" w14:textId="77777777" w:rsidR="00F1712A" w:rsidRPr="00DD0B0C" w:rsidRDefault="00F1712A" w:rsidP="00F1712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1712A" w:rsidRPr="00DD0B0C" w14:paraId="37E27742" w14:textId="77777777" w:rsidTr="00CF4F1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08FF" w14:textId="77777777" w:rsidR="00F1712A" w:rsidRPr="00DD0B0C" w:rsidRDefault="00F1712A" w:rsidP="00F171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BDCF" w14:textId="77E28014" w:rsidR="00F1712A" w:rsidRPr="00DD0B0C" w:rsidRDefault="00CF4F1C" w:rsidP="00F171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F4F1C">
              <w:rPr>
                <w:rFonts w:ascii="Arial" w:hAnsi="Arial" w:cs="Arial"/>
                <w:b/>
                <w:bCs/>
                <w:sz w:val="20"/>
                <w:szCs w:val="20"/>
              </w:rPr>
              <w:t>Rokan</w:t>
            </w:r>
            <w:proofErr w:type="spellEnd"/>
            <w:r w:rsidRPr="00CF4F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4F1C">
              <w:rPr>
                <w:rFonts w:ascii="Arial" w:hAnsi="Arial" w:cs="Arial"/>
                <w:b/>
                <w:bCs/>
                <w:sz w:val="20"/>
                <w:szCs w:val="20"/>
              </w:rPr>
              <w:t>Hazim</w:t>
            </w:r>
            <w:proofErr w:type="spellEnd"/>
            <w:r w:rsidRPr="00CF4F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Hamad Abdullah</w:t>
            </w:r>
          </w:p>
        </w:tc>
      </w:tr>
      <w:tr w:rsidR="00F1712A" w:rsidRPr="00DD0B0C" w14:paraId="3C9094A8" w14:textId="77777777" w:rsidTr="00CF4F1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E1C7" w14:textId="77777777" w:rsidR="00F1712A" w:rsidRPr="00DD0B0C" w:rsidRDefault="00F1712A" w:rsidP="00F171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0B0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5354" w14:textId="3647D9F8" w:rsidR="00F1712A" w:rsidRPr="00DD0B0C" w:rsidRDefault="00CF4F1C" w:rsidP="00F171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48DC05A4" w14:textId="77777777" w:rsidR="004C3DF1" w:rsidRPr="00DD0B0C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2" w:name="_GoBack"/>
      <w:bookmarkEnd w:id="0"/>
      <w:bookmarkEnd w:id="2"/>
    </w:p>
    <w:sectPr w:rsidR="004C3DF1" w:rsidRPr="00DD0B0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DBF49" w14:textId="77777777" w:rsidR="007777E0" w:rsidRPr="0000007A" w:rsidRDefault="007777E0" w:rsidP="0099583E">
      <w:r>
        <w:separator/>
      </w:r>
    </w:p>
  </w:endnote>
  <w:endnote w:type="continuationSeparator" w:id="0">
    <w:p w14:paraId="5FC15DCB" w14:textId="77777777" w:rsidR="007777E0" w:rsidRPr="0000007A" w:rsidRDefault="007777E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9846" w14:textId="77777777" w:rsidR="007777E0" w:rsidRPr="0000007A" w:rsidRDefault="007777E0" w:rsidP="0099583E">
      <w:r>
        <w:separator/>
      </w:r>
    </w:p>
  </w:footnote>
  <w:footnote w:type="continuationSeparator" w:id="0">
    <w:p w14:paraId="702DE3A4" w14:textId="77777777" w:rsidR="007777E0" w:rsidRPr="0000007A" w:rsidRDefault="007777E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2567"/>
    <w:rsid w:val="00054BC4"/>
    <w:rsid w:val="00056CB0"/>
    <w:rsid w:val="0006257C"/>
    <w:rsid w:val="000627FE"/>
    <w:rsid w:val="0007151E"/>
    <w:rsid w:val="00081012"/>
    <w:rsid w:val="00084D7C"/>
    <w:rsid w:val="000936AC"/>
    <w:rsid w:val="0009441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9B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1462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5A2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1B4E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044C"/>
    <w:rsid w:val="006E6014"/>
    <w:rsid w:val="006E7D6E"/>
    <w:rsid w:val="00700A1D"/>
    <w:rsid w:val="00700EF2"/>
    <w:rsid w:val="00701186"/>
    <w:rsid w:val="00707BE1"/>
    <w:rsid w:val="007238EB"/>
    <w:rsid w:val="007317C3"/>
    <w:rsid w:val="00731AC7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77E0"/>
    <w:rsid w:val="00780B67"/>
    <w:rsid w:val="00781D07"/>
    <w:rsid w:val="007A62F8"/>
    <w:rsid w:val="007B1099"/>
    <w:rsid w:val="007B54A4"/>
    <w:rsid w:val="007C6CDF"/>
    <w:rsid w:val="007D0246"/>
    <w:rsid w:val="007F2EF4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F09"/>
    <w:rsid w:val="00906FAB"/>
    <w:rsid w:val="0090720F"/>
    <w:rsid w:val="0091410B"/>
    <w:rsid w:val="00923A60"/>
    <w:rsid w:val="009245E3"/>
    <w:rsid w:val="00942DEE"/>
    <w:rsid w:val="00944F67"/>
    <w:rsid w:val="009553EC"/>
    <w:rsid w:val="00955E45"/>
    <w:rsid w:val="00962052"/>
    <w:rsid w:val="00962B70"/>
    <w:rsid w:val="00964DBB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6637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09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8DF"/>
    <w:rsid w:val="00C435C6"/>
    <w:rsid w:val="00C635B6"/>
    <w:rsid w:val="00C70DFC"/>
    <w:rsid w:val="00C82466"/>
    <w:rsid w:val="00C84097"/>
    <w:rsid w:val="00C95FC0"/>
    <w:rsid w:val="00CA4B20"/>
    <w:rsid w:val="00CA7853"/>
    <w:rsid w:val="00CB429B"/>
    <w:rsid w:val="00CC2753"/>
    <w:rsid w:val="00CD093E"/>
    <w:rsid w:val="00CD1556"/>
    <w:rsid w:val="00CD1FD7"/>
    <w:rsid w:val="00CD32EF"/>
    <w:rsid w:val="00CD5091"/>
    <w:rsid w:val="00CD5DFD"/>
    <w:rsid w:val="00CD7C84"/>
    <w:rsid w:val="00CE199A"/>
    <w:rsid w:val="00CE5AC7"/>
    <w:rsid w:val="00CF0BBB"/>
    <w:rsid w:val="00CF0D07"/>
    <w:rsid w:val="00CF4F1C"/>
    <w:rsid w:val="00CF7035"/>
    <w:rsid w:val="00D1283A"/>
    <w:rsid w:val="00D12970"/>
    <w:rsid w:val="00D17979"/>
    <w:rsid w:val="00D2075F"/>
    <w:rsid w:val="00D23404"/>
    <w:rsid w:val="00D24CBE"/>
    <w:rsid w:val="00D27A79"/>
    <w:rsid w:val="00D32AC2"/>
    <w:rsid w:val="00D40416"/>
    <w:rsid w:val="00D430AB"/>
    <w:rsid w:val="00D4782A"/>
    <w:rsid w:val="00D508F0"/>
    <w:rsid w:val="00D709EB"/>
    <w:rsid w:val="00D7389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B0C"/>
    <w:rsid w:val="00DD0C4A"/>
    <w:rsid w:val="00DD274C"/>
    <w:rsid w:val="00DE7D30"/>
    <w:rsid w:val="00DF04E3"/>
    <w:rsid w:val="00E03C32"/>
    <w:rsid w:val="00E15AD7"/>
    <w:rsid w:val="00E2002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12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8A0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388FA415-721F-45AB-86C9-9A38BFB0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