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7F" w:rsidRPr="001257FE" w:rsidRDefault="00A9457F" w:rsidP="00A9457F">
      <w:pPr>
        <w:spacing w:after="0" w:line="240" w:lineRule="auto"/>
        <w:contextualSpacing/>
        <w:jc w:val="center"/>
        <w:rPr>
          <w:rFonts w:ascii="Arial" w:eastAsia="Times New Roman" w:hAnsi="Arial" w:cs="Arial"/>
          <w:b/>
          <w:i/>
          <w:sz w:val="14"/>
          <w:szCs w:val="20"/>
        </w:rPr>
      </w:pPr>
    </w:p>
    <w:p w:rsidR="00A9457F" w:rsidRPr="001257FE" w:rsidRDefault="00A9457F" w:rsidP="00A9457F">
      <w:pPr>
        <w:spacing w:after="0" w:line="240" w:lineRule="auto"/>
        <w:contextualSpacing/>
        <w:jc w:val="center"/>
        <w:rPr>
          <w:rFonts w:ascii="Arial" w:eastAsia="Times New Roman" w:hAnsi="Arial" w:cs="Arial"/>
          <w:b/>
          <w:i/>
          <w:sz w:val="14"/>
          <w:szCs w:val="20"/>
        </w:rPr>
      </w:pPr>
    </w:p>
    <w:p w:rsidR="00A9457F" w:rsidRPr="001257FE" w:rsidRDefault="009E053D" w:rsidP="00A9457F">
      <w:pPr>
        <w:spacing w:after="0" w:line="240" w:lineRule="auto"/>
        <w:contextualSpacing/>
        <w:jc w:val="center"/>
        <w:rPr>
          <w:rFonts w:ascii="Arial" w:eastAsia="Times New Roman" w:hAnsi="Arial" w:cs="Arial"/>
          <w:b/>
          <w:bCs/>
          <w:kern w:val="28"/>
          <w:sz w:val="12"/>
          <w:szCs w:val="20"/>
        </w:rPr>
      </w:pPr>
      <w:r w:rsidRPr="009E053D">
        <w:rPr>
          <w:rFonts w:ascii="Arial" w:eastAsia="Times New Roman" w:hAnsi="Arial" w:cs="Arial"/>
          <w:b/>
          <w:bCs/>
          <w:noProof/>
          <w:kern w:val="28"/>
          <w:sz w:val="32"/>
          <w:szCs w:val="20"/>
        </w:rPr>
      </w:r>
      <w:r w:rsidRPr="009E053D">
        <w:rPr>
          <w:rFonts w:ascii="Arial" w:eastAsia="Times New Roman" w:hAnsi="Arial" w:cs="Arial"/>
          <w:b/>
          <w:bCs/>
          <w:noProof/>
          <w:kern w:val="28"/>
          <w:sz w:val="32"/>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width:450.7pt;height:.05pt;visibility:visible;mso-position-horizontal-relative:char;mso-position-vertical-relative:line" adj="10799,-62100000,-2666" strokeweight="1.5pt">
            <o:lock v:ext="edit" aspectratio="t"/>
            <w10:wrap type="none"/>
            <w10:anchorlock/>
          </v:shape>
        </w:pict>
      </w:r>
    </w:p>
    <w:p w:rsidR="00710BD3" w:rsidRPr="001257FE" w:rsidRDefault="00710BD3" w:rsidP="00BD060A">
      <w:pPr>
        <w:spacing w:after="0" w:line="240" w:lineRule="auto"/>
        <w:contextualSpacing/>
        <w:jc w:val="right"/>
        <w:rPr>
          <w:rFonts w:ascii="Arial" w:eastAsia="Times New Roman" w:hAnsi="Arial" w:cs="Arial"/>
          <w:b/>
          <w:bCs/>
          <w:iCs/>
          <w:kern w:val="28"/>
          <w:sz w:val="20"/>
          <w:szCs w:val="20"/>
        </w:rPr>
      </w:pPr>
    </w:p>
    <w:p w:rsidR="003F47A0" w:rsidRPr="001257FE" w:rsidRDefault="00E85B67" w:rsidP="003F47A0">
      <w:pPr>
        <w:spacing w:after="0" w:line="240" w:lineRule="auto"/>
        <w:contextualSpacing/>
        <w:jc w:val="right"/>
        <w:rPr>
          <w:rFonts w:ascii="Arial" w:eastAsia="Times New Roman" w:hAnsi="Arial" w:cs="Arial"/>
          <w:b/>
          <w:bCs/>
          <w:iCs/>
          <w:kern w:val="28"/>
          <w:sz w:val="36"/>
          <w:szCs w:val="20"/>
        </w:rPr>
      </w:pPr>
      <w:r w:rsidRPr="001257FE">
        <w:rPr>
          <w:rFonts w:ascii="Arial" w:eastAsia="Times New Roman" w:hAnsi="Arial" w:cs="Arial"/>
          <w:b/>
          <w:bCs/>
          <w:iCs/>
          <w:kern w:val="28"/>
          <w:sz w:val="36"/>
          <w:szCs w:val="20"/>
        </w:rPr>
        <w:t xml:space="preserve">Influence of </w:t>
      </w:r>
      <w:commentRangeStart w:id="0"/>
      <w:r w:rsidRPr="001257FE">
        <w:rPr>
          <w:rFonts w:ascii="Arial" w:eastAsia="Times New Roman" w:hAnsi="Arial" w:cs="Arial"/>
          <w:b/>
          <w:bCs/>
          <w:iCs/>
          <w:kern w:val="28"/>
          <w:sz w:val="36"/>
          <w:szCs w:val="20"/>
        </w:rPr>
        <w:t>Compounds</w:t>
      </w:r>
      <w:commentRangeEnd w:id="0"/>
      <w:r w:rsidR="007A0315">
        <w:rPr>
          <w:rStyle w:val="CommentReference"/>
        </w:rPr>
        <w:commentReference w:id="0"/>
      </w:r>
      <w:r w:rsidRPr="001257FE">
        <w:rPr>
          <w:rFonts w:ascii="Arial" w:eastAsia="Times New Roman" w:hAnsi="Arial" w:cs="Arial"/>
          <w:b/>
          <w:bCs/>
          <w:iCs/>
          <w:kern w:val="28"/>
          <w:sz w:val="36"/>
          <w:szCs w:val="20"/>
        </w:rPr>
        <w:t xml:space="preserve"> Contents and </w:t>
      </w:r>
      <w:commentRangeStart w:id="1"/>
      <w:r w:rsidRPr="001257FE">
        <w:rPr>
          <w:rFonts w:ascii="Arial" w:eastAsia="Times New Roman" w:hAnsi="Arial" w:cs="Arial"/>
          <w:b/>
          <w:bCs/>
          <w:iCs/>
          <w:kern w:val="28"/>
          <w:sz w:val="36"/>
          <w:szCs w:val="20"/>
        </w:rPr>
        <w:t>Particle</w:t>
      </w:r>
      <w:commentRangeEnd w:id="1"/>
      <w:r w:rsidR="00582E80">
        <w:rPr>
          <w:rStyle w:val="CommentReference"/>
        </w:rPr>
        <w:commentReference w:id="1"/>
      </w:r>
      <w:r w:rsidRPr="001257FE">
        <w:rPr>
          <w:rFonts w:ascii="Arial" w:eastAsia="Times New Roman" w:hAnsi="Arial" w:cs="Arial"/>
          <w:b/>
          <w:bCs/>
          <w:iCs/>
          <w:kern w:val="28"/>
          <w:sz w:val="36"/>
          <w:szCs w:val="20"/>
        </w:rPr>
        <w:t xml:space="preserve"> </w:t>
      </w:r>
      <w:commentRangeStart w:id="2"/>
      <w:r w:rsidRPr="001257FE">
        <w:rPr>
          <w:rFonts w:ascii="Arial" w:eastAsia="Times New Roman" w:hAnsi="Arial" w:cs="Arial"/>
          <w:b/>
          <w:bCs/>
          <w:iCs/>
          <w:kern w:val="28"/>
          <w:sz w:val="36"/>
          <w:szCs w:val="20"/>
        </w:rPr>
        <w:t>Size</w:t>
      </w:r>
      <w:commentRangeEnd w:id="2"/>
      <w:r w:rsidR="00582E80">
        <w:rPr>
          <w:rStyle w:val="CommentReference"/>
        </w:rPr>
        <w:commentReference w:id="2"/>
      </w:r>
      <w:r w:rsidRPr="001257FE">
        <w:rPr>
          <w:rFonts w:ascii="Arial" w:eastAsia="Times New Roman" w:hAnsi="Arial" w:cs="Arial"/>
          <w:b/>
          <w:bCs/>
          <w:iCs/>
          <w:kern w:val="28"/>
          <w:sz w:val="36"/>
          <w:szCs w:val="20"/>
        </w:rPr>
        <w:t xml:space="preserve"> on Some Functional Properties of </w:t>
      </w:r>
      <w:r w:rsidRPr="001257FE">
        <w:rPr>
          <w:rFonts w:ascii="Arial" w:eastAsia="Times New Roman" w:hAnsi="Arial" w:cs="Arial"/>
          <w:b/>
          <w:bCs/>
          <w:i/>
          <w:iCs/>
          <w:kern w:val="28"/>
          <w:sz w:val="36"/>
          <w:szCs w:val="20"/>
        </w:rPr>
        <w:t xml:space="preserve">Moringa </w:t>
      </w:r>
      <w:r w:rsidR="00F3582C" w:rsidRPr="001257FE">
        <w:rPr>
          <w:rFonts w:ascii="Arial" w:eastAsia="Times New Roman" w:hAnsi="Arial" w:cs="Arial"/>
          <w:b/>
          <w:bCs/>
          <w:i/>
          <w:iCs/>
          <w:kern w:val="28"/>
          <w:sz w:val="36"/>
          <w:szCs w:val="20"/>
        </w:rPr>
        <w:t>oleifera</w:t>
      </w:r>
      <w:r w:rsidRPr="001257FE">
        <w:rPr>
          <w:rFonts w:ascii="Arial" w:eastAsia="Times New Roman" w:hAnsi="Arial" w:cs="Arial"/>
          <w:b/>
          <w:bCs/>
          <w:iCs/>
          <w:kern w:val="28"/>
          <w:sz w:val="36"/>
          <w:szCs w:val="20"/>
        </w:rPr>
        <w:t>Leaves (Lam) Powders</w:t>
      </w:r>
    </w:p>
    <w:p w:rsidR="00E85B67" w:rsidRPr="001257FE" w:rsidRDefault="00E85B67" w:rsidP="003F47A0">
      <w:pPr>
        <w:spacing w:after="0" w:line="240" w:lineRule="auto"/>
        <w:contextualSpacing/>
        <w:jc w:val="right"/>
        <w:rPr>
          <w:rFonts w:ascii="Arial" w:eastAsia="Times New Roman" w:hAnsi="Arial" w:cs="Arial"/>
          <w:b/>
          <w:bCs/>
          <w:sz w:val="36"/>
          <w:szCs w:val="20"/>
        </w:rPr>
      </w:pPr>
    </w:p>
    <w:p w:rsidR="00E85B67" w:rsidRPr="001257FE" w:rsidRDefault="00E85B67" w:rsidP="00E85B67">
      <w:pPr>
        <w:spacing w:after="0" w:line="240" w:lineRule="auto"/>
        <w:jc w:val="right"/>
        <w:rPr>
          <w:rFonts w:ascii="Arial" w:eastAsia="Times New Roman" w:hAnsi="Arial" w:cs="Arial"/>
          <w:i/>
          <w:sz w:val="20"/>
          <w:szCs w:val="20"/>
        </w:rPr>
      </w:pPr>
    </w:p>
    <w:p w:rsidR="00BD060A" w:rsidRPr="001257FE" w:rsidRDefault="009E053D" w:rsidP="00BD060A">
      <w:pPr>
        <w:keepNext/>
        <w:spacing w:after="0" w:line="240" w:lineRule="auto"/>
        <w:contextualSpacing/>
        <w:rPr>
          <w:rFonts w:ascii="Arial" w:eastAsia="Times New Roman" w:hAnsi="Arial" w:cs="Arial"/>
          <w:b/>
          <w:caps/>
          <w:sz w:val="24"/>
          <w:szCs w:val="20"/>
        </w:rPr>
      </w:pPr>
      <w:r>
        <w:rPr>
          <w:rFonts w:ascii="Arial" w:eastAsia="Times New Roman" w:hAnsi="Arial" w:cs="Arial"/>
          <w:b/>
          <w:caps/>
          <w:sz w:val="24"/>
          <w:szCs w:val="20"/>
        </w:rPr>
      </w:r>
      <w:r>
        <w:rPr>
          <w:rFonts w:ascii="Arial" w:eastAsia="Times New Roman" w:hAnsi="Arial" w:cs="Arial"/>
          <w:b/>
          <w:caps/>
          <w:sz w:val="24"/>
          <w:szCs w:val="20"/>
        </w:rPr>
        <w:pict>
          <v:shapetype id="_x0000_t32" coordsize="21600,21600" o:spt="32" o:oned="t" path="m,l21600,21600e" filled="f">
            <v:path arrowok="t" fillok="f" o:connecttype="none"/>
            <o:lock v:ext="edit" shapetype="t"/>
          </v:shapetype>
          <v:shape id="_x0000_s1031" type="#_x0000_t32" style="width:450.7pt;height:0;mso-position-horizontal-relative:char;mso-position-vertical-relative:line" o:connectortype="straight" strokeweight="1.5pt">
            <w10:wrap type="none"/>
            <w10:anchorlock/>
          </v:shape>
        </w:pict>
      </w:r>
    </w:p>
    <w:p w:rsidR="00BD060A" w:rsidRPr="001257FE" w:rsidRDefault="00BD060A" w:rsidP="00BD060A">
      <w:pPr>
        <w:keepNext/>
        <w:tabs>
          <w:tab w:val="left" w:pos="3870"/>
        </w:tabs>
        <w:spacing w:after="0" w:line="240" w:lineRule="auto"/>
        <w:contextualSpacing/>
        <w:rPr>
          <w:rFonts w:ascii="Arial" w:eastAsia="Times New Roman" w:hAnsi="Arial" w:cs="Arial"/>
          <w:b/>
          <w:caps/>
          <w:szCs w:val="20"/>
        </w:rPr>
      </w:pPr>
    </w:p>
    <w:p w:rsidR="00BD060A" w:rsidRPr="001257FE" w:rsidRDefault="00BD060A" w:rsidP="00BD060A">
      <w:pPr>
        <w:keepNext/>
        <w:spacing w:after="0" w:line="240" w:lineRule="auto"/>
        <w:contextualSpacing/>
        <w:jc w:val="both"/>
        <w:rPr>
          <w:rFonts w:ascii="Arial" w:eastAsia="Times New Roman" w:hAnsi="Arial" w:cs="Arial"/>
          <w:b/>
          <w:caps/>
          <w:szCs w:val="20"/>
        </w:rPr>
      </w:pPr>
      <w:r w:rsidRPr="001257FE">
        <w:rPr>
          <w:rFonts w:ascii="Arial" w:eastAsia="Times New Roman" w:hAnsi="Arial" w:cs="Arial"/>
          <w:b/>
          <w:caps/>
          <w:szCs w:val="20"/>
        </w:rPr>
        <w:t>ABSTRACT</w:t>
      </w:r>
    </w:p>
    <w:p w:rsidR="00BD060A" w:rsidRPr="001257FE" w:rsidRDefault="00BD060A" w:rsidP="00BD060A">
      <w:pPr>
        <w:keepNext/>
        <w:spacing w:after="0" w:line="240" w:lineRule="auto"/>
        <w:contextualSpacing/>
        <w:rPr>
          <w:rFonts w:ascii="Arial" w:eastAsia="Times New Roman" w:hAnsi="Arial" w:cs="Arial"/>
          <w:b/>
          <w:caps/>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3"/>
      </w:tblGrid>
      <w:tr w:rsidR="00BD060A" w:rsidRPr="001257FE" w:rsidTr="00AC3409">
        <w:trPr>
          <w:jc w:val="center"/>
        </w:trPr>
        <w:tc>
          <w:tcPr>
            <w:tcW w:w="8983" w:type="dxa"/>
            <w:shd w:val="clear" w:color="auto" w:fill="auto"/>
          </w:tcPr>
          <w:p w:rsidR="00E85B67" w:rsidRPr="001257FE" w:rsidRDefault="00E85B67" w:rsidP="00C128F5">
            <w:pPr>
              <w:widowControl w:val="0"/>
              <w:spacing w:after="0" w:line="240" w:lineRule="auto"/>
              <w:contextualSpacing/>
              <w:jc w:val="both"/>
              <w:rPr>
                <w:rFonts w:ascii="Arial" w:eastAsia="Calibri" w:hAnsi="Arial" w:cs="Arial"/>
                <w:sz w:val="20"/>
              </w:rPr>
            </w:pPr>
            <w:r w:rsidRPr="001257FE">
              <w:rPr>
                <w:rFonts w:ascii="Arial" w:eastAsia="Calibri" w:hAnsi="Arial" w:cs="Arial"/>
                <w:b/>
                <w:sz w:val="20"/>
              </w:rPr>
              <w:t>Objective:</w:t>
            </w:r>
            <w:r w:rsidRPr="001257FE">
              <w:rPr>
                <w:rFonts w:ascii="Arial" w:eastAsia="Calibri" w:hAnsi="Arial" w:cs="Arial"/>
                <w:sz w:val="20"/>
              </w:rPr>
              <w:t xml:space="preserve"> This study aims to determine the influence of the contents of compounds and particle size on the functional properties of leaves powders of M. oleifera. </w:t>
            </w:r>
          </w:p>
          <w:p w:rsidR="00E85B67" w:rsidRPr="001257FE" w:rsidRDefault="00E85B67" w:rsidP="00C128F5">
            <w:pPr>
              <w:widowControl w:val="0"/>
              <w:spacing w:after="0" w:line="240" w:lineRule="auto"/>
              <w:contextualSpacing/>
              <w:jc w:val="both"/>
              <w:rPr>
                <w:rFonts w:ascii="Arial" w:eastAsia="Calibri" w:hAnsi="Arial" w:cs="Arial"/>
                <w:sz w:val="20"/>
              </w:rPr>
            </w:pPr>
            <w:r w:rsidRPr="001257FE">
              <w:rPr>
                <w:rFonts w:ascii="Arial" w:eastAsia="Calibri" w:hAnsi="Arial" w:cs="Arial"/>
                <w:b/>
                <w:sz w:val="20"/>
              </w:rPr>
              <w:t>Methodology:</w:t>
            </w:r>
            <w:r w:rsidRPr="001257FE">
              <w:rPr>
                <w:rFonts w:ascii="Arial" w:eastAsia="Calibri" w:hAnsi="Arial" w:cs="Arial"/>
                <w:sz w:val="20"/>
              </w:rPr>
              <w:t xml:space="preserve"> The leaves were collected from three farms in the localities of Mbouda and Maroua and processed in powders. The proximate composition, some functional properties such as particle size, true Water Absorption Capacity (WACt), apparent Water Absorption Capacity (WACa), Water Solubility Index (WSI), Oil Holding Capacity (OHC), and Bulk density were determined. </w:t>
            </w:r>
          </w:p>
          <w:p w:rsidR="00E85B67" w:rsidRPr="001257FE" w:rsidRDefault="00E85B67" w:rsidP="00C128F5">
            <w:pPr>
              <w:widowControl w:val="0"/>
              <w:spacing w:after="0" w:line="240" w:lineRule="auto"/>
              <w:contextualSpacing/>
              <w:jc w:val="both"/>
              <w:rPr>
                <w:rFonts w:ascii="Arial" w:eastAsia="Calibri" w:hAnsi="Arial" w:cs="Arial"/>
                <w:sz w:val="20"/>
              </w:rPr>
            </w:pPr>
            <w:r w:rsidRPr="001257FE">
              <w:rPr>
                <w:rFonts w:ascii="Arial" w:eastAsia="Calibri" w:hAnsi="Arial" w:cs="Arial"/>
                <w:b/>
                <w:sz w:val="20"/>
              </w:rPr>
              <w:t>Results:</w:t>
            </w:r>
            <w:r w:rsidRPr="001257FE">
              <w:rPr>
                <w:rFonts w:ascii="Arial" w:eastAsia="Calibri" w:hAnsi="Arial" w:cs="Arial"/>
                <w:sz w:val="20"/>
              </w:rPr>
              <w:t xml:space="preserve"> The mean contents of young and mature leaves powders are 24.96 ± 0.29 and 23.13 ± 0.50 g/100 DM in total proteins; 34.26 ± 0.52 and 29.11 ± 1.44 g/100g DM in available carbohydrate, 8.34 ± 0.64 and 8.34 ± 0.68 g/100g DM in total lipids, 8.75 ± 0.74 and 9.08 ± 0.48 g/100g DM in total ash, 21.13 ± 1.34 and 27.14 ± 1.04 g/100g DM in total fibers, respectively. The particle size of powders is majority large. The fiber's contents significantly affect the increase of rehydration properties and the OHC, while the large particle size, the density. Values of WACt and WACa are 27.02 ± 0.20 and 32.88 ± 1.24 % in young leaves and 28.98 ± 0.15 and 35.88 ± 1.02 % in mature leaves, respectively. The WSI and OHC are 3.02 ± 0.06 and 257 ± 1% in young leaves and 3.5 ± 0.04 and 261 ± 2 % in mature leaves, respectively. The Bulk density is 0.42 ± 0.01 g/ml in young leaves and 0.39 ± 0.01 in mature leaves. </w:t>
            </w:r>
          </w:p>
          <w:p w:rsidR="003F47A0" w:rsidRPr="001257FE" w:rsidRDefault="00E85B67" w:rsidP="00C128F5">
            <w:pPr>
              <w:widowControl w:val="0"/>
              <w:spacing w:after="0" w:line="240" w:lineRule="auto"/>
              <w:contextualSpacing/>
              <w:jc w:val="both"/>
              <w:rPr>
                <w:rFonts w:ascii="Arial" w:eastAsia="Calibri" w:hAnsi="Arial" w:cs="Arial"/>
                <w:sz w:val="20"/>
              </w:rPr>
            </w:pPr>
            <w:r w:rsidRPr="001257FE">
              <w:rPr>
                <w:rFonts w:ascii="Arial" w:eastAsia="Calibri" w:hAnsi="Arial" w:cs="Arial"/>
                <w:b/>
                <w:sz w:val="20"/>
              </w:rPr>
              <w:t>Conclusion:</w:t>
            </w:r>
            <w:r w:rsidRPr="001257FE">
              <w:rPr>
                <w:rFonts w:ascii="Arial" w:eastAsia="Calibri" w:hAnsi="Arial" w:cs="Arial"/>
                <w:sz w:val="20"/>
              </w:rPr>
              <w:t xml:space="preserve"> Functional properties of M. oleifera leave powders do not always depend on the contents of compounds and particle size distribution. </w:t>
            </w:r>
          </w:p>
          <w:p w:rsidR="00F3582C" w:rsidRPr="001257FE" w:rsidRDefault="00F3582C" w:rsidP="00C128F5">
            <w:pPr>
              <w:widowControl w:val="0"/>
              <w:spacing w:after="0" w:line="240" w:lineRule="auto"/>
              <w:contextualSpacing/>
              <w:jc w:val="both"/>
              <w:rPr>
                <w:rFonts w:ascii="Arial" w:eastAsia="Calibri" w:hAnsi="Arial" w:cs="Arial"/>
              </w:rPr>
            </w:pPr>
          </w:p>
        </w:tc>
      </w:tr>
    </w:tbl>
    <w:p w:rsidR="00D851AD" w:rsidRPr="001257FE" w:rsidRDefault="00D851AD" w:rsidP="00C128F5">
      <w:pPr>
        <w:widowControl w:val="0"/>
        <w:spacing w:after="0" w:line="240" w:lineRule="auto"/>
        <w:ind w:left="1080" w:hanging="1080"/>
        <w:contextualSpacing/>
        <w:jc w:val="both"/>
        <w:rPr>
          <w:rFonts w:ascii="Arial" w:eastAsia="Times New Roman" w:hAnsi="Arial" w:cs="Arial"/>
          <w:i/>
          <w:szCs w:val="20"/>
        </w:rPr>
      </w:pPr>
    </w:p>
    <w:p w:rsidR="00294957" w:rsidRPr="001257FE" w:rsidRDefault="00C17C93" w:rsidP="00C128F5">
      <w:pPr>
        <w:widowControl w:val="0"/>
        <w:spacing w:after="0" w:line="240" w:lineRule="auto"/>
        <w:ind w:left="1080" w:hanging="1080"/>
        <w:contextualSpacing/>
        <w:jc w:val="both"/>
        <w:rPr>
          <w:rFonts w:ascii="Arial" w:eastAsia="Times New Roman" w:hAnsi="Arial" w:cs="Arial"/>
          <w:bCs/>
          <w:i/>
          <w:iCs/>
          <w:sz w:val="20"/>
          <w:szCs w:val="20"/>
        </w:rPr>
      </w:pPr>
      <w:r w:rsidRPr="001257FE">
        <w:rPr>
          <w:rFonts w:ascii="Arial" w:eastAsia="Times New Roman" w:hAnsi="Arial" w:cs="Arial"/>
          <w:i/>
          <w:sz w:val="20"/>
          <w:szCs w:val="20"/>
        </w:rPr>
        <w:t>Keywords:</w:t>
      </w:r>
      <w:r w:rsidRPr="001257FE">
        <w:rPr>
          <w:rFonts w:ascii="Arial" w:eastAsia="Times New Roman" w:hAnsi="Arial" w:cs="Arial"/>
          <w:i/>
          <w:sz w:val="20"/>
          <w:szCs w:val="20"/>
        </w:rPr>
        <w:tab/>
      </w:r>
      <w:r w:rsidR="00E85B67" w:rsidRPr="001257FE">
        <w:rPr>
          <w:rFonts w:ascii="Arial" w:eastAsia="Times New Roman" w:hAnsi="Arial" w:cs="Arial"/>
          <w:bCs/>
          <w:i/>
          <w:iCs/>
          <w:sz w:val="20"/>
          <w:szCs w:val="20"/>
        </w:rPr>
        <w:t>Moringa oleifera leaves powders; contents of the compounds; particle size; functional properties</w:t>
      </w:r>
      <w:r w:rsidR="00F3582C" w:rsidRPr="001257FE">
        <w:rPr>
          <w:rFonts w:ascii="Arial" w:eastAsia="Times New Roman" w:hAnsi="Arial" w:cs="Arial"/>
          <w:bCs/>
          <w:i/>
          <w:iCs/>
          <w:sz w:val="20"/>
          <w:szCs w:val="20"/>
        </w:rPr>
        <w:t>.</w:t>
      </w:r>
    </w:p>
    <w:p w:rsidR="00C128F5" w:rsidRPr="001257FE" w:rsidRDefault="00C128F5" w:rsidP="00C128F5">
      <w:pPr>
        <w:widowControl w:val="0"/>
        <w:spacing w:after="0" w:line="240" w:lineRule="auto"/>
        <w:ind w:left="1080" w:hanging="1080"/>
        <w:contextualSpacing/>
        <w:jc w:val="both"/>
        <w:rPr>
          <w:rFonts w:ascii="Arial" w:hAnsi="Arial" w:cs="Arial"/>
          <w:b/>
          <w:caps/>
        </w:rPr>
      </w:pPr>
    </w:p>
    <w:p w:rsidR="00C128F5" w:rsidRPr="001257FE" w:rsidRDefault="00C128F5" w:rsidP="00C128F5">
      <w:pPr>
        <w:widowControl w:val="0"/>
        <w:spacing w:after="0" w:line="240" w:lineRule="auto"/>
        <w:ind w:left="1080" w:hanging="1080"/>
        <w:contextualSpacing/>
        <w:jc w:val="both"/>
        <w:rPr>
          <w:rFonts w:ascii="Arial" w:hAnsi="Arial" w:cs="Arial"/>
          <w:b/>
          <w:caps/>
        </w:rPr>
        <w:sectPr w:rsidR="00C128F5" w:rsidRPr="001257FE" w:rsidSect="00FA3A14">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440" w:bottom="1440" w:left="1440" w:header="720" w:footer="864" w:gutter="0"/>
          <w:pgNumType w:start="60"/>
          <w:cols w:space="720"/>
          <w:titlePg/>
          <w:docGrid w:linePitch="360"/>
        </w:sectPr>
      </w:pPr>
    </w:p>
    <w:p w:rsidR="005F2CF5" w:rsidRPr="001257FE" w:rsidRDefault="005F2CF5" w:rsidP="00C128F5">
      <w:pPr>
        <w:widowControl w:val="0"/>
        <w:spacing w:after="0" w:line="240" w:lineRule="auto"/>
        <w:ind w:left="1080" w:hanging="1080"/>
        <w:contextualSpacing/>
        <w:jc w:val="both"/>
        <w:rPr>
          <w:rFonts w:ascii="Arial" w:hAnsi="Arial" w:cs="Arial"/>
          <w:b/>
        </w:rPr>
      </w:pPr>
      <w:r w:rsidRPr="001257FE">
        <w:rPr>
          <w:rFonts w:ascii="Arial" w:hAnsi="Arial" w:cs="Arial"/>
          <w:b/>
          <w:caps/>
        </w:rPr>
        <w:lastRenderedPageBreak/>
        <w:t xml:space="preserve">1. </w:t>
      </w:r>
      <w:r w:rsidRPr="001257FE">
        <w:rPr>
          <w:rFonts w:ascii="Arial" w:hAnsi="Arial" w:cs="Arial"/>
          <w:b/>
        </w:rPr>
        <w:t>INTRODUCTION</w:t>
      </w:r>
    </w:p>
    <w:p w:rsidR="005F2CF5" w:rsidRPr="001257FE" w:rsidRDefault="005F2CF5" w:rsidP="00C128F5">
      <w:pPr>
        <w:pStyle w:val="ReferHead"/>
        <w:keepNext w:val="0"/>
        <w:widowControl w:val="0"/>
        <w:spacing w:after="0"/>
        <w:rPr>
          <w:rFonts w:ascii="Arial" w:hAnsi="Arial" w:cs="Arial"/>
          <w:b w:val="0"/>
          <w:caps w:val="0"/>
          <w:sz w:val="20"/>
        </w:rPr>
      </w:pPr>
    </w:p>
    <w:p w:rsidR="00E85B67" w:rsidRPr="001257FE" w:rsidRDefault="00D361C0" w:rsidP="00C128F5">
      <w:pPr>
        <w:pStyle w:val="ReferHead"/>
        <w:keepNext w:val="0"/>
        <w:widowControl w:val="0"/>
        <w:spacing w:after="0"/>
        <w:jc w:val="both"/>
        <w:rPr>
          <w:rFonts w:ascii="Arial" w:hAnsi="Arial" w:cs="Arial"/>
          <w:b w:val="0"/>
          <w:caps w:val="0"/>
          <w:sz w:val="20"/>
        </w:rPr>
      </w:pPr>
      <w:r w:rsidRPr="001257FE">
        <w:rPr>
          <w:rFonts w:ascii="Arial" w:eastAsiaTheme="minorEastAsia" w:hAnsi="Arial" w:cs="Arial"/>
          <w:b w:val="0"/>
          <w:caps w:val="0"/>
          <w:sz w:val="20"/>
          <w:szCs w:val="22"/>
        </w:rPr>
        <w:t>The powders rich in starch have been since many decades studied about their functional properties following their different utilization methods [</w:t>
      </w:r>
      <w:r w:rsidR="00F1205C" w:rsidRPr="001257FE">
        <w:rPr>
          <w:rFonts w:ascii="Arial" w:eastAsiaTheme="minorEastAsia" w:hAnsi="Arial" w:cs="Arial"/>
          <w:b w:val="0"/>
          <w:caps w:val="0"/>
          <w:sz w:val="20"/>
          <w:szCs w:val="22"/>
        </w:rPr>
        <w:t>1,2,</w:t>
      </w:r>
      <w:r w:rsidRPr="001257FE">
        <w:rPr>
          <w:rFonts w:ascii="Arial" w:eastAsiaTheme="minorEastAsia" w:hAnsi="Arial" w:cs="Arial"/>
          <w:b w:val="0"/>
          <w:caps w:val="0"/>
          <w:sz w:val="20"/>
          <w:szCs w:val="22"/>
        </w:rPr>
        <w:t xml:space="preserve">3]. Many authors have reported the influence of </w:t>
      </w:r>
      <w:commentRangeStart w:id="3"/>
      <w:r w:rsidRPr="001257FE">
        <w:rPr>
          <w:rFonts w:ascii="Arial" w:eastAsiaTheme="minorEastAsia" w:hAnsi="Arial" w:cs="Arial"/>
          <w:b w:val="0"/>
          <w:caps w:val="0"/>
          <w:sz w:val="20"/>
          <w:szCs w:val="22"/>
        </w:rPr>
        <w:t>particle</w:t>
      </w:r>
      <w:commentRangeEnd w:id="3"/>
      <w:r w:rsidR="00582E80">
        <w:rPr>
          <w:rStyle w:val="CommentReference"/>
          <w:rFonts w:asciiTheme="minorHAnsi" w:eastAsiaTheme="minorEastAsia" w:hAnsiTheme="minorHAnsi" w:cstheme="minorBidi"/>
          <w:b w:val="0"/>
          <w:caps w:val="0"/>
        </w:rPr>
        <w:commentReference w:id="3"/>
      </w:r>
      <w:r w:rsidRPr="001257FE">
        <w:rPr>
          <w:rFonts w:ascii="Arial" w:eastAsiaTheme="minorEastAsia" w:hAnsi="Arial" w:cs="Arial"/>
          <w:b w:val="0"/>
          <w:caps w:val="0"/>
          <w:sz w:val="20"/>
          <w:szCs w:val="22"/>
        </w:rPr>
        <w:t xml:space="preserve"> </w:t>
      </w:r>
      <w:commentRangeStart w:id="4"/>
      <w:r w:rsidRPr="001257FE">
        <w:rPr>
          <w:rFonts w:ascii="Arial" w:eastAsiaTheme="minorEastAsia" w:hAnsi="Arial" w:cs="Arial"/>
          <w:b w:val="0"/>
          <w:caps w:val="0"/>
          <w:sz w:val="20"/>
          <w:szCs w:val="22"/>
        </w:rPr>
        <w:t>size</w:t>
      </w:r>
      <w:commentRangeEnd w:id="4"/>
      <w:r w:rsidR="00582E80">
        <w:rPr>
          <w:rStyle w:val="CommentReference"/>
          <w:rFonts w:asciiTheme="minorHAnsi" w:eastAsiaTheme="minorEastAsia" w:hAnsiTheme="minorHAnsi" w:cstheme="minorBidi"/>
          <w:b w:val="0"/>
          <w:caps w:val="0"/>
        </w:rPr>
        <w:commentReference w:id="4"/>
      </w:r>
      <w:r w:rsidRPr="001257FE">
        <w:rPr>
          <w:rFonts w:ascii="Arial" w:eastAsiaTheme="minorEastAsia" w:hAnsi="Arial" w:cs="Arial"/>
          <w:b w:val="0"/>
          <w:caps w:val="0"/>
          <w:sz w:val="20"/>
          <w:szCs w:val="22"/>
        </w:rPr>
        <w:t>, amino acid profile, protein, and fiber contents of those powders on their behavior in the formulations of several foods (sausage, cake, salads, biscuits, composite flours) [</w:t>
      </w:r>
      <w:r w:rsidR="00F1205C" w:rsidRPr="001257FE">
        <w:rPr>
          <w:rFonts w:ascii="Arial" w:eastAsiaTheme="minorEastAsia" w:hAnsi="Arial" w:cs="Arial"/>
          <w:b w:val="0"/>
          <w:caps w:val="0"/>
          <w:sz w:val="20"/>
          <w:szCs w:val="22"/>
        </w:rPr>
        <w:t>3,</w:t>
      </w:r>
      <w:r w:rsidRPr="001257FE">
        <w:rPr>
          <w:rFonts w:ascii="Arial" w:eastAsiaTheme="minorEastAsia" w:hAnsi="Arial" w:cs="Arial"/>
          <w:b w:val="0"/>
          <w:caps w:val="0"/>
          <w:sz w:val="20"/>
          <w:szCs w:val="22"/>
        </w:rPr>
        <w:t>4]. However, other powders non-starch such as leafy vegetables contains also the high contents of those compounds whose functional properties are appreciated highly in the foods formulations. The Moringa oleifera is a tree native to Asia and widely cultivated in sub-Saharan Africa and all Cameroon regions [5]. The leaves of that shrub do not contain starch but are a good protein source and bioactive [</w:t>
      </w:r>
      <w:r w:rsidR="00F1205C" w:rsidRPr="001257FE">
        <w:rPr>
          <w:rFonts w:ascii="Arial" w:eastAsiaTheme="minorEastAsia" w:hAnsi="Arial" w:cs="Arial"/>
          <w:b w:val="0"/>
          <w:caps w:val="0"/>
          <w:sz w:val="20"/>
          <w:szCs w:val="22"/>
        </w:rPr>
        <w:t>5,</w:t>
      </w:r>
      <w:r w:rsidRPr="001257FE">
        <w:rPr>
          <w:rFonts w:ascii="Arial" w:eastAsiaTheme="minorEastAsia" w:hAnsi="Arial" w:cs="Arial"/>
          <w:b w:val="0"/>
          <w:caps w:val="0"/>
          <w:sz w:val="20"/>
          <w:szCs w:val="22"/>
        </w:rPr>
        <w:t xml:space="preserve">6]. Their nutritional and medicinal potential have recently appeal to the attention of various </w:t>
      </w:r>
      <w:r w:rsidRPr="001257FE">
        <w:rPr>
          <w:rFonts w:ascii="Arial" w:eastAsiaTheme="minorEastAsia" w:hAnsi="Arial" w:cs="Arial"/>
          <w:b w:val="0"/>
          <w:caps w:val="0"/>
          <w:sz w:val="20"/>
          <w:szCs w:val="22"/>
        </w:rPr>
        <w:lastRenderedPageBreak/>
        <w:t xml:space="preserve">researchers and industries worldwide [7,8]. Processed to the powders, that leafy vegetable is incorporated like the powders rich in starch, in the cakes, salads, biscuits, and composite flours for their high contents in proteins, fibers, and bioactive compounds to benefit their functional properties. Zhu et al. [9] report the total fiber role in the lower blood cholesterol and control blood glucose, and their ability like the proteins, to increase the rehydration properties of powders (Water Absorption Capacity, Water Solubility Index) and Oil Holding Capacity. Huang et al. [10] mention that the particle size of the powders significantly affects the hydrophilic and lipophilic properties of fibers and proteins, while Deli et al. [11] report that particle size affects the contents of compounds and rehydration properties of leafy vegetable powders. The particle size influences the packaging of powders and could affect their handling, transportation, and conservation. From the above, two main interrogations emerge: Does </w:t>
      </w:r>
      <w:r w:rsidRPr="001257FE">
        <w:rPr>
          <w:rFonts w:ascii="Arial" w:eastAsiaTheme="minorEastAsia" w:hAnsi="Arial" w:cs="Arial"/>
          <w:b w:val="0"/>
          <w:caps w:val="0"/>
          <w:sz w:val="20"/>
          <w:szCs w:val="22"/>
        </w:rPr>
        <w:lastRenderedPageBreak/>
        <w:t xml:space="preserve">interest given to the functional properties of powders depend on the contents of these compounds only? What correlations exist between those compounds contents and the functional properties of powders before any interest? Few authors reported the answers to those questions before going deeply into their analysis. Particularly those working on M. oleifera leaves powders. Thus, to answers those questions, the present study aims to determine the influence of the contents of compounds and particle size on the functional properties of M. oleifera leaves powders. </w:t>
      </w:r>
    </w:p>
    <w:p w:rsidR="00D361C0" w:rsidRPr="001257FE" w:rsidRDefault="00D361C0" w:rsidP="00C128F5">
      <w:pPr>
        <w:pStyle w:val="ReferHead"/>
        <w:keepNext w:val="0"/>
        <w:widowControl w:val="0"/>
        <w:spacing w:after="0"/>
        <w:jc w:val="both"/>
        <w:rPr>
          <w:rFonts w:ascii="Arial" w:hAnsi="Arial" w:cs="Arial"/>
          <w:b w:val="0"/>
          <w:caps w:val="0"/>
        </w:rPr>
      </w:pPr>
    </w:p>
    <w:p w:rsidR="00E85B67" w:rsidRPr="001257FE" w:rsidRDefault="00C128F5" w:rsidP="00C128F5">
      <w:pPr>
        <w:pStyle w:val="ReferHead"/>
        <w:keepNext w:val="0"/>
        <w:widowControl w:val="0"/>
        <w:spacing w:after="0"/>
        <w:jc w:val="both"/>
        <w:rPr>
          <w:rFonts w:ascii="Arial" w:hAnsi="Arial" w:cs="Arial"/>
          <w:caps w:val="0"/>
        </w:rPr>
      </w:pPr>
      <w:r w:rsidRPr="001257FE">
        <w:rPr>
          <w:rFonts w:ascii="Arial" w:hAnsi="Arial" w:cs="Arial"/>
          <w:caps w:val="0"/>
        </w:rPr>
        <w:t xml:space="preserve">2. </w:t>
      </w:r>
      <w:r w:rsidR="00E85B67" w:rsidRPr="001257FE">
        <w:rPr>
          <w:rFonts w:ascii="Arial" w:hAnsi="Arial" w:cs="Arial"/>
          <w:caps w:val="0"/>
        </w:rPr>
        <w:t>MATERIALS AND METHODS</w:t>
      </w:r>
    </w:p>
    <w:p w:rsidR="00E85B67" w:rsidRPr="001257FE" w:rsidRDefault="00E85B67" w:rsidP="00C128F5">
      <w:pPr>
        <w:pStyle w:val="ReferHead"/>
        <w:keepNext w:val="0"/>
        <w:widowControl w:val="0"/>
        <w:spacing w:after="0"/>
        <w:jc w:val="both"/>
        <w:rPr>
          <w:rFonts w:ascii="Arial" w:hAnsi="Arial" w:cs="Arial"/>
          <w:b w:val="0"/>
          <w:caps w:val="0"/>
        </w:rPr>
      </w:pPr>
    </w:p>
    <w:p w:rsidR="00E85B67" w:rsidRPr="001257FE" w:rsidRDefault="00E85B67" w:rsidP="00C128F5">
      <w:pPr>
        <w:pStyle w:val="ReferHead"/>
        <w:keepNext w:val="0"/>
        <w:widowControl w:val="0"/>
        <w:spacing w:after="0"/>
        <w:jc w:val="both"/>
        <w:rPr>
          <w:rFonts w:ascii="Arial" w:hAnsi="Arial" w:cs="Arial"/>
          <w:caps w:val="0"/>
        </w:rPr>
      </w:pPr>
      <w:r w:rsidRPr="001257FE">
        <w:rPr>
          <w:rFonts w:ascii="Arial" w:hAnsi="Arial" w:cs="Arial"/>
          <w:caps w:val="0"/>
        </w:rPr>
        <w:t xml:space="preserve">2.1 Sampling </w:t>
      </w:r>
    </w:p>
    <w:p w:rsidR="00E85B67" w:rsidRPr="001257FE" w:rsidRDefault="00E85B67" w:rsidP="00C128F5">
      <w:pPr>
        <w:pStyle w:val="ReferHead"/>
        <w:keepNext w:val="0"/>
        <w:widowControl w:val="0"/>
        <w:spacing w:after="0"/>
        <w:jc w:val="both"/>
        <w:rPr>
          <w:rFonts w:ascii="Arial" w:hAnsi="Arial" w:cs="Arial"/>
          <w:b w:val="0"/>
          <w:caps w:val="0"/>
        </w:rPr>
      </w:pPr>
    </w:p>
    <w:p w:rsidR="00E85B67" w:rsidRPr="001257FE" w:rsidRDefault="00E85B67" w:rsidP="00A009BC">
      <w:pPr>
        <w:pStyle w:val="ReferHead"/>
        <w:keepNext w:val="0"/>
        <w:widowControl w:val="0"/>
        <w:spacing w:after="0"/>
        <w:jc w:val="both"/>
        <w:rPr>
          <w:rFonts w:ascii="Arial" w:hAnsi="Arial" w:cs="Arial"/>
          <w:b w:val="0"/>
          <w:caps w:val="0"/>
          <w:sz w:val="20"/>
        </w:rPr>
      </w:pPr>
      <w:r w:rsidRPr="001257FE">
        <w:rPr>
          <w:rFonts w:ascii="Arial" w:hAnsi="Arial" w:cs="Arial"/>
          <w:b w:val="0"/>
          <w:caps w:val="0"/>
          <w:sz w:val="20"/>
        </w:rPr>
        <w:t>Young (bright green colored leaves at the apex of the branch) and mature (dark green-colored leaves at the base of the branch) leaves o</w:t>
      </w:r>
      <w:commentRangeStart w:id="5"/>
      <w:r w:rsidRPr="001257FE">
        <w:rPr>
          <w:rFonts w:ascii="Arial" w:hAnsi="Arial" w:cs="Arial"/>
          <w:b w:val="0"/>
          <w:caps w:val="0"/>
          <w:sz w:val="20"/>
        </w:rPr>
        <w:t>fMoringa oleifera</w:t>
      </w:r>
      <w:commentRangeEnd w:id="5"/>
      <w:r w:rsidR="00582E80">
        <w:rPr>
          <w:rStyle w:val="CommentReference"/>
          <w:rFonts w:asciiTheme="minorHAnsi" w:eastAsiaTheme="minorEastAsia" w:hAnsiTheme="minorHAnsi" w:cstheme="minorBidi"/>
          <w:b w:val="0"/>
          <w:caps w:val="0"/>
        </w:rPr>
        <w:commentReference w:id="5"/>
      </w:r>
      <w:r w:rsidRPr="001257FE">
        <w:rPr>
          <w:rFonts w:ascii="Arial" w:hAnsi="Arial" w:cs="Arial"/>
          <w:b w:val="0"/>
          <w:caps w:val="0"/>
          <w:sz w:val="20"/>
        </w:rPr>
        <w:t xml:space="preserve"> trees (3 to 4 years) were collected from three farms, well-kept (irrigate, weed) and without fertilizer application, in the localities of Mbouda (West Region, Cameroon) and Maroua (Far North Region, Cameroon) for the constant of farmers in the maintenance of farms.</w:t>
      </w:r>
    </w:p>
    <w:p w:rsidR="00E85B67" w:rsidRPr="001257FE" w:rsidRDefault="00E85B67" w:rsidP="00A009BC">
      <w:pPr>
        <w:pStyle w:val="ReferHead"/>
        <w:keepNext w:val="0"/>
        <w:widowControl w:val="0"/>
        <w:spacing w:after="0"/>
        <w:jc w:val="both"/>
        <w:rPr>
          <w:rFonts w:ascii="Arial" w:hAnsi="Arial" w:cs="Arial"/>
          <w:b w:val="0"/>
          <w:caps w:val="0"/>
          <w:sz w:val="24"/>
        </w:rPr>
      </w:pPr>
    </w:p>
    <w:p w:rsidR="00E85B67" w:rsidRPr="001257FE" w:rsidRDefault="00E85B67" w:rsidP="00A009BC">
      <w:pPr>
        <w:pStyle w:val="ReferHead"/>
        <w:keepNext w:val="0"/>
        <w:widowControl w:val="0"/>
        <w:spacing w:after="0"/>
        <w:jc w:val="both"/>
        <w:rPr>
          <w:rFonts w:ascii="Arial" w:hAnsi="Arial" w:cs="Arial"/>
          <w:caps w:val="0"/>
        </w:rPr>
      </w:pPr>
      <w:r w:rsidRPr="001257FE">
        <w:rPr>
          <w:rFonts w:ascii="Arial" w:hAnsi="Arial" w:cs="Arial"/>
          <w:caps w:val="0"/>
        </w:rPr>
        <w:t xml:space="preserve">2.2 Preparation of Powders </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E85B67" w:rsidP="00A009BC">
      <w:pPr>
        <w:pStyle w:val="ReferHead"/>
        <w:keepNext w:val="0"/>
        <w:widowControl w:val="0"/>
        <w:spacing w:after="0"/>
        <w:jc w:val="both"/>
        <w:rPr>
          <w:rFonts w:ascii="Arial" w:hAnsi="Arial" w:cs="Arial"/>
          <w:b w:val="0"/>
          <w:caps w:val="0"/>
          <w:sz w:val="20"/>
        </w:rPr>
      </w:pPr>
      <w:r w:rsidRPr="001257FE">
        <w:rPr>
          <w:rFonts w:ascii="Arial" w:hAnsi="Arial" w:cs="Arial"/>
          <w:b w:val="0"/>
          <w:caps w:val="0"/>
          <w:sz w:val="20"/>
        </w:rPr>
        <w:t xml:space="preserve">After harvesting, leaflets were detached from the leaf, washed with clean water and dried at 55°C in an electric dryer (Riviera &amp; Bar QD105A, Paris, France) for 5 hours. The dried leaves were ground (Zaiba ZB-2225, China) and sieved through a 1mm mesh sieve to obtain a powder. The powders were then stored in airtight bottles at 4°C before analysis. </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7E42BB" w:rsidP="00A009BC">
      <w:pPr>
        <w:pStyle w:val="ReferHead"/>
        <w:keepNext w:val="0"/>
        <w:widowControl w:val="0"/>
        <w:spacing w:after="0"/>
        <w:jc w:val="both"/>
        <w:rPr>
          <w:rFonts w:ascii="Arial" w:hAnsi="Arial" w:cs="Arial"/>
          <w:caps w:val="0"/>
        </w:rPr>
      </w:pPr>
      <w:r w:rsidRPr="001257FE">
        <w:rPr>
          <w:rFonts w:ascii="Arial" w:hAnsi="Arial" w:cs="Arial"/>
          <w:caps w:val="0"/>
        </w:rPr>
        <w:t xml:space="preserve">2.3 </w:t>
      </w:r>
      <w:r w:rsidR="00E85B67" w:rsidRPr="001257FE">
        <w:rPr>
          <w:rFonts w:ascii="Arial" w:hAnsi="Arial" w:cs="Arial"/>
          <w:caps w:val="0"/>
        </w:rPr>
        <w:t>Proximate Composition Evaluation</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E85B67" w:rsidP="00A009BC">
      <w:pPr>
        <w:pStyle w:val="ReferHead"/>
        <w:keepNext w:val="0"/>
        <w:widowControl w:val="0"/>
        <w:spacing w:after="0"/>
        <w:jc w:val="both"/>
        <w:rPr>
          <w:rFonts w:ascii="Arial" w:hAnsi="Arial" w:cs="Arial"/>
          <w:b w:val="0"/>
          <w:caps w:val="0"/>
          <w:sz w:val="20"/>
        </w:rPr>
      </w:pPr>
      <w:r w:rsidRPr="001257FE">
        <w:rPr>
          <w:rFonts w:ascii="Arial" w:hAnsi="Arial" w:cs="Arial"/>
          <w:b w:val="0"/>
          <w:caps w:val="0"/>
          <w:sz w:val="20"/>
        </w:rPr>
        <w:t xml:space="preserve">The </w:t>
      </w:r>
      <w:commentRangeStart w:id="6"/>
      <w:r w:rsidRPr="001257FE">
        <w:rPr>
          <w:rFonts w:ascii="Arial" w:hAnsi="Arial" w:cs="Arial"/>
          <w:b w:val="0"/>
          <w:caps w:val="0"/>
          <w:sz w:val="20"/>
        </w:rPr>
        <w:t>M. oleifera</w:t>
      </w:r>
      <w:commentRangeEnd w:id="6"/>
      <w:r w:rsidR="00582E80">
        <w:rPr>
          <w:rStyle w:val="CommentReference"/>
          <w:rFonts w:asciiTheme="minorHAnsi" w:eastAsiaTheme="minorEastAsia" w:hAnsiTheme="minorHAnsi" w:cstheme="minorBidi"/>
          <w:b w:val="0"/>
          <w:caps w:val="0"/>
        </w:rPr>
        <w:commentReference w:id="6"/>
      </w:r>
      <w:r w:rsidRPr="001257FE">
        <w:rPr>
          <w:rFonts w:ascii="Arial" w:hAnsi="Arial" w:cs="Arial"/>
          <w:b w:val="0"/>
          <w:caps w:val="0"/>
          <w:sz w:val="20"/>
        </w:rPr>
        <w:t xml:space="preserve"> leaves powders were analyzed for moisture, protein, lipid, and ash contents using Helrich [12] methods. Available sugars were determined according to Fischer and Stein [13] following acid hydrolysis of samples. Total fibers were determined by the method described by Wolf [14] with little modifications. The method consists in treating 5 g of powder by boiling in sulphuric acid, and then in sodium hydroxide. The residue obtained is then dried, then burned and weighed. </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F3582C" w:rsidP="00A009BC">
      <w:pPr>
        <w:pStyle w:val="ReferHead"/>
        <w:keepNext w:val="0"/>
        <w:widowControl w:val="0"/>
        <w:spacing w:after="0"/>
        <w:ind w:left="360" w:hanging="360"/>
        <w:jc w:val="both"/>
        <w:rPr>
          <w:rFonts w:ascii="Arial" w:hAnsi="Arial" w:cs="Arial"/>
          <w:caps w:val="0"/>
        </w:rPr>
      </w:pPr>
      <w:r w:rsidRPr="001257FE">
        <w:rPr>
          <w:rFonts w:ascii="Arial" w:hAnsi="Arial" w:cs="Arial"/>
          <w:caps w:val="0"/>
        </w:rPr>
        <w:t>2.4</w:t>
      </w:r>
      <w:r w:rsidRPr="001257FE">
        <w:rPr>
          <w:rFonts w:ascii="Arial" w:hAnsi="Arial" w:cs="Arial"/>
          <w:caps w:val="0"/>
        </w:rPr>
        <w:tab/>
      </w:r>
      <w:r w:rsidR="00E85B67" w:rsidRPr="001257FE">
        <w:rPr>
          <w:rFonts w:ascii="Arial" w:hAnsi="Arial" w:cs="Arial"/>
          <w:caps w:val="0"/>
        </w:rPr>
        <w:t xml:space="preserve">Determination of Some Functional Properties </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E85B67" w:rsidP="00A009BC">
      <w:pPr>
        <w:pStyle w:val="ReferHead"/>
        <w:keepNext w:val="0"/>
        <w:widowControl w:val="0"/>
        <w:spacing w:after="0"/>
        <w:jc w:val="both"/>
        <w:rPr>
          <w:rFonts w:ascii="Arial" w:hAnsi="Arial" w:cs="Arial"/>
          <w:caps w:val="0"/>
          <w:sz w:val="20"/>
        </w:rPr>
      </w:pPr>
      <w:r w:rsidRPr="001257FE">
        <w:rPr>
          <w:rFonts w:ascii="Arial" w:hAnsi="Arial" w:cs="Arial"/>
          <w:caps w:val="0"/>
          <w:sz w:val="20"/>
        </w:rPr>
        <w:t>2.4.1 Particle size distribution evaluation</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E85B67" w:rsidP="00A009BC">
      <w:pPr>
        <w:pStyle w:val="ReferHead"/>
        <w:keepNext w:val="0"/>
        <w:widowControl w:val="0"/>
        <w:spacing w:after="0"/>
        <w:jc w:val="both"/>
        <w:rPr>
          <w:rFonts w:ascii="Arial" w:hAnsi="Arial" w:cs="Arial"/>
          <w:b w:val="0"/>
          <w:caps w:val="0"/>
          <w:sz w:val="20"/>
        </w:rPr>
      </w:pPr>
      <w:r w:rsidRPr="001257FE">
        <w:rPr>
          <w:rFonts w:ascii="Arial" w:hAnsi="Arial" w:cs="Arial"/>
          <w:b w:val="0"/>
          <w:caps w:val="0"/>
          <w:sz w:val="20"/>
        </w:rPr>
        <w:t xml:space="preserve">The particle size distribution of M. oleifera leaves powders was determined after sieving. A column of AFNOR brand sieve of decreasing size (40, 50, 100, 125, 200, 250, 400, 500, 710, 800, 1000 µm) up to the collector used to study the particle size distribution of the powders [15]. 44 g (M1) of sample is placed on top of the sieve stack and submitted to the vibration of 50 Hz for 15 min on a vibrator of the Merck type. The particles of dimensions smaller than the mesh of the sieve pass through (Mi) while those of larger dimensions are retained (Mj). Each of these fractions is weighed with a view to determining the </w:t>
      </w:r>
      <w:commentRangeStart w:id="7"/>
      <w:r w:rsidRPr="001257FE">
        <w:rPr>
          <w:rFonts w:ascii="Arial" w:hAnsi="Arial" w:cs="Arial"/>
          <w:b w:val="0"/>
          <w:caps w:val="0"/>
          <w:sz w:val="20"/>
        </w:rPr>
        <w:t>particle</w:t>
      </w:r>
      <w:commentRangeEnd w:id="7"/>
      <w:r w:rsidR="0094536A">
        <w:rPr>
          <w:rStyle w:val="CommentReference"/>
          <w:rFonts w:asciiTheme="minorHAnsi" w:eastAsiaTheme="minorEastAsia" w:hAnsiTheme="minorHAnsi" w:cstheme="minorBidi"/>
          <w:b w:val="0"/>
          <w:caps w:val="0"/>
        </w:rPr>
        <w:commentReference w:id="7"/>
      </w:r>
      <w:r w:rsidRPr="001257FE">
        <w:rPr>
          <w:rFonts w:ascii="Arial" w:hAnsi="Arial" w:cs="Arial"/>
          <w:b w:val="0"/>
          <w:caps w:val="0"/>
          <w:sz w:val="20"/>
        </w:rPr>
        <w:t xml:space="preserve"> </w:t>
      </w:r>
      <w:commentRangeStart w:id="8"/>
      <w:r w:rsidRPr="001257FE">
        <w:rPr>
          <w:rFonts w:ascii="Arial" w:hAnsi="Arial" w:cs="Arial"/>
          <w:b w:val="0"/>
          <w:caps w:val="0"/>
          <w:sz w:val="20"/>
        </w:rPr>
        <w:t>size</w:t>
      </w:r>
      <w:commentRangeEnd w:id="8"/>
      <w:r w:rsidR="0094536A">
        <w:rPr>
          <w:rStyle w:val="CommentReference"/>
          <w:rFonts w:asciiTheme="minorHAnsi" w:eastAsiaTheme="minorEastAsia" w:hAnsiTheme="minorHAnsi" w:cstheme="minorBidi"/>
          <w:b w:val="0"/>
          <w:caps w:val="0"/>
        </w:rPr>
        <w:commentReference w:id="8"/>
      </w:r>
      <w:r w:rsidRPr="001257FE">
        <w:rPr>
          <w:rFonts w:ascii="Arial" w:hAnsi="Arial" w:cs="Arial"/>
          <w:b w:val="0"/>
          <w:caps w:val="0"/>
          <w:sz w:val="20"/>
        </w:rPr>
        <w:t xml:space="preserve"> </w:t>
      </w:r>
      <w:commentRangeStart w:id="9"/>
      <w:r w:rsidRPr="001257FE">
        <w:rPr>
          <w:rFonts w:ascii="Arial" w:hAnsi="Arial" w:cs="Arial"/>
          <w:b w:val="0"/>
          <w:caps w:val="0"/>
          <w:sz w:val="20"/>
        </w:rPr>
        <w:t>distribution</w:t>
      </w:r>
      <w:commentRangeEnd w:id="9"/>
      <w:r w:rsidR="0094536A">
        <w:rPr>
          <w:rStyle w:val="CommentReference"/>
          <w:rFonts w:asciiTheme="minorHAnsi" w:eastAsiaTheme="minorEastAsia" w:hAnsiTheme="minorHAnsi" w:cstheme="minorBidi"/>
          <w:b w:val="0"/>
          <w:caps w:val="0"/>
        </w:rPr>
        <w:commentReference w:id="9"/>
      </w:r>
      <w:r w:rsidRPr="001257FE">
        <w:rPr>
          <w:rFonts w:ascii="Arial" w:hAnsi="Arial" w:cs="Arial"/>
          <w:b w:val="0"/>
          <w:caps w:val="0"/>
          <w:sz w:val="20"/>
        </w:rPr>
        <w:t xml:space="preserve"> (Rp). For each sample and depending on the sieve, it’s expressed as follows: </w:t>
      </w:r>
    </w:p>
    <w:p w:rsidR="00F3582C" w:rsidRPr="001257FE" w:rsidRDefault="00F3582C" w:rsidP="00A009BC">
      <w:pPr>
        <w:pStyle w:val="ReferHead"/>
        <w:keepNext w:val="0"/>
        <w:widowControl w:val="0"/>
        <w:spacing w:after="0"/>
        <w:jc w:val="both"/>
        <w:rPr>
          <w:rFonts w:ascii="Arial" w:hAnsi="Arial" w:cs="Arial"/>
          <w:b w:val="0"/>
          <w:caps w:val="0"/>
          <w:sz w:val="20"/>
        </w:rPr>
      </w:pPr>
    </w:p>
    <w:p w:rsidR="00E85B67" w:rsidRPr="001257FE" w:rsidRDefault="00550A57" w:rsidP="006822AA">
      <w:pPr>
        <w:pStyle w:val="ReferHead"/>
        <w:keepNext w:val="0"/>
        <w:widowControl w:val="0"/>
        <w:spacing w:after="0"/>
        <w:ind w:left="360"/>
        <w:jc w:val="right"/>
        <w:rPr>
          <w:rFonts w:ascii="Arial" w:hAnsi="Arial" w:cs="Arial"/>
          <w:b w:val="0"/>
          <w:caps w:val="0"/>
          <w:sz w:val="20"/>
        </w:rPr>
      </w:pPr>
      <w:r w:rsidRPr="001257FE">
        <w:rPr>
          <w:rFonts w:ascii="Arial" w:hAnsi="Arial" w:cs="Arial"/>
          <w:b w:val="0"/>
          <w:caps w:val="0"/>
          <w:sz w:val="20"/>
        </w:rPr>
        <w:t>R</w:t>
      </w:r>
      <w:r w:rsidRPr="001257FE">
        <w:rPr>
          <w:rFonts w:ascii="Arial" w:hAnsi="Arial" w:cs="Arial"/>
          <w:b w:val="0"/>
          <w:caps w:val="0"/>
          <w:sz w:val="20"/>
          <w:vertAlign w:val="subscript"/>
        </w:rPr>
        <w:t>p</w:t>
      </w:r>
      <w:r w:rsidRPr="001257FE">
        <w:rPr>
          <w:rFonts w:ascii="Arial" w:hAnsi="Arial" w:cs="Arial"/>
          <w:b w:val="0"/>
          <w:caps w:val="0"/>
          <w:sz w:val="20"/>
        </w:rPr>
        <w:t>= (M</w:t>
      </w:r>
      <w:r w:rsidRPr="001257FE">
        <w:rPr>
          <w:rFonts w:ascii="Arial" w:hAnsi="Arial" w:cs="Arial"/>
          <w:b w:val="0"/>
          <w:caps w:val="0"/>
          <w:sz w:val="20"/>
          <w:vertAlign w:val="subscript"/>
        </w:rPr>
        <w:t>i</w:t>
      </w:r>
      <w:r w:rsidRPr="001257FE">
        <w:rPr>
          <w:rFonts w:ascii="Arial" w:hAnsi="Arial" w:cs="Arial"/>
          <w:b w:val="0"/>
          <w:caps w:val="0"/>
          <w:sz w:val="20"/>
        </w:rPr>
        <w:t>/M</w:t>
      </w:r>
      <w:r w:rsidRPr="001257FE">
        <w:rPr>
          <w:rFonts w:ascii="Arial" w:hAnsi="Arial" w:cs="Arial"/>
          <w:b w:val="0"/>
          <w:caps w:val="0"/>
          <w:sz w:val="20"/>
          <w:vertAlign w:val="subscript"/>
        </w:rPr>
        <w:t>1</w:t>
      </w:r>
      <w:r w:rsidRPr="001257FE">
        <w:rPr>
          <w:rFonts w:ascii="Arial" w:hAnsi="Arial" w:cs="Arial"/>
          <w:b w:val="0"/>
          <w:caps w:val="0"/>
          <w:sz w:val="20"/>
        </w:rPr>
        <w:t xml:space="preserve">) x 100          </w:t>
      </w:r>
      <w:r w:rsidR="00E85B67" w:rsidRPr="001257FE">
        <w:rPr>
          <w:rFonts w:ascii="Arial" w:hAnsi="Arial" w:cs="Arial"/>
          <w:b w:val="0"/>
          <w:caps w:val="0"/>
          <w:sz w:val="20"/>
        </w:rPr>
        <w:t>(1)</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E85B67" w:rsidP="00A009BC">
      <w:pPr>
        <w:pStyle w:val="ReferHead"/>
        <w:keepNext w:val="0"/>
        <w:widowControl w:val="0"/>
        <w:spacing w:after="0"/>
        <w:ind w:left="540" w:hanging="540"/>
        <w:jc w:val="both"/>
        <w:rPr>
          <w:rFonts w:ascii="Arial" w:hAnsi="Arial" w:cs="Arial"/>
          <w:caps w:val="0"/>
          <w:sz w:val="20"/>
        </w:rPr>
      </w:pPr>
      <w:r w:rsidRPr="001257FE">
        <w:rPr>
          <w:rFonts w:ascii="Arial" w:hAnsi="Arial" w:cs="Arial"/>
          <w:caps w:val="0"/>
          <w:sz w:val="20"/>
        </w:rPr>
        <w:t>2.4.2 Water absorption capacity and water solubility index</w:t>
      </w:r>
    </w:p>
    <w:p w:rsidR="00E85B67" w:rsidRPr="001257FE" w:rsidRDefault="00E85B67" w:rsidP="00A009BC">
      <w:pPr>
        <w:pStyle w:val="ReferHead"/>
        <w:keepNext w:val="0"/>
        <w:widowControl w:val="0"/>
        <w:spacing w:after="0"/>
        <w:jc w:val="both"/>
        <w:rPr>
          <w:rFonts w:ascii="Arial" w:hAnsi="Arial" w:cs="Arial"/>
          <w:b w:val="0"/>
          <w:caps w:val="0"/>
        </w:rPr>
      </w:pPr>
    </w:p>
    <w:p w:rsidR="00E85B67" w:rsidRPr="001257FE" w:rsidRDefault="00E85B67" w:rsidP="00A009BC">
      <w:pPr>
        <w:pStyle w:val="ReferHead"/>
        <w:keepNext w:val="0"/>
        <w:widowControl w:val="0"/>
        <w:spacing w:after="0"/>
        <w:jc w:val="both"/>
        <w:rPr>
          <w:rFonts w:ascii="Arial" w:hAnsi="Arial" w:cs="Arial"/>
          <w:b w:val="0"/>
          <w:caps w:val="0"/>
          <w:sz w:val="20"/>
        </w:rPr>
      </w:pPr>
      <w:r w:rsidRPr="001257FE">
        <w:rPr>
          <w:rFonts w:ascii="Arial" w:hAnsi="Arial" w:cs="Arial"/>
          <w:b w:val="0"/>
          <w:caps w:val="0"/>
          <w:sz w:val="20"/>
        </w:rPr>
        <w:t xml:space="preserve">The Water Absorption Capacity (WAC) and Water Solubility Index (WSI) were determined by the method described by Phillips [16] with some modifications. A mass of powder 1g (M0) mixed with 10 ml of distilled water. The whole is agitating for 30 min by a mechanical shaker (Prolabo n ° 54 433 France) at 220 rpm and centrifuged at 3500 rpm for 30 min in a centrifuge (DL 6000 brand, rotor 15 cm, Japan). The pellet collected, then weighed (M1), is heated in an oven at 105˚C for 24 hours, and the weight of the dry residue (M2) is determined. The true Water Absorption Capacity (WACt), apparent Water Absorption Capacity (WACa), and WSI were determined by the formulas: </w:t>
      </w:r>
    </w:p>
    <w:p w:rsidR="00E85B67" w:rsidRPr="001257FE" w:rsidRDefault="009E053D" w:rsidP="00A009BC">
      <w:pPr>
        <w:pStyle w:val="ReferHead"/>
        <w:keepNext w:val="0"/>
        <w:widowControl w:val="0"/>
        <w:spacing w:after="0"/>
        <w:ind w:left="360"/>
        <w:jc w:val="both"/>
        <w:rPr>
          <w:rFonts w:ascii="Arial" w:hAnsi="Arial" w:cs="Arial"/>
          <w:b w:val="0"/>
          <w:caps w:val="0"/>
          <w:sz w:val="20"/>
        </w:rPr>
      </w:pPr>
      <m:oMath>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WAC</m:t>
            </m:r>
          </m:e>
          <m:sub>
            <m:r>
              <m:rPr>
                <m:sty m:val="b"/>
              </m:rPr>
              <w:rPr>
                <w:rFonts w:ascii="Cambria Math" w:eastAsia="Calibri" w:hAnsi="Cambria Math" w:cs="Arial"/>
                <w:caps w:val="0"/>
                <w:sz w:val="20"/>
                <w:szCs w:val="22"/>
              </w:rPr>
              <m:t>t</m:t>
            </m:r>
          </m:sub>
        </m:sSub>
        <m:r>
          <m:rPr>
            <m:sty m:val="b"/>
          </m:rPr>
          <w:rPr>
            <w:rFonts w:ascii="Cambria Math" w:eastAsia="Calibri" w:hAnsi="Cambria Math" w:cs="Arial"/>
            <w:caps w:val="0"/>
            <w:sz w:val="20"/>
            <w:szCs w:val="22"/>
          </w:rPr>
          <m:t xml:space="preserve">= </m:t>
        </m:r>
        <m:f>
          <m:fPr>
            <m:type m:val="lin"/>
            <m:ctrlPr>
              <w:rPr>
                <w:rFonts w:ascii="Cambria Math" w:eastAsia="Calibri" w:hAnsi="Cambria Math" w:cs="Arial"/>
                <w:b w:val="0"/>
                <w:caps w:val="0"/>
                <w:sz w:val="20"/>
                <w:szCs w:val="22"/>
              </w:rPr>
            </m:ctrlPr>
          </m:fPr>
          <m:num>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1</m:t>
                </m:r>
              </m:sub>
            </m:sSub>
            <m:r>
              <m:rPr>
                <m:sty m:val="b"/>
              </m:rPr>
              <w:rPr>
                <w:rFonts w:ascii="Cambria Math" w:eastAsia="Calibri" w:hAnsi="Cambria Math" w:cs="Arial"/>
                <w:caps w:val="0"/>
                <w:sz w:val="20"/>
                <w:szCs w:val="22"/>
              </w:rPr>
              <m:t>-</m:t>
            </m:r>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2</m:t>
                </m:r>
              </m:sub>
            </m:sSub>
            <m:r>
              <m:rPr>
                <m:sty m:val="b"/>
              </m:rPr>
              <w:rPr>
                <w:rFonts w:ascii="Cambria Math" w:eastAsia="Calibri" w:hAnsi="Cambria Math" w:cs="Arial"/>
                <w:caps w:val="0"/>
                <w:sz w:val="20"/>
                <w:szCs w:val="22"/>
              </w:rPr>
              <m:t>)</m:t>
            </m:r>
          </m:num>
          <m:den>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1</m:t>
                </m:r>
              </m:sub>
            </m:sSub>
            <m:r>
              <m:rPr>
                <m:sty m:val="b"/>
              </m:rPr>
              <w:rPr>
                <w:rFonts w:ascii="Cambria Math" w:eastAsia="Calibri" w:hAnsi="Cambria Math" w:cs="Arial"/>
                <w:caps w:val="0"/>
                <w:sz w:val="20"/>
                <w:szCs w:val="22"/>
              </w:rPr>
              <m:t>]</m:t>
            </m:r>
          </m:den>
        </m:f>
        <m:r>
          <m:rPr>
            <m:sty m:val="b"/>
          </m:rPr>
          <w:rPr>
            <w:rFonts w:ascii="Cambria Math" w:eastAsia="Calibri" w:hAnsi="Cambria Math" w:cs="Arial"/>
            <w:caps w:val="0"/>
            <w:sz w:val="20"/>
            <w:szCs w:val="22"/>
          </w:rPr>
          <m:t xml:space="preserve">x 100 </m:t>
        </m:r>
      </m:oMath>
      <w:r w:rsidR="00E85B67" w:rsidRPr="001257FE">
        <w:rPr>
          <w:rFonts w:ascii="Arial" w:hAnsi="Arial" w:cs="Arial"/>
          <w:b w:val="0"/>
          <w:caps w:val="0"/>
          <w:sz w:val="20"/>
        </w:rPr>
        <w:t xml:space="preserve"> (2)</w:t>
      </w:r>
    </w:p>
    <w:p w:rsidR="00F3582C" w:rsidRPr="001257FE" w:rsidRDefault="00F3582C" w:rsidP="00A009BC">
      <w:pPr>
        <w:pStyle w:val="ReferHead"/>
        <w:keepNext w:val="0"/>
        <w:widowControl w:val="0"/>
        <w:spacing w:after="0"/>
        <w:ind w:left="360"/>
        <w:jc w:val="both"/>
        <w:rPr>
          <w:rFonts w:ascii="Arial" w:hAnsi="Arial" w:cs="Arial"/>
          <w:b w:val="0"/>
          <w:caps w:val="0"/>
          <w:sz w:val="16"/>
          <w:szCs w:val="16"/>
        </w:rPr>
      </w:pPr>
    </w:p>
    <w:p w:rsidR="00E85B67" w:rsidRPr="001257FE" w:rsidRDefault="009E053D" w:rsidP="00A009BC">
      <w:pPr>
        <w:pStyle w:val="ReferHead"/>
        <w:keepNext w:val="0"/>
        <w:widowControl w:val="0"/>
        <w:spacing w:after="0"/>
        <w:ind w:left="360"/>
        <w:jc w:val="both"/>
        <w:rPr>
          <w:rFonts w:ascii="Arial" w:hAnsi="Arial" w:cs="Arial"/>
          <w:b w:val="0"/>
          <w:caps w:val="0"/>
          <w:sz w:val="20"/>
        </w:rPr>
      </w:pPr>
      <m:oMath>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WAC</m:t>
            </m:r>
          </m:e>
          <m:sub>
            <m:r>
              <m:rPr>
                <m:sty m:val="b"/>
              </m:rPr>
              <w:rPr>
                <w:rFonts w:ascii="Cambria Math" w:eastAsia="Calibri" w:hAnsi="Cambria Math" w:cs="Arial"/>
                <w:caps w:val="0"/>
                <w:sz w:val="20"/>
                <w:szCs w:val="22"/>
              </w:rPr>
              <m:t>a</m:t>
            </m:r>
          </m:sub>
        </m:sSub>
        <m:r>
          <m:rPr>
            <m:sty m:val="b"/>
          </m:rPr>
          <w:rPr>
            <w:rFonts w:ascii="Cambria Math" w:eastAsia="Calibri" w:hAnsi="Cambria Math" w:cs="Arial"/>
            <w:caps w:val="0"/>
            <w:sz w:val="20"/>
            <w:szCs w:val="22"/>
          </w:rPr>
          <m:t>=</m:t>
        </m:r>
        <m:f>
          <m:fPr>
            <m:type m:val="lin"/>
            <m:ctrlPr>
              <w:rPr>
                <w:rFonts w:ascii="Cambria Math" w:eastAsia="Calibri" w:hAnsi="Cambria Math" w:cs="Arial"/>
                <w:b w:val="0"/>
                <w:caps w:val="0"/>
                <w:sz w:val="20"/>
                <w:szCs w:val="22"/>
              </w:rPr>
            </m:ctrlPr>
          </m:fPr>
          <m:num>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1</m:t>
                </m:r>
              </m:sub>
            </m:sSub>
            <m:r>
              <m:rPr>
                <m:sty m:val="b"/>
              </m:rPr>
              <w:rPr>
                <w:rFonts w:ascii="Cambria Math" w:eastAsia="Calibri" w:hAnsi="Cambria Math" w:cs="Arial"/>
                <w:caps w:val="0"/>
                <w:sz w:val="20"/>
                <w:szCs w:val="22"/>
              </w:rPr>
              <m:t>-</m:t>
            </m:r>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0</m:t>
                </m:r>
              </m:sub>
            </m:sSub>
            <m:r>
              <m:rPr>
                <m:sty m:val="b"/>
              </m:rPr>
              <w:rPr>
                <w:rFonts w:ascii="Cambria Math" w:eastAsia="Calibri" w:hAnsi="Cambria Math" w:cs="Arial"/>
                <w:caps w:val="0"/>
                <w:sz w:val="20"/>
                <w:szCs w:val="22"/>
              </w:rPr>
              <m:t>)</m:t>
            </m:r>
          </m:num>
          <m:den>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0</m:t>
                </m:r>
              </m:sub>
            </m:sSub>
            <m:r>
              <m:rPr>
                <m:sty m:val="b"/>
              </m:rPr>
              <w:rPr>
                <w:rFonts w:ascii="Cambria Math" w:eastAsia="Calibri" w:hAnsi="Cambria Math" w:cs="Arial"/>
                <w:caps w:val="0"/>
                <w:sz w:val="20"/>
                <w:szCs w:val="22"/>
              </w:rPr>
              <m:t xml:space="preserve">] x 100 </m:t>
            </m:r>
          </m:den>
        </m:f>
      </m:oMath>
      <w:r w:rsidR="00E85B67" w:rsidRPr="001257FE">
        <w:rPr>
          <w:rFonts w:ascii="Arial" w:hAnsi="Arial" w:cs="Arial"/>
          <w:b w:val="0"/>
          <w:caps w:val="0"/>
          <w:sz w:val="20"/>
        </w:rPr>
        <w:t>(3)</w:t>
      </w:r>
    </w:p>
    <w:p w:rsidR="00F3582C" w:rsidRPr="001257FE" w:rsidRDefault="00F3582C" w:rsidP="00A009BC">
      <w:pPr>
        <w:pStyle w:val="ReferHead"/>
        <w:keepNext w:val="0"/>
        <w:widowControl w:val="0"/>
        <w:spacing w:after="0"/>
        <w:ind w:left="360"/>
        <w:jc w:val="both"/>
        <w:rPr>
          <w:rFonts w:ascii="Arial" w:hAnsi="Arial" w:cs="Arial"/>
          <w:b w:val="0"/>
          <w:caps w:val="0"/>
          <w:sz w:val="16"/>
          <w:szCs w:val="16"/>
        </w:rPr>
      </w:pPr>
    </w:p>
    <w:p w:rsidR="00E85B67" w:rsidRPr="001257FE" w:rsidRDefault="00F3582C" w:rsidP="00A009BC">
      <w:pPr>
        <w:pStyle w:val="ReferHead"/>
        <w:keepNext w:val="0"/>
        <w:widowControl w:val="0"/>
        <w:spacing w:after="0"/>
        <w:ind w:left="360"/>
        <w:jc w:val="both"/>
        <w:rPr>
          <w:rFonts w:ascii="Arial" w:hAnsi="Arial" w:cs="Arial"/>
          <w:b w:val="0"/>
          <w:caps w:val="0"/>
          <w:sz w:val="20"/>
        </w:rPr>
      </w:pPr>
      <m:oMath>
        <m:r>
          <m:rPr>
            <m:sty m:val="b"/>
          </m:rPr>
          <w:rPr>
            <w:rFonts w:ascii="Cambria Math" w:eastAsia="Calibri" w:hAnsi="Cambria Math" w:cs="Arial"/>
            <w:caps w:val="0"/>
            <w:sz w:val="20"/>
            <w:szCs w:val="22"/>
          </w:rPr>
          <m:t xml:space="preserve">WSI= </m:t>
        </m:r>
        <m:f>
          <m:fPr>
            <m:type m:val="lin"/>
            <m:ctrlPr>
              <w:rPr>
                <w:rFonts w:ascii="Cambria Math" w:eastAsia="Calibri" w:hAnsi="Cambria Math" w:cs="Arial"/>
                <w:b w:val="0"/>
                <w:caps w:val="0"/>
                <w:sz w:val="20"/>
                <w:szCs w:val="22"/>
              </w:rPr>
            </m:ctrlPr>
          </m:fPr>
          <m:num>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0</m:t>
                </m:r>
              </m:sub>
            </m:sSub>
            <m:r>
              <m:rPr>
                <m:sty m:val="b"/>
              </m:rPr>
              <w:rPr>
                <w:rFonts w:ascii="Cambria Math" w:eastAsia="Calibri" w:hAnsi="Cambria Math" w:cs="Arial"/>
                <w:caps w:val="0"/>
                <w:sz w:val="20"/>
                <w:szCs w:val="22"/>
              </w:rPr>
              <m:t>-</m:t>
            </m:r>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1</m:t>
                </m:r>
              </m:sub>
            </m:sSub>
            <m:r>
              <m:rPr>
                <m:sty m:val="b"/>
              </m:rPr>
              <w:rPr>
                <w:rFonts w:ascii="Cambria Math" w:eastAsia="Calibri" w:hAnsi="Cambria Math" w:cs="Arial"/>
                <w:caps w:val="0"/>
                <w:sz w:val="20"/>
                <w:szCs w:val="22"/>
              </w:rPr>
              <m:t>)</m:t>
            </m:r>
          </m:num>
          <m:den>
            <m:sSub>
              <m:sSubPr>
                <m:ctrlPr>
                  <w:rPr>
                    <w:rFonts w:ascii="Cambria Math" w:eastAsia="Calibri" w:hAnsi="Cambria Math" w:cs="Arial"/>
                    <w:b w:val="0"/>
                    <w:caps w:val="0"/>
                    <w:sz w:val="20"/>
                    <w:szCs w:val="22"/>
                  </w:rPr>
                </m:ctrlPr>
              </m:sSubPr>
              <m:e>
                <m:r>
                  <m:rPr>
                    <m:sty m:val="b"/>
                  </m:rPr>
                  <w:rPr>
                    <w:rFonts w:ascii="Cambria Math" w:eastAsia="Calibri" w:hAnsi="Cambria Math" w:cs="Arial"/>
                    <w:caps w:val="0"/>
                    <w:sz w:val="20"/>
                    <w:szCs w:val="22"/>
                  </w:rPr>
                  <m:t>M</m:t>
                </m:r>
              </m:e>
              <m:sub>
                <m:r>
                  <m:rPr>
                    <m:sty m:val="b"/>
                  </m:rPr>
                  <w:rPr>
                    <w:rFonts w:ascii="Cambria Math" w:eastAsia="Calibri" w:hAnsi="Cambria Math" w:cs="Arial"/>
                    <w:caps w:val="0"/>
                    <w:sz w:val="20"/>
                    <w:szCs w:val="22"/>
                  </w:rPr>
                  <m:t>0</m:t>
                </m:r>
              </m:sub>
            </m:sSub>
            <m:r>
              <m:rPr>
                <m:sty m:val="b"/>
              </m:rPr>
              <w:rPr>
                <w:rFonts w:ascii="Cambria Math" w:eastAsia="Calibri" w:hAnsi="Cambria Math" w:cs="Arial"/>
                <w:caps w:val="0"/>
                <w:sz w:val="20"/>
                <w:szCs w:val="22"/>
              </w:rPr>
              <m:t>]</m:t>
            </m:r>
          </m:den>
        </m:f>
        <m:r>
          <m:rPr>
            <m:sty m:val="b"/>
          </m:rPr>
          <w:rPr>
            <w:rFonts w:ascii="Cambria Math" w:eastAsia="Calibri" w:hAnsi="Cambria Math" w:cs="Arial"/>
            <w:caps w:val="0"/>
            <w:sz w:val="20"/>
            <w:szCs w:val="22"/>
          </w:rPr>
          <m:t>x 100</m:t>
        </m:r>
      </m:oMath>
      <w:r w:rsidR="00E85B67" w:rsidRPr="001257FE">
        <w:rPr>
          <w:rFonts w:ascii="Arial" w:hAnsi="Arial" w:cs="Arial"/>
          <w:b w:val="0"/>
          <w:caps w:val="0"/>
          <w:sz w:val="20"/>
        </w:rPr>
        <w:t>(4)</w:t>
      </w:r>
    </w:p>
    <w:p w:rsidR="00E85B67" w:rsidRPr="001257FE" w:rsidRDefault="00E85B67" w:rsidP="00A009BC">
      <w:pPr>
        <w:pStyle w:val="ReferHead"/>
        <w:keepNext w:val="0"/>
        <w:widowControl w:val="0"/>
        <w:spacing w:after="0"/>
        <w:jc w:val="both"/>
        <w:rPr>
          <w:rFonts w:ascii="Arial" w:hAnsi="Arial" w:cs="Arial"/>
          <w:b w:val="0"/>
          <w:caps w:val="0"/>
          <w:sz w:val="16"/>
          <w:szCs w:val="16"/>
        </w:rPr>
      </w:pPr>
    </w:p>
    <w:p w:rsidR="00E85B67" w:rsidRPr="001257FE" w:rsidRDefault="00E85B67" w:rsidP="00A009BC">
      <w:pPr>
        <w:pStyle w:val="ReferHead"/>
        <w:keepNext w:val="0"/>
        <w:widowControl w:val="0"/>
        <w:spacing w:after="0"/>
        <w:jc w:val="both"/>
        <w:rPr>
          <w:rFonts w:ascii="Arial" w:hAnsi="Arial" w:cs="Arial"/>
          <w:caps w:val="0"/>
          <w:sz w:val="20"/>
        </w:rPr>
      </w:pPr>
      <w:r w:rsidRPr="001257FE">
        <w:rPr>
          <w:rFonts w:ascii="Arial" w:hAnsi="Arial" w:cs="Arial"/>
          <w:caps w:val="0"/>
          <w:sz w:val="20"/>
        </w:rPr>
        <w:t xml:space="preserve">2.4.3 Oil </w:t>
      </w:r>
      <w:r w:rsidR="00F3582C" w:rsidRPr="001257FE">
        <w:rPr>
          <w:rFonts w:ascii="Arial" w:hAnsi="Arial" w:cs="Arial"/>
          <w:caps w:val="0"/>
          <w:sz w:val="20"/>
        </w:rPr>
        <w:t>holding capacity</w:t>
      </w:r>
    </w:p>
    <w:p w:rsidR="00E85B67" w:rsidRPr="001257FE" w:rsidRDefault="00E85B67" w:rsidP="00A009BC">
      <w:pPr>
        <w:pStyle w:val="ReferHead"/>
        <w:keepNext w:val="0"/>
        <w:widowControl w:val="0"/>
        <w:spacing w:after="0"/>
        <w:jc w:val="both"/>
        <w:rPr>
          <w:rFonts w:ascii="Arial" w:hAnsi="Arial" w:cs="Arial"/>
          <w:b w:val="0"/>
          <w:caps w:val="0"/>
          <w:sz w:val="16"/>
          <w:szCs w:val="16"/>
        </w:rPr>
      </w:pPr>
    </w:p>
    <w:p w:rsidR="00E85B67" w:rsidRPr="001257FE" w:rsidRDefault="00E85B67" w:rsidP="00A009BC">
      <w:pPr>
        <w:pStyle w:val="ReferHead"/>
        <w:keepNext w:val="0"/>
        <w:widowControl w:val="0"/>
        <w:spacing w:after="0"/>
        <w:jc w:val="both"/>
        <w:rPr>
          <w:rFonts w:ascii="Arial" w:hAnsi="Arial" w:cs="Arial"/>
          <w:b w:val="0"/>
          <w:caps w:val="0"/>
          <w:sz w:val="20"/>
        </w:rPr>
      </w:pPr>
      <w:r w:rsidRPr="001257FE">
        <w:rPr>
          <w:rFonts w:ascii="Arial" w:hAnsi="Arial" w:cs="Arial"/>
          <w:b w:val="0"/>
          <w:caps w:val="0"/>
          <w:sz w:val="20"/>
        </w:rPr>
        <w:t>The Oil Holding Capacity (OHC) was determined by the method of Beuchat [17]. 0.5 g (M0) of powder is mixed with 3 ml of cotton seed oil. The whole is agitating for 30 min using a mechanical shaker (Prolabo n ° 54 433 France) at 220 rpm and centrifuged at 3500 rpm for 30 min in a centrifuge (DL 6000 brand, rotor 15 cm, Japan). The pellet collected, then weighed (M1) and the OHC is expressed as the mass of oil retained per 100g of powder by the formula.</w:t>
      </w:r>
    </w:p>
    <w:p w:rsidR="00F3582C" w:rsidRPr="001257FE" w:rsidRDefault="00F3582C" w:rsidP="00E85B67">
      <w:pPr>
        <w:pStyle w:val="ReferHead"/>
        <w:spacing w:after="0"/>
        <w:jc w:val="both"/>
        <w:rPr>
          <w:rFonts w:ascii="Arial" w:hAnsi="Arial" w:cs="Arial"/>
          <w:b w:val="0"/>
          <w:caps w:val="0"/>
          <w:sz w:val="16"/>
        </w:rPr>
      </w:pPr>
    </w:p>
    <w:p w:rsidR="00E85B67" w:rsidRPr="001257FE" w:rsidRDefault="000D13F4" w:rsidP="006822AA">
      <w:pPr>
        <w:pStyle w:val="ReferHead"/>
        <w:spacing w:after="0"/>
        <w:ind w:left="360"/>
        <w:jc w:val="right"/>
        <w:rPr>
          <w:rFonts w:ascii="Arial" w:hAnsi="Arial" w:cs="Arial"/>
          <w:b w:val="0"/>
          <w:caps w:val="0"/>
          <w:sz w:val="20"/>
        </w:rPr>
      </w:pPr>
      <w:r w:rsidRPr="001257FE">
        <w:rPr>
          <w:rFonts w:ascii="Arial" w:hAnsi="Arial" w:cs="Arial"/>
          <w:b w:val="0"/>
          <w:caps w:val="0"/>
          <w:sz w:val="20"/>
        </w:rPr>
        <w:t>OHC = [(M</w:t>
      </w:r>
      <w:r w:rsidRPr="001257FE">
        <w:rPr>
          <w:rFonts w:ascii="Arial" w:hAnsi="Arial" w:cs="Arial"/>
          <w:b w:val="0"/>
          <w:caps w:val="0"/>
          <w:sz w:val="20"/>
          <w:vertAlign w:val="subscript"/>
        </w:rPr>
        <w:t>1</w:t>
      </w:r>
      <w:r w:rsidRPr="001257FE">
        <w:rPr>
          <w:rFonts w:ascii="Arial" w:hAnsi="Arial" w:cs="Arial"/>
          <w:b w:val="0"/>
          <w:caps w:val="0"/>
          <w:sz w:val="20"/>
        </w:rPr>
        <w:t>-M</w:t>
      </w:r>
      <w:r w:rsidRPr="001257FE">
        <w:rPr>
          <w:rFonts w:ascii="Arial" w:hAnsi="Arial" w:cs="Arial"/>
          <w:b w:val="0"/>
          <w:caps w:val="0"/>
          <w:sz w:val="20"/>
          <w:vertAlign w:val="subscript"/>
        </w:rPr>
        <w:t>0</w:t>
      </w:r>
      <w:r w:rsidRPr="001257FE">
        <w:rPr>
          <w:rFonts w:ascii="Arial" w:hAnsi="Arial" w:cs="Arial"/>
          <w:b w:val="0"/>
          <w:caps w:val="0"/>
          <w:sz w:val="20"/>
        </w:rPr>
        <w:t>)/M</w:t>
      </w:r>
      <w:r w:rsidRPr="001257FE">
        <w:rPr>
          <w:rFonts w:ascii="Arial" w:hAnsi="Arial" w:cs="Arial"/>
          <w:b w:val="0"/>
          <w:caps w:val="0"/>
          <w:sz w:val="20"/>
          <w:vertAlign w:val="subscript"/>
        </w:rPr>
        <w:t>0</w:t>
      </w:r>
      <w:r w:rsidRPr="001257FE">
        <w:rPr>
          <w:rFonts w:ascii="Arial" w:hAnsi="Arial" w:cs="Arial"/>
          <w:b w:val="0"/>
          <w:caps w:val="0"/>
          <w:sz w:val="20"/>
        </w:rPr>
        <w:t xml:space="preserve">] x 100             </w:t>
      </w:r>
      <w:r w:rsidR="00E85B67" w:rsidRPr="001257FE">
        <w:rPr>
          <w:rFonts w:ascii="Arial" w:hAnsi="Arial" w:cs="Arial"/>
          <w:b w:val="0"/>
          <w:caps w:val="0"/>
          <w:sz w:val="20"/>
        </w:rPr>
        <w:t>(5)</w:t>
      </w:r>
    </w:p>
    <w:p w:rsidR="00E85B67" w:rsidRPr="001257FE" w:rsidRDefault="00E85B67" w:rsidP="00E85B67">
      <w:pPr>
        <w:pStyle w:val="ReferHead"/>
        <w:spacing w:after="0"/>
        <w:jc w:val="both"/>
        <w:rPr>
          <w:rFonts w:ascii="Arial" w:hAnsi="Arial" w:cs="Arial"/>
          <w:b w:val="0"/>
          <w:caps w:val="0"/>
          <w:sz w:val="18"/>
        </w:rPr>
      </w:pPr>
    </w:p>
    <w:p w:rsidR="00E85B67" w:rsidRPr="001257FE" w:rsidRDefault="00E85B67" w:rsidP="00E85B67">
      <w:pPr>
        <w:pStyle w:val="ReferHead"/>
        <w:spacing w:after="0"/>
        <w:jc w:val="both"/>
        <w:rPr>
          <w:rFonts w:ascii="Arial" w:hAnsi="Arial" w:cs="Arial"/>
          <w:caps w:val="0"/>
          <w:sz w:val="20"/>
        </w:rPr>
      </w:pPr>
      <w:r w:rsidRPr="001257FE">
        <w:rPr>
          <w:rFonts w:ascii="Arial" w:hAnsi="Arial" w:cs="Arial"/>
          <w:caps w:val="0"/>
          <w:sz w:val="20"/>
        </w:rPr>
        <w:t xml:space="preserve">2.4.4 Bulk density </w:t>
      </w:r>
    </w:p>
    <w:p w:rsidR="00E85B67" w:rsidRPr="001257FE" w:rsidRDefault="00E85B67" w:rsidP="00E85B67">
      <w:pPr>
        <w:pStyle w:val="ReferHead"/>
        <w:spacing w:after="0"/>
        <w:jc w:val="both"/>
        <w:rPr>
          <w:rFonts w:ascii="Arial" w:hAnsi="Arial" w:cs="Arial"/>
          <w:b w:val="0"/>
          <w:caps w:val="0"/>
          <w:sz w:val="18"/>
        </w:rPr>
      </w:pPr>
    </w:p>
    <w:p w:rsidR="00E85B67" w:rsidRPr="001257FE" w:rsidRDefault="00E85B67" w:rsidP="00E85B67">
      <w:pPr>
        <w:pStyle w:val="ReferHead"/>
        <w:spacing w:after="0"/>
        <w:jc w:val="both"/>
        <w:rPr>
          <w:rFonts w:ascii="Arial" w:hAnsi="Arial" w:cs="Arial"/>
          <w:b w:val="0"/>
          <w:caps w:val="0"/>
          <w:sz w:val="20"/>
        </w:rPr>
      </w:pPr>
      <w:r w:rsidRPr="001257FE">
        <w:rPr>
          <w:rFonts w:ascii="Arial" w:hAnsi="Arial" w:cs="Arial"/>
          <w:b w:val="0"/>
          <w:caps w:val="0"/>
          <w:sz w:val="20"/>
        </w:rPr>
        <w:t xml:space="preserve">The density was determined by the modified method of adbowale et al. [18]. A mass of powder 5 g is placed in a tarred capsule of known volume (V) to the level. During the measurement, the capsule is tamped several times to eliminate the empty space between particles. Once the capsule is full, the whole is weighed (M). The result was expressed in grams of sample per unit of volume (ml). </w:t>
      </w:r>
    </w:p>
    <w:p w:rsidR="00E85B67" w:rsidRPr="001257FE" w:rsidRDefault="00E85B67" w:rsidP="00E85B67">
      <w:pPr>
        <w:pStyle w:val="ReferHead"/>
        <w:spacing w:after="0"/>
        <w:jc w:val="both"/>
        <w:rPr>
          <w:rFonts w:ascii="Arial" w:hAnsi="Arial" w:cs="Arial"/>
          <w:b w:val="0"/>
          <w:caps w:val="0"/>
          <w:sz w:val="16"/>
        </w:rPr>
      </w:pPr>
    </w:p>
    <w:p w:rsidR="00E85B67" w:rsidRPr="001257FE" w:rsidRDefault="00E85B67" w:rsidP="00E85B67">
      <w:pPr>
        <w:pStyle w:val="ReferHead"/>
        <w:spacing w:after="0"/>
        <w:jc w:val="both"/>
        <w:rPr>
          <w:rFonts w:ascii="Arial" w:hAnsi="Arial" w:cs="Arial"/>
          <w:caps w:val="0"/>
        </w:rPr>
      </w:pPr>
      <w:r w:rsidRPr="001257FE">
        <w:rPr>
          <w:rFonts w:ascii="Arial" w:hAnsi="Arial" w:cs="Arial"/>
          <w:caps w:val="0"/>
        </w:rPr>
        <w:t>2.5 Statistical Analysis</w:t>
      </w:r>
    </w:p>
    <w:p w:rsidR="00E85B67" w:rsidRPr="001257FE" w:rsidRDefault="00E85B67" w:rsidP="00E85B67">
      <w:pPr>
        <w:pStyle w:val="ReferHead"/>
        <w:spacing w:after="0"/>
        <w:jc w:val="both"/>
        <w:rPr>
          <w:rFonts w:ascii="Arial" w:hAnsi="Arial" w:cs="Arial"/>
          <w:b w:val="0"/>
          <w:caps w:val="0"/>
          <w:sz w:val="16"/>
        </w:rPr>
      </w:pPr>
    </w:p>
    <w:p w:rsidR="00E85B67" w:rsidRPr="001257FE" w:rsidRDefault="00E85B67" w:rsidP="00E85B67">
      <w:pPr>
        <w:pStyle w:val="ReferHead"/>
        <w:spacing w:after="0"/>
        <w:jc w:val="both"/>
        <w:rPr>
          <w:rFonts w:ascii="Arial" w:hAnsi="Arial" w:cs="Arial"/>
          <w:b w:val="0"/>
          <w:caps w:val="0"/>
          <w:sz w:val="20"/>
        </w:rPr>
      </w:pPr>
      <w:r w:rsidRPr="001257FE">
        <w:rPr>
          <w:rFonts w:ascii="Arial" w:hAnsi="Arial" w:cs="Arial"/>
          <w:b w:val="0"/>
          <w:caps w:val="0"/>
          <w:sz w:val="20"/>
        </w:rPr>
        <w:t xml:space="preserve">Analyses were carried out in triplicates. Microsoft Excel 2013 software was used for calculation of means and standard deviations; Stat-graphic centurion 15.2 software (StatPoint Technologies, Inc, Warrenton,  Virginia,  USA)  for  the one way  analysis  of variance  and  means  separated using the Duncan multiple range test at P = .05 and the correlation test. Sigma plot 11.0 software (Systat Software, Inc. 1735 Technology Drive, Suite 430 San Jose, CA 95110 USA) was used to plot the graphs. </w:t>
      </w:r>
    </w:p>
    <w:p w:rsidR="00294957" w:rsidRPr="001257FE" w:rsidRDefault="00294957" w:rsidP="00E85B6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rPr>
        <w:t>3. RESULTS AND DISCUSSION</w:t>
      </w:r>
    </w:p>
    <w:p w:rsidR="00294957" w:rsidRPr="001257FE" w:rsidRDefault="00294957" w:rsidP="0029495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rPr>
        <w:t>3.1 Proximate Composition</w:t>
      </w:r>
    </w:p>
    <w:p w:rsidR="00294957" w:rsidRPr="001257FE" w:rsidRDefault="00294957" w:rsidP="0029495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 xml:space="preserve">3.1.1 Moisture contents </w:t>
      </w:r>
    </w:p>
    <w:p w:rsidR="00294957" w:rsidRPr="001257FE" w:rsidRDefault="00294957" w:rsidP="00294957">
      <w:pPr>
        <w:pStyle w:val="ReferHead"/>
        <w:spacing w:after="0"/>
        <w:jc w:val="both"/>
        <w:rPr>
          <w:rFonts w:ascii="Arial" w:hAnsi="Arial" w:cs="Arial"/>
          <w:caps w:val="0"/>
          <w:sz w:val="16"/>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The moisture content of young and mature leaves powders obtained in that study ranged from 9.01 ± 0.20 to 13.5 ± 0.50 g/100g DM with the similar mean contents for the both maturities of 11.50 ± 0.50 g/100g DM (Table 1). These results are near those reported by Abouel-Yazeed (8) (7.57 g/100g DM) and permit to keep the powder for many months well [19]. That last result can also explain by the absence of significant correlations between moisture content and rehydration properties of powder (Table 2).</w:t>
      </w:r>
    </w:p>
    <w:p w:rsidR="00294957" w:rsidRPr="001257FE" w:rsidRDefault="00294957" w:rsidP="00294957">
      <w:pPr>
        <w:pStyle w:val="ReferHead"/>
        <w:spacing w:after="0"/>
        <w:jc w:val="both"/>
        <w:rPr>
          <w:rFonts w:ascii="Arial" w:hAnsi="Arial" w:cs="Arial"/>
          <w:b w:val="0"/>
          <w:caps w:val="0"/>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 xml:space="preserve">3.1.2 Total protein contents </w:t>
      </w:r>
    </w:p>
    <w:p w:rsidR="00294957" w:rsidRPr="001257FE" w:rsidRDefault="00294957" w:rsidP="00294957">
      <w:pPr>
        <w:pStyle w:val="ReferHead"/>
        <w:spacing w:after="0"/>
        <w:jc w:val="both"/>
        <w:rPr>
          <w:rFonts w:ascii="Arial" w:hAnsi="Arial" w:cs="Arial"/>
          <w:b w:val="0"/>
          <w:caps w:val="0"/>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 xml:space="preserve">The proteins play a major role in many food formulations and their contents vary according to the used foods. They provide thus the specific functional properties to those formulated foods. In that effect, the total protein contents of M. oleifera leaves powders from Maroua and Mbouda, regularly used in the formulation of the foods, are displayed in Table 1. These contents range from 22.72 ± 0.81 to 25.89 ± 0.90 g/100gDM with mean contents in young and mature leaves powders of 24.96 ± 0.29 and </w:t>
      </w:r>
      <w:r w:rsidRPr="001257FE">
        <w:rPr>
          <w:rFonts w:ascii="Arial" w:hAnsi="Arial" w:cs="Arial"/>
          <w:b w:val="0"/>
          <w:caps w:val="0"/>
          <w:sz w:val="20"/>
        </w:rPr>
        <w:lastRenderedPageBreak/>
        <w:t>23.13 ± 0.50 g/100gDM respectively. These high protein contents are similar to those reported by Abouel-Yazeed [8] (23.14 g/100g DM) and lower than the range (31.69-36.83 g/100gDM) obtained by Castillo-lopez et al. [20]. We observe that those proteins' contents directly affect the functional properties of powders. Indeed, the negative significant correlations (Table 2) between total proteins with apparent Water Absorption Capacity (WACa) (r= -0.635; P= 0.026), true Water Absorption Capacity (WACt) (r= - 0.752; P= 0.005), Water Solubility Index (WSI) (r=- 0.750; P= 0.005), and Oil Holding Capacity (OHC) (r= - 0.681; P = 0.015) show that the increasing of proteins contents contribute to reduce the WACa, WACt, WSI, and OHC of the powders. The proteins are molecules that possess hydrophilic and lipophilic properties and this result indicates that many factors limit the effect of these properties. Amongst those factors, the presence of high antinutrients contents that chelate the proteins [6] and limit their solubility. The pH of the protein, linked directly to a different type of amino acid that constitutes theprotein, which significantly affects its functional properties [</w:t>
      </w:r>
      <w:r w:rsidR="00F1205C" w:rsidRPr="001257FE">
        <w:rPr>
          <w:rFonts w:ascii="Arial" w:hAnsi="Arial" w:cs="Arial"/>
          <w:b w:val="0"/>
          <w:caps w:val="0"/>
          <w:sz w:val="20"/>
        </w:rPr>
        <w:t>21,</w:t>
      </w:r>
      <w:r w:rsidRPr="001257FE">
        <w:rPr>
          <w:rFonts w:ascii="Arial" w:hAnsi="Arial" w:cs="Arial"/>
          <w:b w:val="0"/>
          <w:caps w:val="0"/>
          <w:sz w:val="20"/>
        </w:rPr>
        <w:t xml:space="preserve">22]. The secondary structure composition of the protein [22] also affect the rehydration properties and fat fixation of powders. High contents of proteins in </w:t>
      </w:r>
      <w:commentRangeStart w:id="10"/>
      <w:r w:rsidRPr="001257FE">
        <w:rPr>
          <w:rFonts w:ascii="Arial" w:hAnsi="Arial" w:cs="Arial"/>
          <w:b w:val="0"/>
          <w:caps w:val="0"/>
          <w:sz w:val="20"/>
        </w:rPr>
        <w:t>M. oleifera</w:t>
      </w:r>
      <w:commentRangeEnd w:id="10"/>
      <w:r w:rsidR="00713C46">
        <w:rPr>
          <w:rStyle w:val="CommentReference"/>
          <w:rFonts w:asciiTheme="minorHAnsi" w:eastAsiaTheme="minorEastAsia" w:hAnsiTheme="minorHAnsi" w:cstheme="minorBidi"/>
          <w:b w:val="0"/>
          <w:caps w:val="0"/>
        </w:rPr>
        <w:commentReference w:id="10"/>
      </w:r>
      <w:r w:rsidRPr="001257FE">
        <w:rPr>
          <w:rFonts w:ascii="Arial" w:hAnsi="Arial" w:cs="Arial"/>
          <w:b w:val="0"/>
          <w:caps w:val="0"/>
          <w:sz w:val="20"/>
        </w:rPr>
        <w:t xml:space="preserve"> leaves does notimplies automatically the high rehydration and oil holding properties of powders. </w:t>
      </w:r>
    </w:p>
    <w:p w:rsidR="00A009BC" w:rsidRPr="001257FE" w:rsidRDefault="00A009BC" w:rsidP="0029495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 xml:space="preserve">3.1.3 Available carbohydrate contents </w:t>
      </w:r>
    </w:p>
    <w:p w:rsidR="00294957" w:rsidRPr="001257FE" w:rsidRDefault="00294957" w:rsidP="00294957">
      <w:pPr>
        <w:pStyle w:val="ReferHead"/>
        <w:spacing w:after="0"/>
        <w:jc w:val="both"/>
        <w:rPr>
          <w:rFonts w:ascii="Arial" w:hAnsi="Arial" w:cs="Arial"/>
          <w:b w:val="0"/>
          <w:caps w:val="0"/>
          <w:sz w:val="18"/>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The available carbohydrate contents of leaves powders of</w:t>
      </w:r>
      <w:commentRangeStart w:id="11"/>
      <w:r w:rsidRPr="001257FE">
        <w:rPr>
          <w:rFonts w:ascii="Arial" w:hAnsi="Arial" w:cs="Arial"/>
          <w:b w:val="0"/>
          <w:caps w:val="0"/>
          <w:sz w:val="20"/>
        </w:rPr>
        <w:t xml:space="preserve"> M. oleifera</w:t>
      </w:r>
      <w:commentRangeEnd w:id="11"/>
      <w:r w:rsidR="00713C46">
        <w:rPr>
          <w:rStyle w:val="CommentReference"/>
          <w:rFonts w:asciiTheme="minorHAnsi" w:eastAsiaTheme="minorEastAsia" w:hAnsiTheme="minorHAnsi" w:cstheme="minorBidi"/>
          <w:b w:val="0"/>
          <w:caps w:val="0"/>
        </w:rPr>
        <w:commentReference w:id="11"/>
      </w:r>
      <w:r w:rsidRPr="001257FE">
        <w:rPr>
          <w:rFonts w:ascii="Arial" w:hAnsi="Arial" w:cs="Arial"/>
          <w:b w:val="0"/>
          <w:caps w:val="0"/>
          <w:sz w:val="20"/>
        </w:rPr>
        <w:t xml:space="preserve"> are range from 28.27 ± 1.33 to 34.26 ± 0.52 g/100g DM. The mean contents in young and mature leaves are 34.26 ± 0.52 and 29.11 ± 1.44 g/100g DM respectively (Table 1). Those contents are high and similar to those reported (28.32 g/100g DM) by Sahay et al. [23]. Indeed, the high contents of carbohydrates in a powder favor the increase in his hygroscopic (ref) with direct consequences on his Water Capacity Absorption and Water solubility Index. In fact, the negative significant correlations (Table 2) between WACa (r = -0.669; P= 0.017), WACt (r= - 0.900; P= 0.001), WSI (r= - 0.893; P= 0.001) show that high carbohydrates contents in that study, as previously with the protein contents (r= 0.681; P= 0.015), lower the rehydration properties of powders. This result can explain by the presence in the powders of sugar’s microcrystals that limits their WAC and WSI and also the OHC (r= - 0.671; P = 0.017). However, these results on available carbohydrate contents are a real advantage in the manufacture of energetic drinks from the powdered leaves of</w:t>
      </w:r>
      <w:commentRangeStart w:id="12"/>
      <w:r w:rsidRPr="001257FE">
        <w:rPr>
          <w:rFonts w:ascii="Arial" w:hAnsi="Arial" w:cs="Arial"/>
          <w:b w:val="0"/>
          <w:caps w:val="0"/>
          <w:sz w:val="20"/>
        </w:rPr>
        <w:t xml:space="preserve"> M. oleifer</w:t>
      </w:r>
      <w:commentRangeEnd w:id="12"/>
      <w:r w:rsidR="00713C46">
        <w:rPr>
          <w:rStyle w:val="CommentReference"/>
          <w:rFonts w:asciiTheme="minorHAnsi" w:eastAsiaTheme="minorEastAsia" w:hAnsiTheme="minorHAnsi" w:cstheme="minorBidi"/>
          <w:b w:val="0"/>
          <w:caps w:val="0"/>
        </w:rPr>
        <w:commentReference w:id="12"/>
      </w:r>
      <w:r w:rsidRPr="001257FE">
        <w:rPr>
          <w:rFonts w:ascii="Arial" w:hAnsi="Arial" w:cs="Arial"/>
          <w:b w:val="0"/>
          <w:caps w:val="0"/>
          <w:sz w:val="20"/>
        </w:rPr>
        <w:t xml:space="preserve">a. </w:t>
      </w:r>
    </w:p>
    <w:p w:rsidR="00294957" w:rsidRPr="001257FE" w:rsidRDefault="00294957" w:rsidP="00294957">
      <w:pPr>
        <w:pStyle w:val="ReferHead"/>
        <w:spacing w:after="0"/>
        <w:jc w:val="both"/>
        <w:rPr>
          <w:rFonts w:ascii="Arial" w:hAnsi="Arial" w:cs="Arial"/>
          <w:b w:val="0"/>
          <w:caps w:val="0"/>
          <w:sz w:val="18"/>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lastRenderedPageBreak/>
        <w:t>3.1.4 Total lipid contents</w:t>
      </w:r>
    </w:p>
    <w:p w:rsidR="00294957" w:rsidRPr="001257FE" w:rsidRDefault="00294957" w:rsidP="00294957">
      <w:pPr>
        <w:pStyle w:val="ReferHead"/>
        <w:spacing w:after="0"/>
        <w:jc w:val="both"/>
        <w:rPr>
          <w:rFonts w:ascii="Arial" w:hAnsi="Arial" w:cs="Arial"/>
          <w:b w:val="0"/>
          <w:caps w:val="0"/>
          <w:sz w:val="18"/>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Powdered leaves of M. oleifera have the mean contents in total lipid for both maturities of 8.34 ± 0.68 g/100g DM. They do not present significant correlations (Table 2) with the functional properties of powders. However, the total lipid contents obtained in that study are similar to those reported (8.38 ± 0.63 g/100g DM) by Olusanya et al. [24] in the leaves of M. oleifera from South African. Those low lipid contents are an advantage in the formulation of composite powders for the manufacture of some products as biscuit, bread [25]. That reduces the eventual oxidation reactions of fat responsible for the rancidity of product processed.</w:t>
      </w:r>
    </w:p>
    <w:p w:rsidR="00294957" w:rsidRPr="001257FE" w:rsidRDefault="00294957" w:rsidP="00294957">
      <w:pPr>
        <w:pStyle w:val="ReferHead"/>
        <w:spacing w:after="0"/>
        <w:jc w:val="both"/>
        <w:rPr>
          <w:rFonts w:ascii="Arial" w:hAnsi="Arial" w:cs="Arial"/>
          <w:b w:val="0"/>
          <w:caps w:val="0"/>
          <w:sz w:val="20"/>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3.1.5 Total ash contents</w:t>
      </w:r>
    </w:p>
    <w:p w:rsidR="00294957" w:rsidRPr="001257FE" w:rsidRDefault="00294957" w:rsidP="00294957">
      <w:pPr>
        <w:pStyle w:val="ReferHead"/>
        <w:spacing w:after="0"/>
        <w:jc w:val="both"/>
        <w:rPr>
          <w:rFonts w:ascii="Arial" w:hAnsi="Arial" w:cs="Arial"/>
          <w:b w:val="0"/>
          <w:caps w:val="0"/>
          <w:sz w:val="20"/>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 xml:space="preserve">The leaf powders of </w:t>
      </w:r>
      <w:commentRangeStart w:id="13"/>
      <w:r w:rsidRPr="001257FE">
        <w:rPr>
          <w:rFonts w:ascii="Arial" w:hAnsi="Arial" w:cs="Arial"/>
          <w:b w:val="0"/>
          <w:caps w:val="0"/>
          <w:sz w:val="20"/>
        </w:rPr>
        <w:t>M. oleifera</w:t>
      </w:r>
      <w:commentRangeEnd w:id="13"/>
      <w:r w:rsidR="00713C46">
        <w:rPr>
          <w:rStyle w:val="CommentReference"/>
          <w:rFonts w:asciiTheme="minorHAnsi" w:eastAsiaTheme="minorEastAsia" w:hAnsiTheme="minorHAnsi" w:cstheme="minorBidi"/>
          <w:b w:val="0"/>
          <w:caps w:val="0"/>
        </w:rPr>
        <w:commentReference w:id="13"/>
      </w:r>
      <w:r w:rsidRPr="001257FE">
        <w:rPr>
          <w:rFonts w:ascii="Arial" w:hAnsi="Arial" w:cs="Arial"/>
          <w:b w:val="0"/>
          <w:caps w:val="0"/>
          <w:sz w:val="20"/>
        </w:rPr>
        <w:t xml:space="preserve"> are a major source of minerals [5]. Those are used to alleviate many mineral deficiencies (calcium, magnesium, iron, zinc) [26]. It’s why several consumers add them in the crudities, salads, and sauces to increase their nutritional density. The total ash contents of powders leaves of M. oleifera obtained in that study vary from 7.70 ± 0.50 to 10.46 ± 0.45 g/100 g DM. Their mean contents are 8.75 ± 0.74 and 9.08 ± 0.48 g/100g DM in young and mature leaves respectively and are slightly high to those reported (7.27± 0.25 g/100g DM) by Oladeji et al. [27]. These results confirm the richness of the powdered leaves of M. oleifera in minerals. The previous works in the leaves of </w:t>
      </w:r>
      <w:commentRangeStart w:id="14"/>
      <w:r w:rsidRPr="001257FE">
        <w:rPr>
          <w:rFonts w:ascii="Arial" w:hAnsi="Arial" w:cs="Arial"/>
          <w:b w:val="0"/>
          <w:caps w:val="0"/>
          <w:sz w:val="20"/>
        </w:rPr>
        <w:t>M. oleifera</w:t>
      </w:r>
      <w:commentRangeEnd w:id="14"/>
      <w:r w:rsidR="00713C46">
        <w:rPr>
          <w:rStyle w:val="CommentReference"/>
          <w:rFonts w:asciiTheme="minorHAnsi" w:eastAsiaTheme="minorEastAsia" w:hAnsiTheme="minorHAnsi" w:cstheme="minorBidi"/>
          <w:b w:val="0"/>
          <w:caps w:val="0"/>
        </w:rPr>
        <w:commentReference w:id="14"/>
      </w:r>
      <w:r w:rsidRPr="001257FE">
        <w:rPr>
          <w:rFonts w:ascii="Arial" w:hAnsi="Arial" w:cs="Arial"/>
          <w:b w:val="0"/>
          <w:caps w:val="0"/>
          <w:sz w:val="20"/>
        </w:rPr>
        <w:t xml:space="preserve"> of Cameroon reported the high contents in calcium, potassium, iron, zinc, and manganese [5]. We observe no significant correlation between total ash and functional properties (Table 2). That indicates probably no major interactions between ions and the functional properties studied.  </w:t>
      </w:r>
    </w:p>
    <w:p w:rsidR="00294957" w:rsidRPr="001257FE" w:rsidRDefault="00294957" w:rsidP="00294957">
      <w:pPr>
        <w:pStyle w:val="ReferHead"/>
        <w:spacing w:after="0"/>
        <w:jc w:val="both"/>
        <w:rPr>
          <w:rFonts w:ascii="Arial" w:hAnsi="Arial" w:cs="Arial"/>
          <w:b w:val="0"/>
          <w:caps w:val="0"/>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3.1.6 Total fibers contents</w:t>
      </w:r>
    </w:p>
    <w:p w:rsidR="00294957" w:rsidRPr="001257FE" w:rsidRDefault="00294957" w:rsidP="00294957">
      <w:pPr>
        <w:pStyle w:val="ReferHead"/>
        <w:spacing w:after="0"/>
        <w:jc w:val="both"/>
        <w:rPr>
          <w:rFonts w:ascii="Arial" w:hAnsi="Arial" w:cs="Arial"/>
          <w:b w:val="0"/>
          <w:caps w:val="0"/>
          <w:sz w:val="24"/>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Dietary fiber is a term that describes the non-digestible carbohydrates from plants and is a key component of a healthy diet [</w:t>
      </w:r>
      <w:r w:rsidR="00F1205C" w:rsidRPr="001257FE">
        <w:rPr>
          <w:rFonts w:ascii="Arial" w:hAnsi="Arial" w:cs="Arial"/>
          <w:b w:val="0"/>
          <w:caps w:val="0"/>
          <w:sz w:val="20"/>
        </w:rPr>
        <w:t>28,</w:t>
      </w:r>
      <w:r w:rsidRPr="001257FE">
        <w:rPr>
          <w:rFonts w:ascii="Arial" w:hAnsi="Arial" w:cs="Arial"/>
          <w:b w:val="0"/>
          <w:caps w:val="0"/>
          <w:sz w:val="20"/>
        </w:rPr>
        <w:t xml:space="preserve">29]. Their presence in the food does not only correlates to the health benefit but also affects significantly his behavior during the manufacture. In the M. oleifera leaves powders studied, the total fibers contents varied from 21.12 ± 0.98 to 27.58 ± 1.04 g/100g DM. Their mean contents are 21.13 ± 1.34 and 27.14 ± 1.04 g/100g DM respectively in young and mature leaves. The similar results (28.91 ± 0.13 g/100g DM) was obtained by Caicedo-Lopez et al. [30] in M. oleifera leaves powders of Mexico. We observe that (Table 2) the total fibers presents the positive significant </w:t>
      </w:r>
      <w:r w:rsidRPr="001257FE">
        <w:rPr>
          <w:rFonts w:ascii="Arial" w:hAnsi="Arial" w:cs="Arial"/>
          <w:b w:val="0"/>
          <w:caps w:val="0"/>
          <w:sz w:val="20"/>
        </w:rPr>
        <w:lastRenderedPageBreak/>
        <w:t xml:space="preserve">correlations between OHC (r= 0.803; P=0.002); WACa (r= 0.764; P= 0.004); WACt (r= 0.942; P= 0.001); WSI (r=0.938; P= 0.001). About that result, the increase of the total fibers contents favor also the increase of functional properties. That can explain by the fact that the fibers possess hydrophilic and lipophilic properties which significantly improve the rehydration properties and OHC of the powders. Barchechath [31] reports the lipophilic and hydrophilic properties of fibers in his works and their importance in the food formulation and management of hyperglycemia. High contents of total fibers in M. oleifera leaves increase the functional properties (WAC, OHC, WSI) of powders and their utilization in several food domains (healthy diet, food powders, functional food, and supplement food).  </w:t>
      </w:r>
    </w:p>
    <w:p w:rsidR="00294957" w:rsidRPr="001257FE" w:rsidRDefault="00294957" w:rsidP="00E85B67">
      <w:pPr>
        <w:pStyle w:val="ReferHead"/>
        <w:spacing w:after="0"/>
        <w:jc w:val="both"/>
        <w:rPr>
          <w:rFonts w:ascii="Arial" w:hAnsi="Arial" w:cs="Arial"/>
          <w:caps w:val="0"/>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rPr>
        <w:t xml:space="preserve">3.2 Functional Properties </w:t>
      </w:r>
    </w:p>
    <w:p w:rsidR="00294957" w:rsidRPr="001257FE" w:rsidRDefault="00294957" w:rsidP="00294957">
      <w:pPr>
        <w:pStyle w:val="ReferHead"/>
        <w:spacing w:after="0"/>
        <w:jc w:val="both"/>
        <w:rPr>
          <w:rFonts w:ascii="Arial" w:hAnsi="Arial" w:cs="Arial"/>
          <w:b w:val="0"/>
          <w:caps w:val="0"/>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Previously was showed that only available carbohydrate, fibers, and total protein contents significantly affect the functional properties of leaves powders of M. oleifera. We observed that these compounds for each maturity were not presented a significant difference from one to another locality. For this purpose, the functional properties of powder leaves from one locality were studied. These properties do not depend on only compounds contents of powders, but also his particle size distributions.</w:t>
      </w:r>
    </w:p>
    <w:p w:rsidR="00294957" w:rsidRPr="001257FE" w:rsidRDefault="00294957" w:rsidP="0029495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 xml:space="preserve">3.2.1 Particles </w:t>
      </w:r>
      <w:commentRangeStart w:id="15"/>
      <w:r w:rsidRPr="001257FE">
        <w:rPr>
          <w:rFonts w:ascii="Arial" w:hAnsi="Arial" w:cs="Arial"/>
          <w:caps w:val="0"/>
          <w:sz w:val="20"/>
        </w:rPr>
        <w:t>size</w:t>
      </w:r>
      <w:commentRangeEnd w:id="15"/>
      <w:r w:rsidR="00713C46">
        <w:rPr>
          <w:rStyle w:val="CommentReference"/>
          <w:rFonts w:asciiTheme="minorHAnsi" w:eastAsiaTheme="minorEastAsia" w:hAnsiTheme="minorHAnsi" w:cstheme="minorBidi"/>
          <w:b w:val="0"/>
          <w:caps w:val="0"/>
        </w:rPr>
        <w:commentReference w:id="15"/>
      </w:r>
      <w:r w:rsidRPr="001257FE">
        <w:rPr>
          <w:rFonts w:ascii="Arial" w:hAnsi="Arial" w:cs="Arial"/>
          <w:caps w:val="0"/>
          <w:sz w:val="20"/>
        </w:rPr>
        <w:t xml:space="preserve"> distributions</w:t>
      </w:r>
    </w:p>
    <w:p w:rsidR="00294957" w:rsidRPr="001257FE" w:rsidRDefault="00294957" w:rsidP="0029495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The particle size of young and mature leaves powders of</w:t>
      </w:r>
      <w:commentRangeStart w:id="16"/>
      <w:r w:rsidRPr="001257FE">
        <w:rPr>
          <w:rFonts w:ascii="Arial" w:hAnsi="Arial" w:cs="Arial"/>
          <w:b w:val="0"/>
          <w:caps w:val="0"/>
          <w:sz w:val="20"/>
        </w:rPr>
        <w:t xml:space="preserve"> M. oleifera</w:t>
      </w:r>
      <w:commentRangeEnd w:id="16"/>
      <w:r w:rsidR="00713C46">
        <w:rPr>
          <w:rStyle w:val="CommentReference"/>
          <w:rFonts w:asciiTheme="minorHAnsi" w:eastAsiaTheme="minorEastAsia" w:hAnsiTheme="minorHAnsi" w:cstheme="minorBidi"/>
          <w:b w:val="0"/>
          <w:caps w:val="0"/>
        </w:rPr>
        <w:commentReference w:id="16"/>
      </w:r>
      <w:r w:rsidRPr="001257FE">
        <w:rPr>
          <w:rFonts w:ascii="Arial" w:hAnsi="Arial" w:cs="Arial"/>
          <w:b w:val="0"/>
          <w:caps w:val="0"/>
          <w:sz w:val="20"/>
        </w:rPr>
        <w:t xml:space="preserve"> vary from 40 to 800 µm (Fig. 1). Three range 40-100; 100-400; 400-800 µm corresponding to the mono-modal particle size distributions each of whom the modes are 50, 250, 500 µm respectively, characterize these powders. However, only the </w:t>
      </w:r>
      <w:commentRangeStart w:id="17"/>
      <w:r w:rsidRPr="001257FE">
        <w:rPr>
          <w:rFonts w:ascii="Arial" w:hAnsi="Arial" w:cs="Arial"/>
          <w:b w:val="0"/>
          <w:caps w:val="0"/>
          <w:sz w:val="20"/>
        </w:rPr>
        <w:t>particle</w:t>
      </w:r>
      <w:commentRangeEnd w:id="17"/>
      <w:r w:rsidR="00A0714A">
        <w:rPr>
          <w:rStyle w:val="CommentReference"/>
          <w:rFonts w:asciiTheme="minorHAnsi" w:eastAsiaTheme="minorEastAsia" w:hAnsiTheme="minorHAnsi" w:cstheme="minorBidi"/>
          <w:b w:val="0"/>
          <w:caps w:val="0"/>
        </w:rPr>
        <w:commentReference w:id="17"/>
      </w:r>
      <w:r w:rsidRPr="001257FE">
        <w:rPr>
          <w:rFonts w:ascii="Arial" w:hAnsi="Arial" w:cs="Arial"/>
          <w:b w:val="0"/>
          <w:caps w:val="0"/>
          <w:sz w:val="20"/>
        </w:rPr>
        <w:t xml:space="preserve"> </w:t>
      </w:r>
      <w:commentRangeStart w:id="18"/>
      <w:r w:rsidRPr="001257FE">
        <w:rPr>
          <w:rFonts w:ascii="Arial" w:hAnsi="Arial" w:cs="Arial"/>
          <w:b w:val="0"/>
          <w:caps w:val="0"/>
          <w:sz w:val="20"/>
        </w:rPr>
        <w:t>size</w:t>
      </w:r>
      <w:commentRangeEnd w:id="18"/>
      <w:r w:rsidR="00A0714A">
        <w:rPr>
          <w:rStyle w:val="CommentReference"/>
          <w:rFonts w:asciiTheme="minorHAnsi" w:eastAsiaTheme="minorEastAsia" w:hAnsiTheme="minorHAnsi" w:cstheme="minorBidi"/>
          <w:b w:val="0"/>
          <w:caps w:val="0"/>
        </w:rPr>
        <w:commentReference w:id="18"/>
      </w:r>
      <w:r w:rsidRPr="001257FE">
        <w:rPr>
          <w:rFonts w:ascii="Arial" w:hAnsi="Arial" w:cs="Arial"/>
          <w:b w:val="0"/>
          <w:caps w:val="0"/>
          <w:sz w:val="20"/>
        </w:rPr>
        <w:t xml:space="preserve"> distribution of 100-400 µm characterized by the high percentages of particles with a maximum of 34.12 and 34.58% in young and mature leaves, respectively. That </w:t>
      </w:r>
      <w:commentRangeStart w:id="19"/>
      <w:r w:rsidRPr="001257FE">
        <w:rPr>
          <w:rFonts w:ascii="Arial" w:hAnsi="Arial" w:cs="Arial"/>
          <w:b w:val="0"/>
          <w:caps w:val="0"/>
          <w:sz w:val="20"/>
        </w:rPr>
        <w:t>particle</w:t>
      </w:r>
      <w:commentRangeEnd w:id="19"/>
      <w:r w:rsidR="00A0714A">
        <w:rPr>
          <w:rStyle w:val="CommentReference"/>
          <w:rFonts w:asciiTheme="minorHAnsi" w:eastAsiaTheme="minorEastAsia" w:hAnsiTheme="minorHAnsi" w:cstheme="minorBidi"/>
          <w:b w:val="0"/>
          <w:caps w:val="0"/>
        </w:rPr>
        <w:commentReference w:id="19"/>
      </w:r>
      <w:r w:rsidRPr="001257FE">
        <w:rPr>
          <w:rFonts w:ascii="Arial" w:hAnsi="Arial" w:cs="Arial"/>
          <w:b w:val="0"/>
          <w:caps w:val="0"/>
          <w:sz w:val="20"/>
        </w:rPr>
        <w:t xml:space="preserve"> </w:t>
      </w:r>
      <w:commentRangeStart w:id="20"/>
      <w:r w:rsidRPr="001257FE">
        <w:rPr>
          <w:rFonts w:ascii="Arial" w:hAnsi="Arial" w:cs="Arial"/>
          <w:b w:val="0"/>
          <w:caps w:val="0"/>
          <w:sz w:val="20"/>
        </w:rPr>
        <w:t>size</w:t>
      </w:r>
      <w:commentRangeEnd w:id="20"/>
      <w:r w:rsidR="00A0714A">
        <w:rPr>
          <w:rStyle w:val="CommentReference"/>
          <w:rFonts w:asciiTheme="minorHAnsi" w:eastAsiaTheme="minorEastAsia" w:hAnsiTheme="minorHAnsi" w:cstheme="minorBidi"/>
          <w:b w:val="0"/>
          <w:caps w:val="0"/>
        </w:rPr>
        <w:commentReference w:id="20"/>
      </w:r>
      <w:r w:rsidRPr="001257FE">
        <w:rPr>
          <w:rFonts w:ascii="Arial" w:hAnsi="Arial" w:cs="Arial"/>
          <w:b w:val="0"/>
          <w:caps w:val="0"/>
          <w:sz w:val="20"/>
        </w:rPr>
        <w:t xml:space="preserve"> distribution (100-400 µm) significantly affects the behavior of the powders. Indeed, these young and mature leaves of M. oleifera powders studied are the large particles (&gt; 100 µm). They will tend to segregate and could to be a limiting factor of rehydration properties [11].  </w:t>
      </w:r>
    </w:p>
    <w:p w:rsidR="00294957" w:rsidRPr="001257FE" w:rsidRDefault="00294957" w:rsidP="00294957">
      <w:pPr>
        <w:pStyle w:val="ReferHead"/>
        <w:spacing w:after="0"/>
        <w:jc w:val="both"/>
        <w:rPr>
          <w:rFonts w:ascii="Arial" w:hAnsi="Arial" w:cs="Arial"/>
          <w:b w:val="0"/>
          <w:caps w:val="0"/>
          <w:sz w:val="20"/>
        </w:rPr>
      </w:pPr>
    </w:p>
    <w:p w:rsidR="00294957" w:rsidRPr="001257FE" w:rsidRDefault="00D66E4A" w:rsidP="00294957">
      <w:pPr>
        <w:pStyle w:val="ReferHead"/>
        <w:spacing w:after="0"/>
        <w:jc w:val="both"/>
        <w:rPr>
          <w:rFonts w:ascii="Arial" w:hAnsi="Arial" w:cs="Arial"/>
          <w:caps w:val="0"/>
          <w:sz w:val="20"/>
        </w:rPr>
      </w:pPr>
      <w:r w:rsidRPr="001257FE">
        <w:rPr>
          <w:rFonts w:ascii="Arial" w:hAnsi="Arial" w:cs="Arial"/>
          <w:caps w:val="0"/>
          <w:sz w:val="20"/>
        </w:rPr>
        <w:t>3.2.2 Water absorption c</w:t>
      </w:r>
      <w:r w:rsidR="00294957" w:rsidRPr="001257FE">
        <w:rPr>
          <w:rFonts w:ascii="Arial" w:hAnsi="Arial" w:cs="Arial"/>
          <w:caps w:val="0"/>
          <w:sz w:val="20"/>
        </w:rPr>
        <w:t xml:space="preserve">apacity </w:t>
      </w:r>
    </w:p>
    <w:p w:rsidR="00294957" w:rsidRPr="001257FE" w:rsidRDefault="00294957" w:rsidP="00294957">
      <w:pPr>
        <w:pStyle w:val="ReferHead"/>
        <w:spacing w:after="0"/>
        <w:jc w:val="both"/>
        <w:rPr>
          <w:rFonts w:ascii="Arial" w:hAnsi="Arial" w:cs="Arial"/>
          <w:b w:val="0"/>
          <w:caps w:val="0"/>
          <w:sz w:val="20"/>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 xml:space="preserve">Generally, the powders are added to the foods (sauces, porridges) to regulate their viscosity. However, their utilization for that purpose depends on their Water Absorption Capacity </w:t>
      </w:r>
      <w:r w:rsidRPr="001257FE">
        <w:rPr>
          <w:rFonts w:ascii="Arial" w:hAnsi="Arial" w:cs="Arial"/>
          <w:b w:val="0"/>
          <w:caps w:val="0"/>
          <w:sz w:val="20"/>
        </w:rPr>
        <w:lastRenderedPageBreak/>
        <w:t>(WAC). Indeed, the WAC is the water quantity in gram absorbed by one hundred gram of powder after saturation and centrifugation. Fig</w:t>
      </w:r>
      <w:r w:rsidR="00A71F45" w:rsidRPr="001257FE">
        <w:rPr>
          <w:rFonts w:ascii="Arial" w:hAnsi="Arial" w:cs="Arial"/>
          <w:b w:val="0"/>
          <w:caps w:val="0"/>
          <w:sz w:val="20"/>
        </w:rPr>
        <w:t xml:space="preserve">. </w:t>
      </w:r>
      <w:r w:rsidRPr="001257FE">
        <w:rPr>
          <w:rFonts w:ascii="Arial" w:hAnsi="Arial" w:cs="Arial"/>
          <w:b w:val="0"/>
          <w:caps w:val="0"/>
          <w:sz w:val="20"/>
        </w:rPr>
        <w:t xml:space="preserve">2 displayed the WAC from young and mature leaves powders of </w:t>
      </w:r>
      <w:commentRangeStart w:id="21"/>
      <w:r w:rsidRPr="001257FE">
        <w:rPr>
          <w:rFonts w:ascii="Arial" w:hAnsi="Arial" w:cs="Arial"/>
          <w:b w:val="0"/>
          <w:caps w:val="0"/>
          <w:sz w:val="20"/>
        </w:rPr>
        <w:t>M. oleifera</w:t>
      </w:r>
      <w:commentRangeEnd w:id="21"/>
      <w:r w:rsidR="00A0714A">
        <w:rPr>
          <w:rStyle w:val="CommentReference"/>
          <w:rFonts w:asciiTheme="minorHAnsi" w:eastAsiaTheme="minorEastAsia" w:hAnsiTheme="minorHAnsi" w:cstheme="minorBidi"/>
          <w:b w:val="0"/>
          <w:caps w:val="0"/>
        </w:rPr>
        <w:commentReference w:id="21"/>
      </w:r>
      <w:r w:rsidRPr="001257FE">
        <w:rPr>
          <w:rFonts w:ascii="Arial" w:hAnsi="Arial" w:cs="Arial"/>
          <w:b w:val="0"/>
          <w:caps w:val="0"/>
          <w:sz w:val="20"/>
        </w:rPr>
        <w:t xml:space="preserve"> studied. We observe that WACt (true Water Absorption Capacity) is significantly lower than WACa (apparent Water Absorption Capacity) for both maturities. Values are 27.02 ± 0.20 and 32.88 ± 1.24 % for the young leaves and 28.98 ± 0.15 and 35.88 ± 1.02 % for the mature leaves, respectively. These significant differences between WACa and WACt are due to the water losses during the dehydration at the drying time. However, we note that those significant losses are less in the mature leaves to young leaves contrary. That can explain by the higher contents compounds at hydrophilic properties total fibers precisely in the mature leaves (Table 1). Indeed, the leaves of </w:t>
      </w:r>
      <w:commentRangeStart w:id="22"/>
      <w:r w:rsidRPr="001257FE">
        <w:rPr>
          <w:rFonts w:ascii="Arial" w:hAnsi="Arial" w:cs="Arial"/>
          <w:b w:val="0"/>
          <w:caps w:val="0"/>
          <w:sz w:val="20"/>
        </w:rPr>
        <w:t>M. oleifera</w:t>
      </w:r>
      <w:commentRangeEnd w:id="22"/>
      <w:r w:rsidR="00A0714A">
        <w:rPr>
          <w:rStyle w:val="CommentReference"/>
          <w:rFonts w:asciiTheme="minorHAnsi" w:eastAsiaTheme="minorEastAsia" w:hAnsiTheme="minorHAnsi" w:cstheme="minorBidi"/>
          <w:b w:val="0"/>
          <w:caps w:val="0"/>
        </w:rPr>
        <w:commentReference w:id="22"/>
      </w:r>
      <w:r w:rsidRPr="001257FE">
        <w:rPr>
          <w:rFonts w:ascii="Arial" w:hAnsi="Arial" w:cs="Arial"/>
          <w:b w:val="0"/>
          <w:caps w:val="0"/>
          <w:sz w:val="20"/>
        </w:rPr>
        <w:t xml:space="preserve"> are compound of cellulose, hemicellulose, and lignin [10] which are characterized by polysaccharide chains able to keep the water molecules through hydrogen bonds [9]. The significant positive correlations between fibers and WACt (r=0.942, P=0.001, Table 2) higher than WACa (r= 0.764, P=0.004, Table 2) show that hydrophilic properties of fibers keep some quantity of water after dehydration, which contributes significantly to improve their WAC. On the other hand, although the proteins are known to have hydrophilic properties, they do not participate, despite their high contents in leaves studied in the improvement of WAC. The negative significant correlations observed (Table 2) with WACa (r= -0.635, P= 0.026) and WACt (r= - 0.752, P= 0.005) confirm that result. The residues of amino acid which constitute the protein and the destruction of hydrogen bonds between them during the grinding can explain those protein's behavior.</w:t>
      </w:r>
    </w:p>
    <w:p w:rsidR="00294957" w:rsidRPr="001257FE" w:rsidRDefault="00294957" w:rsidP="00294957">
      <w:pPr>
        <w:pStyle w:val="ReferHead"/>
        <w:spacing w:after="0"/>
        <w:jc w:val="both"/>
        <w:rPr>
          <w:rFonts w:ascii="Arial" w:hAnsi="Arial" w:cs="Arial"/>
          <w:b w:val="0"/>
          <w:caps w:val="0"/>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 xml:space="preserve">3.2.3 Water solubility index  </w:t>
      </w:r>
    </w:p>
    <w:p w:rsidR="00294957" w:rsidRPr="001257FE" w:rsidRDefault="00294957" w:rsidP="0029495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 xml:space="preserve">The Water Solubility Index (WSI) reflects the ability of a powder to dissolve in water. It’s an indispensable functional property in the study of the properties of powders on rehydration. Fig.3 displayed the WSI from young and mature leaves powders of </w:t>
      </w:r>
      <w:commentRangeStart w:id="23"/>
      <w:r w:rsidRPr="001257FE">
        <w:rPr>
          <w:rFonts w:ascii="Arial" w:hAnsi="Arial" w:cs="Arial"/>
          <w:b w:val="0"/>
          <w:caps w:val="0"/>
          <w:sz w:val="20"/>
        </w:rPr>
        <w:t>M. oleifera</w:t>
      </w:r>
      <w:commentRangeEnd w:id="23"/>
      <w:r w:rsidR="00A0714A">
        <w:rPr>
          <w:rStyle w:val="CommentReference"/>
          <w:rFonts w:asciiTheme="minorHAnsi" w:eastAsiaTheme="minorEastAsia" w:hAnsiTheme="minorHAnsi" w:cstheme="minorBidi"/>
          <w:b w:val="0"/>
          <w:caps w:val="0"/>
        </w:rPr>
        <w:commentReference w:id="23"/>
      </w:r>
      <w:r w:rsidRPr="001257FE">
        <w:rPr>
          <w:rFonts w:ascii="Arial" w:hAnsi="Arial" w:cs="Arial"/>
          <w:b w:val="0"/>
          <w:caps w:val="0"/>
          <w:sz w:val="20"/>
        </w:rPr>
        <w:t xml:space="preserve"> with values of 3.02 ± 0.06 and 3.5 ± 0.04 %, respectively. We note that the WSI increases significantly from young to mature leaves. That increase is probably due to the high contents of fibers in the mature leaves. Indeed, the high positive significant correlation (Table 2) between WSI and WACt (r=0.999, P=0.001), fiber (r=0.938, P= 0.001), and WACa (r= 0.874, P= 0.002) show that in the powders, fibers are one of the main compounds which facilitate the absorption of water and dissolution of powders. On the other hand, the significant negative correlation between WSI and protein (r= -0.750, P= 0.005) and available carbohydrate (r= -0.893, P= 0.001) show that both compounds contribute to limit the solubility of powders. This result shows that the contents of compounds of M. oleifera should be always considered before any utilization. Barchechath [31] reports that beyond the contents of the compounds some factor as pH, type of ions in solution, temperature and internal parameters such as particle distribution, influences significantly the rehydration properties of powders. </w:t>
      </w:r>
    </w:p>
    <w:p w:rsidR="00294957" w:rsidRPr="001257FE" w:rsidRDefault="00294957" w:rsidP="00294957">
      <w:pPr>
        <w:pStyle w:val="ReferHead"/>
        <w:spacing w:after="0"/>
        <w:jc w:val="both"/>
        <w:rPr>
          <w:rFonts w:ascii="Arial" w:hAnsi="Arial" w:cs="Arial"/>
          <w:b w:val="0"/>
          <w:caps w:val="0"/>
          <w:sz w:val="18"/>
        </w:rPr>
      </w:pPr>
    </w:p>
    <w:p w:rsidR="00294957" w:rsidRPr="001257FE" w:rsidRDefault="00064CAA" w:rsidP="00294957">
      <w:pPr>
        <w:pStyle w:val="ReferHead"/>
        <w:spacing w:after="0"/>
        <w:jc w:val="both"/>
        <w:rPr>
          <w:rFonts w:ascii="Arial" w:hAnsi="Arial" w:cs="Arial"/>
          <w:caps w:val="0"/>
          <w:sz w:val="20"/>
        </w:rPr>
      </w:pPr>
      <w:r w:rsidRPr="001257FE">
        <w:rPr>
          <w:rFonts w:ascii="Arial" w:hAnsi="Arial" w:cs="Arial"/>
          <w:caps w:val="0"/>
          <w:sz w:val="20"/>
        </w:rPr>
        <w:t>3.2.4 Oil holding c</w:t>
      </w:r>
      <w:r w:rsidR="00294957" w:rsidRPr="001257FE">
        <w:rPr>
          <w:rFonts w:ascii="Arial" w:hAnsi="Arial" w:cs="Arial"/>
          <w:caps w:val="0"/>
          <w:sz w:val="20"/>
        </w:rPr>
        <w:t xml:space="preserve">apacity  </w:t>
      </w:r>
    </w:p>
    <w:p w:rsidR="00294957" w:rsidRPr="001257FE" w:rsidRDefault="00294957" w:rsidP="00294957">
      <w:pPr>
        <w:pStyle w:val="ReferHead"/>
        <w:spacing w:after="0"/>
        <w:jc w:val="both"/>
        <w:rPr>
          <w:rFonts w:ascii="Arial" w:hAnsi="Arial" w:cs="Arial"/>
          <w:b w:val="0"/>
          <w:caps w:val="0"/>
          <w:sz w:val="18"/>
        </w:rPr>
      </w:pPr>
    </w:p>
    <w:p w:rsidR="00294957" w:rsidRPr="001257FE" w:rsidRDefault="00294957" w:rsidP="00294957">
      <w:pPr>
        <w:pStyle w:val="ReferHead"/>
        <w:spacing w:after="0"/>
        <w:jc w:val="both"/>
        <w:rPr>
          <w:rFonts w:ascii="Arial" w:hAnsi="Arial" w:cs="Arial"/>
          <w:b w:val="0"/>
          <w:caps w:val="0"/>
          <w:sz w:val="20"/>
        </w:rPr>
      </w:pPr>
      <w:r w:rsidRPr="001257FE">
        <w:rPr>
          <w:rFonts w:ascii="Arial" w:hAnsi="Arial" w:cs="Arial"/>
          <w:b w:val="0"/>
          <w:caps w:val="0"/>
          <w:sz w:val="20"/>
        </w:rPr>
        <w:t>Fig. 4 present the Oil Holding Capacity (OHC) from young and mature leaves powders of M. oleifera. The values vary from 257 ± 1 and 261 ± 2 %, respectively. We note a significant difference in OHC from young to mature leaves powders. The OHC is the oil quantity in gram retained by one hundred gram of food matrix. Barchechath [31] defines the OHC as the potential quantity of oil retained within a fiber matrix. Indeed, the fiber contents play a significant role, not only in the powders rehydration but also in the increase of OHC of powders studied. The high positive significant correlations between OHC and fibers (r= 0.803, P= 0.002), WACa (r= 0.900, P= 0.001), WACt (r= 0.811, P= 0.001), WSI (r= 0.818, P= 0.001) are in agreement with that result. As previously shown, the fibers constituted by the polysaccharide chains characterized by the lipophilic sites keeping the fat and increase the OHC of powders. Large particle size distribution is another factor that characterizes the powders studied. And can also contribute to increasing the OHC. Total protein (r= -0.681, P= 0.015) and available carbohydrate (r= - 0.671, P= 0.017) contribute rather to limit the OHC in that studied. The compounds of leaves powder of M. oleifera plays a key role in their functional properties. Increase the OHC favorise utilization of powders in the food formulations such as salad dressings, cake batters, sausages [32].</w:t>
      </w:r>
    </w:p>
    <w:p w:rsidR="00294957" w:rsidRPr="001257FE" w:rsidRDefault="00294957" w:rsidP="00294957">
      <w:pPr>
        <w:pStyle w:val="ReferHead"/>
        <w:spacing w:after="0"/>
        <w:jc w:val="both"/>
        <w:rPr>
          <w:rFonts w:ascii="Arial" w:hAnsi="Arial" w:cs="Arial"/>
          <w:b w:val="0"/>
          <w:caps w:val="0"/>
          <w:sz w:val="16"/>
        </w:rPr>
      </w:pPr>
    </w:p>
    <w:p w:rsidR="00294957" w:rsidRPr="001257FE" w:rsidRDefault="00294957" w:rsidP="00294957">
      <w:pPr>
        <w:pStyle w:val="ReferHead"/>
        <w:spacing w:after="0"/>
        <w:jc w:val="both"/>
        <w:rPr>
          <w:rFonts w:ascii="Arial" w:hAnsi="Arial" w:cs="Arial"/>
          <w:caps w:val="0"/>
          <w:sz w:val="20"/>
        </w:rPr>
      </w:pPr>
      <w:r w:rsidRPr="001257FE">
        <w:rPr>
          <w:rFonts w:ascii="Arial" w:hAnsi="Arial" w:cs="Arial"/>
          <w:caps w:val="0"/>
          <w:sz w:val="20"/>
        </w:rPr>
        <w:t xml:space="preserve">3.2.5 Bulk density </w:t>
      </w:r>
    </w:p>
    <w:p w:rsidR="00294957" w:rsidRPr="001257FE" w:rsidRDefault="00294957" w:rsidP="00294957">
      <w:pPr>
        <w:pStyle w:val="ReferHead"/>
        <w:spacing w:after="0"/>
        <w:jc w:val="both"/>
        <w:rPr>
          <w:rFonts w:ascii="Arial" w:hAnsi="Arial" w:cs="Arial"/>
          <w:b w:val="0"/>
          <w:caps w:val="0"/>
          <w:sz w:val="18"/>
        </w:rPr>
      </w:pPr>
    </w:p>
    <w:p w:rsidR="00C128F5" w:rsidRPr="001257FE" w:rsidRDefault="00294957" w:rsidP="00E54DEB">
      <w:pPr>
        <w:pStyle w:val="ReferHead"/>
        <w:spacing w:after="0"/>
        <w:jc w:val="both"/>
        <w:rPr>
          <w:rFonts w:ascii="Arial" w:hAnsi="Arial" w:cs="Arial"/>
          <w:b w:val="0"/>
          <w:caps w:val="0"/>
          <w:sz w:val="20"/>
        </w:rPr>
      </w:pPr>
      <w:r w:rsidRPr="001257FE">
        <w:rPr>
          <w:rFonts w:ascii="Arial" w:hAnsi="Arial" w:cs="Arial"/>
          <w:b w:val="0"/>
          <w:caps w:val="0"/>
          <w:sz w:val="20"/>
        </w:rPr>
        <w:t>Bulk density is the mass of powder that can occupy a given volume. That physical functional property is important in the packaging, handling and transportation of powders. The density of young and mature leaves powders arepresented in the Fig</w:t>
      </w:r>
      <w:r w:rsidR="00A71F45" w:rsidRPr="001257FE">
        <w:rPr>
          <w:rFonts w:ascii="Arial" w:hAnsi="Arial" w:cs="Arial"/>
          <w:b w:val="0"/>
          <w:caps w:val="0"/>
          <w:sz w:val="20"/>
        </w:rPr>
        <w:t xml:space="preserve">. </w:t>
      </w:r>
      <w:r w:rsidRPr="001257FE">
        <w:rPr>
          <w:rFonts w:ascii="Arial" w:hAnsi="Arial" w:cs="Arial"/>
          <w:b w:val="0"/>
          <w:caps w:val="0"/>
          <w:sz w:val="20"/>
        </w:rPr>
        <w:t>5. We observe that the density of young is higher than mature leaves with values of 0.42 ± 0.01 and 0.39 ± 0.01 g/ml. Those values are lower than this (0.66 ± 0.01 g/ml) reported by Deli et al. [11] on Hibiscus sabdariffa for the range of particles 180 to 315 µm. That difference is probably due to the determination method used. In the other hand, we note that only available carbohydrate present the positive significant correlation (Table 2) with bulk density (r= 0.764, P= 0.004) while fibers (r= - 0.743, P= 0.006) the negative significant correlation. This result show that contrary to the fibers, available carbohydrate more abundant in young leaves, could significantly contribute to increase the bulk density of powders studied. On the other hand, the negative significant correlations (Table 2) with WACa (r = - 0.749, P= 0.005), WACt (r= - 0.878, P= 0.002), WSI (r= -0.881, P= 0.002) show that only the physical properties of powders affects the density. Indeed, the particle size distribution seem to be one of main factor which influence the density of powders. The large</w:t>
      </w:r>
      <w:r w:rsidR="00A009BC" w:rsidRPr="001257FE">
        <w:rPr>
          <w:rFonts w:ascii="Arial" w:hAnsi="Arial" w:cs="Arial"/>
          <w:b w:val="0"/>
          <w:caps w:val="0"/>
          <w:sz w:val="20"/>
        </w:rPr>
        <w:t xml:space="preserve"> particle size limit the cohesion and rehydration powders but exhibited the higher bulk density [</w:t>
      </w:r>
      <w:r w:rsidR="00F1205C" w:rsidRPr="001257FE">
        <w:rPr>
          <w:rFonts w:ascii="Arial" w:hAnsi="Arial" w:cs="Arial"/>
          <w:b w:val="0"/>
          <w:caps w:val="0"/>
          <w:sz w:val="20"/>
        </w:rPr>
        <w:t>9,</w:t>
      </w:r>
      <w:r w:rsidR="00A009BC" w:rsidRPr="001257FE">
        <w:rPr>
          <w:rFonts w:ascii="Arial" w:hAnsi="Arial" w:cs="Arial"/>
          <w:b w:val="0"/>
          <w:caps w:val="0"/>
          <w:sz w:val="20"/>
        </w:rPr>
        <w:t>11].</w:t>
      </w:r>
    </w:p>
    <w:p w:rsidR="006822AA" w:rsidRPr="001257FE" w:rsidRDefault="006822AA" w:rsidP="00E54DEB">
      <w:pPr>
        <w:pStyle w:val="ReferHead"/>
        <w:spacing w:after="0"/>
        <w:jc w:val="both"/>
        <w:rPr>
          <w:rFonts w:ascii="Arial" w:hAnsi="Arial" w:cs="Arial"/>
          <w:b w:val="0"/>
          <w:caps w:val="0"/>
          <w:sz w:val="20"/>
        </w:rPr>
        <w:sectPr w:rsidR="006822AA" w:rsidRPr="001257FE" w:rsidSect="00001924">
          <w:type w:val="continuous"/>
          <w:pgSz w:w="11909" w:h="16834" w:code="9"/>
          <w:pgMar w:top="1440" w:right="1440" w:bottom="1440" w:left="1440" w:header="720" w:footer="864" w:gutter="0"/>
          <w:pgNumType w:start="61"/>
          <w:cols w:num="2" w:space="288"/>
          <w:docGrid w:linePitch="360"/>
        </w:sectPr>
      </w:pPr>
    </w:p>
    <w:p w:rsidR="00C128F5" w:rsidRPr="001257FE" w:rsidRDefault="00C128F5" w:rsidP="00C128F5">
      <w:pPr>
        <w:pStyle w:val="ReferHead"/>
        <w:spacing w:after="0"/>
        <w:jc w:val="center"/>
        <w:rPr>
          <w:rFonts w:ascii="Arial" w:hAnsi="Arial" w:cs="Arial"/>
          <w:b w:val="0"/>
          <w:caps w:val="0"/>
          <w:sz w:val="20"/>
        </w:rPr>
      </w:pPr>
      <w:r w:rsidRPr="001257FE">
        <w:rPr>
          <w:rFonts w:ascii="Arial" w:hAnsi="Arial" w:cs="Arial"/>
          <w:caps w:val="0"/>
          <w:sz w:val="20"/>
        </w:rPr>
        <w:t xml:space="preserve">Table 1. Proximate composition of young and mature leaves of </w:t>
      </w:r>
      <w:commentRangeStart w:id="24"/>
      <w:r w:rsidRPr="001257FE">
        <w:rPr>
          <w:rFonts w:ascii="Arial" w:hAnsi="Arial" w:cs="Arial"/>
          <w:caps w:val="0"/>
          <w:sz w:val="20"/>
        </w:rPr>
        <w:t>M. oleifera</w:t>
      </w:r>
      <w:commentRangeEnd w:id="24"/>
      <w:r w:rsidR="00A0714A">
        <w:rPr>
          <w:rStyle w:val="CommentReference"/>
          <w:rFonts w:asciiTheme="minorHAnsi" w:eastAsiaTheme="minorEastAsia" w:hAnsiTheme="minorHAnsi" w:cstheme="minorBidi"/>
          <w:b w:val="0"/>
          <w:caps w:val="0"/>
        </w:rPr>
        <w:commentReference w:id="24"/>
      </w:r>
      <w:r w:rsidRPr="001257FE">
        <w:rPr>
          <w:rFonts w:ascii="Arial" w:hAnsi="Arial" w:cs="Arial"/>
          <w:caps w:val="0"/>
          <w:sz w:val="20"/>
        </w:rPr>
        <w:t xml:space="preserve"> (g/100gDM)</w:t>
      </w:r>
    </w:p>
    <w:p w:rsidR="00C128F5" w:rsidRPr="001257FE" w:rsidRDefault="00C128F5" w:rsidP="00C128F5">
      <w:pPr>
        <w:pStyle w:val="ReferHead"/>
        <w:spacing w:after="0"/>
        <w:jc w:val="both"/>
        <w:rPr>
          <w:rFonts w:ascii="Arial" w:hAnsi="Arial" w:cs="Arial"/>
          <w:b w:val="0"/>
          <w:caps w:val="0"/>
          <w:sz w:val="18"/>
        </w:rPr>
      </w:pPr>
    </w:p>
    <w:tbl>
      <w:tblPr>
        <w:tblStyle w:val="TableGrid1"/>
        <w:tblW w:w="4921" w:type="pct"/>
        <w:jc w:val="center"/>
        <w:tblLook w:val="04A0"/>
      </w:tblPr>
      <w:tblGrid>
        <w:gridCol w:w="2242"/>
        <w:gridCol w:w="2600"/>
        <w:gridCol w:w="2462"/>
        <w:gridCol w:w="3327"/>
        <w:gridCol w:w="2139"/>
        <w:gridCol w:w="2156"/>
        <w:gridCol w:w="2294"/>
      </w:tblGrid>
      <w:tr w:rsidR="00C128F5" w:rsidRPr="001257FE" w:rsidTr="006822AA">
        <w:trPr>
          <w:trHeight w:val="20"/>
          <w:jc w:val="center"/>
        </w:trPr>
        <w:tc>
          <w:tcPr>
            <w:tcW w:w="651" w:type="pct"/>
            <w:tcBorders>
              <w:left w:val="nil"/>
              <w:bottom w:val="single" w:sz="4" w:space="0" w:color="auto"/>
              <w:right w:val="nil"/>
            </w:tcBorders>
          </w:tcPr>
          <w:p w:rsidR="00C128F5" w:rsidRPr="001257FE" w:rsidRDefault="00C128F5" w:rsidP="00E54DEB">
            <w:pPr>
              <w:rPr>
                <w:rFonts w:ascii="Arial" w:hAnsi="Arial" w:cs="Arial"/>
                <w:b/>
                <w:color w:val="000000"/>
                <w:sz w:val="20"/>
                <w:szCs w:val="20"/>
              </w:rPr>
            </w:pPr>
            <w:r w:rsidRPr="001257FE">
              <w:rPr>
                <w:rFonts w:ascii="Arial" w:hAnsi="Arial" w:cs="Arial"/>
                <w:b/>
                <w:color w:val="000000"/>
                <w:sz w:val="20"/>
                <w:szCs w:val="20"/>
              </w:rPr>
              <w:t>Powders</w:t>
            </w:r>
          </w:p>
        </w:tc>
        <w:tc>
          <w:tcPr>
            <w:tcW w:w="755" w:type="pct"/>
            <w:tcBorders>
              <w:left w:val="nil"/>
              <w:bottom w:val="single" w:sz="4" w:space="0" w:color="auto"/>
              <w:right w:val="nil"/>
            </w:tcBorders>
          </w:tcPr>
          <w:p w:rsidR="00C128F5" w:rsidRPr="001257FE" w:rsidRDefault="00C128F5" w:rsidP="00E54DEB">
            <w:pPr>
              <w:rPr>
                <w:rFonts w:ascii="Arial" w:hAnsi="Arial" w:cs="Arial"/>
                <w:b/>
                <w:color w:val="000000"/>
                <w:sz w:val="20"/>
                <w:szCs w:val="20"/>
              </w:rPr>
            </w:pPr>
            <w:r w:rsidRPr="001257FE">
              <w:rPr>
                <w:rFonts w:ascii="Arial" w:hAnsi="Arial" w:cs="Arial"/>
                <w:b/>
                <w:color w:val="000000"/>
                <w:sz w:val="20"/>
                <w:szCs w:val="20"/>
              </w:rPr>
              <w:t>Moisture content</w:t>
            </w:r>
          </w:p>
        </w:tc>
        <w:tc>
          <w:tcPr>
            <w:tcW w:w="715" w:type="pct"/>
            <w:tcBorders>
              <w:left w:val="nil"/>
              <w:bottom w:val="single" w:sz="4" w:space="0" w:color="auto"/>
              <w:right w:val="nil"/>
            </w:tcBorders>
          </w:tcPr>
          <w:p w:rsidR="00C128F5" w:rsidRPr="001257FE" w:rsidRDefault="00C128F5" w:rsidP="00E54DEB">
            <w:pPr>
              <w:rPr>
                <w:rFonts w:ascii="Arial" w:hAnsi="Arial" w:cs="Arial"/>
                <w:b/>
                <w:color w:val="000000"/>
                <w:sz w:val="20"/>
                <w:szCs w:val="20"/>
              </w:rPr>
            </w:pPr>
            <w:r w:rsidRPr="001257FE">
              <w:rPr>
                <w:rFonts w:ascii="Arial" w:hAnsi="Arial" w:cs="Arial"/>
                <w:b/>
                <w:color w:val="000000"/>
                <w:sz w:val="20"/>
                <w:szCs w:val="20"/>
              </w:rPr>
              <w:t>Total proteins</w:t>
            </w:r>
          </w:p>
        </w:tc>
        <w:tc>
          <w:tcPr>
            <w:tcW w:w="966" w:type="pct"/>
            <w:tcBorders>
              <w:left w:val="nil"/>
              <w:bottom w:val="single" w:sz="4" w:space="0" w:color="auto"/>
              <w:right w:val="nil"/>
            </w:tcBorders>
          </w:tcPr>
          <w:p w:rsidR="00C128F5" w:rsidRPr="001257FE" w:rsidRDefault="00C128F5" w:rsidP="00E54DEB">
            <w:pPr>
              <w:rPr>
                <w:rFonts w:ascii="Arial" w:hAnsi="Arial" w:cs="Arial"/>
                <w:b/>
                <w:color w:val="000000"/>
                <w:sz w:val="20"/>
                <w:szCs w:val="20"/>
              </w:rPr>
            </w:pPr>
            <w:r w:rsidRPr="001257FE">
              <w:rPr>
                <w:rFonts w:ascii="Arial" w:hAnsi="Arial" w:cs="Arial"/>
                <w:b/>
                <w:color w:val="000000"/>
                <w:sz w:val="20"/>
                <w:szCs w:val="20"/>
              </w:rPr>
              <w:t>Available carbohydrates</w:t>
            </w:r>
          </w:p>
        </w:tc>
        <w:tc>
          <w:tcPr>
            <w:tcW w:w="621" w:type="pct"/>
            <w:tcBorders>
              <w:left w:val="nil"/>
              <w:bottom w:val="single" w:sz="4" w:space="0" w:color="auto"/>
              <w:right w:val="nil"/>
            </w:tcBorders>
          </w:tcPr>
          <w:p w:rsidR="00C128F5" w:rsidRPr="001257FE" w:rsidRDefault="00C128F5" w:rsidP="00E54DEB">
            <w:pPr>
              <w:rPr>
                <w:rFonts w:ascii="Arial" w:hAnsi="Arial" w:cs="Arial"/>
                <w:b/>
                <w:color w:val="000000"/>
                <w:sz w:val="20"/>
                <w:szCs w:val="20"/>
              </w:rPr>
            </w:pPr>
            <w:r w:rsidRPr="001257FE">
              <w:rPr>
                <w:rFonts w:ascii="Arial" w:hAnsi="Arial" w:cs="Arial"/>
                <w:b/>
                <w:color w:val="000000"/>
                <w:sz w:val="20"/>
                <w:szCs w:val="20"/>
              </w:rPr>
              <w:t>Total lipids</w:t>
            </w:r>
          </w:p>
        </w:tc>
        <w:tc>
          <w:tcPr>
            <w:tcW w:w="626" w:type="pct"/>
            <w:tcBorders>
              <w:left w:val="nil"/>
              <w:bottom w:val="single" w:sz="4" w:space="0" w:color="auto"/>
              <w:right w:val="nil"/>
            </w:tcBorders>
          </w:tcPr>
          <w:p w:rsidR="00C128F5" w:rsidRPr="001257FE" w:rsidRDefault="00C128F5" w:rsidP="00E54DEB">
            <w:pPr>
              <w:rPr>
                <w:rFonts w:ascii="Arial" w:hAnsi="Arial" w:cs="Arial"/>
                <w:b/>
                <w:color w:val="000000"/>
                <w:sz w:val="20"/>
                <w:szCs w:val="20"/>
              </w:rPr>
            </w:pPr>
            <w:r w:rsidRPr="001257FE">
              <w:rPr>
                <w:rFonts w:ascii="Arial" w:hAnsi="Arial" w:cs="Arial"/>
                <w:b/>
                <w:color w:val="000000"/>
                <w:sz w:val="20"/>
                <w:szCs w:val="20"/>
              </w:rPr>
              <w:t>Total ash</w:t>
            </w:r>
          </w:p>
        </w:tc>
        <w:tc>
          <w:tcPr>
            <w:tcW w:w="667" w:type="pct"/>
            <w:tcBorders>
              <w:left w:val="nil"/>
              <w:bottom w:val="single" w:sz="4" w:space="0" w:color="auto"/>
              <w:right w:val="nil"/>
            </w:tcBorders>
          </w:tcPr>
          <w:p w:rsidR="00C128F5" w:rsidRPr="001257FE" w:rsidRDefault="00C128F5" w:rsidP="00E54DEB">
            <w:pPr>
              <w:rPr>
                <w:rFonts w:ascii="Arial" w:hAnsi="Arial" w:cs="Arial"/>
                <w:b/>
                <w:color w:val="000000"/>
                <w:sz w:val="20"/>
                <w:szCs w:val="20"/>
              </w:rPr>
            </w:pPr>
            <w:r w:rsidRPr="001257FE">
              <w:rPr>
                <w:rFonts w:ascii="Arial" w:hAnsi="Arial" w:cs="Arial"/>
                <w:b/>
                <w:color w:val="000000"/>
                <w:sz w:val="20"/>
                <w:szCs w:val="20"/>
              </w:rPr>
              <w:t>Total fibers</w:t>
            </w:r>
          </w:p>
        </w:tc>
      </w:tr>
      <w:tr w:rsidR="00C128F5" w:rsidRPr="001257FE" w:rsidTr="006822AA">
        <w:trPr>
          <w:trHeight w:val="20"/>
          <w:jc w:val="center"/>
        </w:trPr>
        <w:tc>
          <w:tcPr>
            <w:tcW w:w="651" w:type="pct"/>
            <w:tcBorders>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YLM</w:t>
            </w:r>
          </w:p>
        </w:tc>
        <w:tc>
          <w:tcPr>
            <w:tcW w:w="755" w:type="pct"/>
            <w:tcBorders>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9.01 ± 0.20</w:t>
            </w:r>
            <w:r w:rsidRPr="001257FE">
              <w:rPr>
                <w:rFonts w:ascii="Arial" w:hAnsi="Arial" w:cs="Arial"/>
                <w:color w:val="000000"/>
                <w:sz w:val="20"/>
                <w:szCs w:val="20"/>
                <w:vertAlign w:val="superscript"/>
              </w:rPr>
              <w:t>a</w:t>
            </w:r>
          </w:p>
        </w:tc>
        <w:tc>
          <w:tcPr>
            <w:tcW w:w="715" w:type="pct"/>
            <w:tcBorders>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24.03 ± 0.48</w:t>
            </w:r>
            <w:r w:rsidRPr="001257FE">
              <w:rPr>
                <w:rFonts w:ascii="Arial" w:hAnsi="Arial" w:cs="Arial"/>
                <w:color w:val="000000"/>
                <w:sz w:val="20"/>
                <w:szCs w:val="20"/>
                <w:vertAlign w:val="superscript"/>
              </w:rPr>
              <w:t>bc</w:t>
            </w:r>
          </w:p>
        </w:tc>
        <w:tc>
          <w:tcPr>
            <w:tcW w:w="966" w:type="pct"/>
            <w:tcBorders>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34.55 ± 0.82</w:t>
            </w:r>
            <w:r w:rsidRPr="001257FE">
              <w:rPr>
                <w:rFonts w:ascii="Arial" w:hAnsi="Arial" w:cs="Arial"/>
                <w:color w:val="000000"/>
                <w:sz w:val="20"/>
                <w:szCs w:val="20"/>
                <w:vertAlign w:val="superscript"/>
              </w:rPr>
              <w:t>b</w:t>
            </w:r>
          </w:p>
        </w:tc>
        <w:tc>
          <w:tcPr>
            <w:tcW w:w="621" w:type="pct"/>
            <w:tcBorders>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8.16 ± 0.62</w:t>
            </w:r>
            <w:r w:rsidRPr="001257FE">
              <w:rPr>
                <w:rFonts w:ascii="Arial" w:hAnsi="Arial" w:cs="Arial"/>
                <w:color w:val="000000"/>
                <w:sz w:val="20"/>
                <w:szCs w:val="20"/>
                <w:vertAlign w:val="superscript"/>
              </w:rPr>
              <w:t>a</w:t>
            </w:r>
          </w:p>
        </w:tc>
        <w:tc>
          <w:tcPr>
            <w:tcW w:w="626" w:type="pct"/>
            <w:tcBorders>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9.49 ± 0.55</w:t>
            </w:r>
            <w:r w:rsidRPr="001257FE">
              <w:rPr>
                <w:rFonts w:ascii="Arial" w:hAnsi="Arial" w:cs="Arial"/>
                <w:color w:val="000000"/>
                <w:sz w:val="20"/>
                <w:szCs w:val="20"/>
                <w:vertAlign w:val="superscript"/>
              </w:rPr>
              <w:t>b</w:t>
            </w:r>
          </w:p>
        </w:tc>
        <w:tc>
          <w:tcPr>
            <w:tcW w:w="667" w:type="pct"/>
            <w:tcBorders>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21.12 ± 0.98</w:t>
            </w:r>
            <w:r w:rsidRPr="001257FE">
              <w:rPr>
                <w:rFonts w:ascii="Arial" w:hAnsi="Arial" w:cs="Arial"/>
                <w:color w:val="000000"/>
                <w:sz w:val="20"/>
                <w:szCs w:val="20"/>
                <w:vertAlign w:val="superscript"/>
              </w:rPr>
              <w:t>a</w:t>
            </w:r>
          </w:p>
        </w:tc>
      </w:tr>
      <w:tr w:rsidR="00C128F5" w:rsidRPr="001257FE" w:rsidTr="006822AA">
        <w:trPr>
          <w:trHeight w:val="20"/>
          <w:jc w:val="center"/>
        </w:trPr>
        <w:tc>
          <w:tcPr>
            <w:tcW w:w="651"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YLMb</w:t>
            </w:r>
          </w:p>
        </w:tc>
        <w:tc>
          <w:tcPr>
            <w:tcW w:w="755"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13.5 ± 0.50</w:t>
            </w:r>
            <w:r w:rsidRPr="001257FE">
              <w:rPr>
                <w:rFonts w:ascii="Arial" w:hAnsi="Arial" w:cs="Arial"/>
                <w:color w:val="000000"/>
                <w:sz w:val="20"/>
                <w:szCs w:val="20"/>
                <w:vertAlign w:val="superscript"/>
              </w:rPr>
              <w:t>d</w:t>
            </w:r>
          </w:p>
        </w:tc>
        <w:tc>
          <w:tcPr>
            <w:tcW w:w="715"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25.89 ± 0.90</w:t>
            </w:r>
            <w:r w:rsidRPr="001257FE">
              <w:rPr>
                <w:rFonts w:ascii="Arial" w:hAnsi="Arial" w:cs="Arial"/>
                <w:color w:val="000000"/>
                <w:sz w:val="20"/>
                <w:szCs w:val="20"/>
                <w:vertAlign w:val="superscript"/>
              </w:rPr>
              <w:t>c</w:t>
            </w:r>
          </w:p>
        </w:tc>
        <w:tc>
          <w:tcPr>
            <w:tcW w:w="966"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33.97 ± 0.22</w:t>
            </w:r>
            <w:r w:rsidRPr="001257FE">
              <w:rPr>
                <w:rFonts w:ascii="Arial" w:hAnsi="Arial" w:cs="Arial"/>
                <w:color w:val="000000"/>
                <w:sz w:val="20"/>
                <w:szCs w:val="20"/>
                <w:vertAlign w:val="superscript"/>
              </w:rPr>
              <w:t>b</w:t>
            </w:r>
          </w:p>
        </w:tc>
        <w:tc>
          <w:tcPr>
            <w:tcW w:w="621"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8.53 ± 0.65</w:t>
            </w:r>
            <w:r w:rsidRPr="001257FE">
              <w:rPr>
                <w:rFonts w:ascii="Arial" w:hAnsi="Arial" w:cs="Arial"/>
                <w:color w:val="000000"/>
                <w:sz w:val="20"/>
                <w:szCs w:val="20"/>
                <w:vertAlign w:val="superscript"/>
              </w:rPr>
              <w:t>a</w:t>
            </w:r>
          </w:p>
        </w:tc>
        <w:tc>
          <w:tcPr>
            <w:tcW w:w="626"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8.02 ± 0.93</w:t>
            </w:r>
            <w:r w:rsidRPr="001257FE">
              <w:rPr>
                <w:rFonts w:ascii="Arial" w:hAnsi="Arial" w:cs="Arial"/>
                <w:color w:val="000000"/>
                <w:sz w:val="20"/>
                <w:szCs w:val="20"/>
                <w:vertAlign w:val="superscript"/>
              </w:rPr>
              <w:t>a</w:t>
            </w:r>
          </w:p>
        </w:tc>
        <w:tc>
          <w:tcPr>
            <w:tcW w:w="667"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21.14 ± 1.71</w:t>
            </w:r>
            <w:r w:rsidRPr="001257FE">
              <w:rPr>
                <w:rFonts w:ascii="Arial" w:hAnsi="Arial" w:cs="Arial"/>
                <w:color w:val="000000"/>
                <w:sz w:val="20"/>
                <w:szCs w:val="20"/>
                <w:vertAlign w:val="superscript"/>
              </w:rPr>
              <w:t>a</w:t>
            </w:r>
          </w:p>
        </w:tc>
      </w:tr>
      <w:tr w:rsidR="00C128F5" w:rsidRPr="001257FE" w:rsidTr="006822AA">
        <w:trPr>
          <w:trHeight w:val="20"/>
          <w:jc w:val="center"/>
        </w:trPr>
        <w:tc>
          <w:tcPr>
            <w:tcW w:w="651"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Mean</w:t>
            </w:r>
          </w:p>
        </w:tc>
        <w:tc>
          <w:tcPr>
            <w:tcW w:w="755"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11.25 ± 0.35</w:t>
            </w:r>
          </w:p>
        </w:tc>
        <w:tc>
          <w:tcPr>
            <w:tcW w:w="715"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24.96 ± 0.29</w:t>
            </w:r>
          </w:p>
        </w:tc>
        <w:tc>
          <w:tcPr>
            <w:tcW w:w="966"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34.26 ± 0.52</w:t>
            </w:r>
          </w:p>
        </w:tc>
        <w:tc>
          <w:tcPr>
            <w:tcW w:w="621"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8.34 ± 0.64</w:t>
            </w:r>
          </w:p>
        </w:tc>
        <w:tc>
          <w:tcPr>
            <w:tcW w:w="626"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 xml:space="preserve">8.75 ± 0.74 </w:t>
            </w:r>
          </w:p>
        </w:tc>
        <w:tc>
          <w:tcPr>
            <w:tcW w:w="667"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21.13 ± 1.34</w:t>
            </w:r>
          </w:p>
        </w:tc>
      </w:tr>
      <w:tr w:rsidR="00C128F5" w:rsidRPr="001257FE" w:rsidTr="006822AA">
        <w:trPr>
          <w:trHeight w:val="20"/>
          <w:jc w:val="center"/>
        </w:trPr>
        <w:tc>
          <w:tcPr>
            <w:tcW w:w="651"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MLM</w:t>
            </w:r>
          </w:p>
        </w:tc>
        <w:tc>
          <w:tcPr>
            <w:tcW w:w="755"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10.50 ± 0.50</w:t>
            </w:r>
            <w:r w:rsidRPr="001257FE">
              <w:rPr>
                <w:rFonts w:ascii="Arial" w:hAnsi="Arial" w:cs="Arial"/>
                <w:color w:val="000000"/>
                <w:sz w:val="20"/>
                <w:szCs w:val="20"/>
                <w:vertAlign w:val="superscript"/>
              </w:rPr>
              <w:t>b</w:t>
            </w:r>
          </w:p>
        </w:tc>
        <w:tc>
          <w:tcPr>
            <w:tcW w:w="715"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22.72 ± 0.81</w:t>
            </w:r>
            <w:r w:rsidRPr="001257FE">
              <w:rPr>
                <w:rFonts w:ascii="Arial" w:hAnsi="Arial" w:cs="Arial"/>
                <w:color w:val="000000"/>
                <w:sz w:val="20"/>
                <w:szCs w:val="20"/>
                <w:vertAlign w:val="superscript"/>
              </w:rPr>
              <w:t>a</w:t>
            </w:r>
          </w:p>
        </w:tc>
        <w:tc>
          <w:tcPr>
            <w:tcW w:w="966"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29.95 ± 1.55</w:t>
            </w:r>
            <w:r w:rsidRPr="001257FE">
              <w:rPr>
                <w:rFonts w:ascii="Arial" w:hAnsi="Arial" w:cs="Arial"/>
                <w:color w:val="000000"/>
                <w:sz w:val="20"/>
                <w:szCs w:val="20"/>
                <w:vertAlign w:val="superscript"/>
              </w:rPr>
              <w:t>a</w:t>
            </w:r>
          </w:p>
        </w:tc>
        <w:tc>
          <w:tcPr>
            <w:tcW w:w="621"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8.67 ± 0.96</w:t>
            </w:r>
            <w:r w:rsidRPr="001257FE">
              <w:rPr>
                <w:rFonts w:ascii="Arial" w:hAnsi="Arial" w:cs="Arial"/>
                <w:color w:val="000000"/>
                <w:sz w:val="20"/>
                <w:szCs w:val="20"/>
                <w:vertAlign w:val="superscript"/>
              </w:rPr>
              <w:t>a</w:t>
            </w:r>
          </w:p>
        </w:tc>
        <w:tc>
          <w:tcPr>
            <w:tcW w:w="626"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7.70 ± 0.50</w:t>
            </w:r>
            <w:r w:rsidRPr="001257FE">
              <w:rPr>
                <w:rFonts w:ascii="Arial" w:hAnsi="Arial" w:cs="Arial"/>
                <w:color w:val="000000"/>
                <w:sz w:val="20"/>
                <w:szCs w:val="20"/>
                <w:vertAlign w:val="superscript"/>
              </w:rPr>
              <w:t>a</w:t>
            </w:r>
          </w:p>
        </w:tc>
        <w:tc>
          <w:tcPr>
            <w:tcW w:w="667"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27.58 ± 1.04</w:t>
            </w:r>
            <w:r w:rsidRPr="001257FE">
              <w:rPr>
                <w:rFonts w:ascii="Arial" w:hAnsi="Arial" w:cs="Arial"/>
                <w:color w:val="000000"/>
                <w:sz w:val="20"/>
                <w:szCs w:val="20"/>
                <w:vertAlign w:val="superscript"/>
              </w:rPr>
              <w:t>b</w:t>
            </w:r>
          </w:p>
        </w:tc>
      </w:tr>
      <w:tr w:rsidR="00C128F5" w:rsidRPr="001257FE" w:rsidTr="006822AA">
        <w:trPr>
          <w:trHeight w:val="20"/>
          <w:jc w:val="center"/>
        </w:trPr>
        <w:tc>
          <w:tcPr>
            <w:tcW w:w="651"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MLMb</w:t>
            </w:r>
          </w:p>
        </w:tc>
        <w:tc>
          <w:tcPr>
            <w:tcW w:w="755"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12.5 ± 0.50</w:t>
            </w:r>
            <w:r w:rsidRPr="001257FE">
              <w:rPr>
                <w:rFonts w:ascii="Arial" w:hAnsi="Arial" w:cs="Arial"/>
                <w:color w:val="000000"/>
                <w:sz w:val="20"/>
                <w:szCs w:val="20"/>
                <w:vertAlign w:val="superscript"/>
              </w:rPr>
              <w:t>c</w:t>
            </w:r>
          </w:p>
        </w:tc>
        <w:tc>
          <w:tcPr>
            <w:tcW w:w="715"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23.55 ± 0.18</w:t>
            </w:r>
            <w:r w:rsidRPr="001257FE">
              <w:rPr>
                <w:rFonts w:ascii="Arial" w:hAnsi="Arial" w:cs="Arial"/>
                <w:color w:val="000000"/>
                <w:sz w:val="20"/>
                <w:szCs w:val="20"/>
                <w:vertAlign w:val="superscript"/>
              </w:rPr>
              <w:t>ab</w:t>
            </w:r>
          </w:p>
        </w:tc>
        <w:tc>
          <w:tcPr>
            <w:tcW w:w="966" w:type="pct"/>
            <w:tcBorders>
              <w:top w:val="nil"/>
              <w:left w:val="nil"/>
              <w:bottom w:val="nil"/>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28.27 ± 1.33</w:t>
            </w:r>
            <w:r w:rsidRPr="001257FE">
              <w:rPr>
                <w:rFonts w:ascii="Arial" w:hAnsi="Arial" w:cs="Arial"/>
                <w:color w:val="000000"/>
                <w:sz w:val="20"/>
                <w:szCs w:val="20"/>
                <w:vertAlign w:val="superscript"/>
              </w:rPr>
              <w:t>a</w:t>
            </w:r>
          </w:p>
        </w:tc>
        <w:tc>
          <w:tcPr>
            <w:tcW w:w="621"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8.02 ± 0.40</w:t>
            </w:r>
            <w:r w:rsidRPr="001257FE">
              <w:rPr>
                <w:rFonts w:ascii="Arial" w:hAnsi="Arial" w:cs="Arial"/>
                <w:color w:val="000000"/>
                <w:sz w:val="20"/>
                <w:szCs w:val="20"/>
                <w:vertAlign w:val="superscript"/>
              </w:rPr>
              <w:t>a</w:t>
            </w:r>
          </w:p>
        </w:tc>
        <w:tc>
          <w:tcPr>
            <w:tcW w:w="626"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10.46 ± 0.45</w:t>
            </w:r>
            <w:r w:rsidRPr="001257FE">
              <w:rPr>
                <w:rFonts w:ascii="Arial" w:hAnsi="Arial" w:cs="Arial"/>
                <w:color w:val="000000"/>
                <w:sz w:val="20"/>
                <w:szCs w:val="20"/>
                <w:vertAlign w:val="superscript"/>
              </w:rPr>
              <w:t>b</w:t>
            </w:r>
          </w:p>
        </w:tc>
        <w:tc>
          <w:tcPr>
            <w:tcW w:w="667" w:type="pct"/>
            <w:tcBorders>
              <w:top w:val="nil"/>
              <w:left w:val="nil"/>
              <w:bottom w:val="nil"/>
              <w:right w:val="nil"/>
            </w:tcBorders>
          </w:tcPr>
          <w:p w:rsidR="00C128F5" w:rsidRPr="001257FE" w:rsidRDefault="00C128F5" w:rsidP="00E54DEB">
            <w:pPr>
              <w:rPr>
                <w:rFonts w:ascii="Arial" w:hAnsi="Arial" w:cs="Arial"/>
                <w:color w:val="000000"/>
                <w:sz w:val="20"/>
                <w:szCs w:val="20"/>
                <w:vertAlign w:val="superscript"/>
              </w:rPr>
            </w:pPr>
            <w:r w:rsidRPr="001257FE">
              <w:rPr>
                <w:rFonts w:ascii="Arial" w:hAnsi="Arial" w:cs="Arial"/>
                <w:color w:val="000000"/>
                <w:sz w:val="20"/>
                <w:szCs w:val="20"/>
              </w:rPr>
              <w:t>26.70 ± 1.04</w:t>
            </w:r>
            <w:r w:rsidRPr="001257FE">
              <w:rPr>
                <w:rFonts w:ascii="Arial" w:hAnsi="Arial" w:cs="Arial"/>
                <w:color w:val="000000"/>
                <w:sz w:val="20"/>
                <w:szCs w:val="20"/>
                <w:vertAlign w:val="superscript"/>
              </w:rPr>
              <w:t>b</w:t>
            </w:r>
          </w:p>
        </w:tc>
      </w:tr>
      <w:tr w:rsidR="00C128F5" w:rsidRPr="001257FE" w:rsidTr="006822AA">
        <w:trPr>
          <w:trHeight w:val="20"/>
          <w:jc w:val="center"/>
        </w:trPr>
        <w:tc>
          <w:tcPr>
            <w:tcW w:w="651" w:type="pct"/>
            <w:tcBorders>
              <w:top w:val="nil"/>
              <w:left w:val="nil"/>
              <w:bottom w:val="single" w:sz="4" w:space="0" w:color="auto"/>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Mean</w:t>
            </w:r>
          </w:p>
        </w:tc>
        <w:tc>
          <w:tcPr>
            <w:tcW w:w="755" w:type="pct"/>
            <w:tcBorders>
              <w:top w:val="nil"/>
              <w:left w:val="nil"/>
              <w:bottom w:val="single" w:sz="4" w:space="0" w:color="auto"/>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11.50 ± 0.50</w:t>
            </w:r>
          </w:p>
        </w:tc>
        <w:tc>
          <w:tcPr>
            <w:tcW w:w="715" w:type="pct"/>
            <w:tcBorders>
              <w:top w:val="nil"/>
              <w:left w:val="nil"/>
              <w:bottom w:val="single" w:sz="4" w:space="0" w:color="auto"/>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23.13 ± 0.50</w:t>
            </w:r>
          </w:p>
        </w:tc>
        <w:tc>
          <w:tcPr>
            <w:tcW w:w="966" w:type="pct"/>
            <w:tcBorders>
              <w:top w:val="nil"/>
              <w:left w:val="nil"/>
              <w:bottom w:val="single" w:sz="4" w:space="0" w:color="auto"/>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 xml:space="preserve">29.11 ± 1.44 </w:t>
            </w:r>
          </w:p>
        </w:tc>
        <w:tc>
          <w:tcPr>
            <w:tcW w:w="621" w:type="pct"/>
            <w:tcBorders>
              <w:top w:val="nil"/>
              <w:left w:val="nil"/>
              <w:bottom w:val="single" w:sz="4" w:space="0" w:color="auto"/>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 xml:space="preserve">8.34 ± 0.68 </w:t>
            </w:r>
          </w:p>
        </w:tc>
        <w:tc>
          <w:tcPr>
            <w:tcW w:w="626" w:type="pct"/>
            <w:tcBorders>
              <w:top w:val="nil"/>
              <w:left w:val="nil"/>
              <w:bottom w:val="single" w:sz="4" w:space="0" w:color="auto"/>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9.08 ± 0.48</w:t>
            </w:r>
          </w:p>
        </w:tc>
        <w:tc>
          <w:tcPr>
            <w:tcW w:w="667" w:type="pct"/>
            <w:tcBorders>
              <w:top w:val="nil"/>
              <w:left w:val="nil"/>
              <w:bottom w:val="single" w:sz="4" w:space="0" w:color="auto"/>
              <w:right w:val="nil"/>
            </w:tcBorders>
          </w:tcPr>
          <w:p w:rsidR="00C128F5" w:rsidRPr="001257FE" w:rsidRDefault="00C128F5" w:rsidP="00E54DEB">
            <w:pPr>
              <w:rPr>
                <w:rFonts w:ascii="Arial" w:hAnsi="Arial" w:cs="Arial"/>
                <w:color w:val="000000"/>
                <w:sz w:val="20"/>
                <w:szCs w:val="20"/>
              </w:rPr>
            </w:pPr>
            <w:r w:rsidRPr="001257FE">
              <w:rPr>
                <w:rFonts w:ascii="Arial" w:hAnsi="Arial" w:cs="Arial"/>
                <w:color w:val="000000"/>
                <w:sz w:val="20"/>
                <w:szCs w:val="20"/>
              </w:rPr>
              <w:t>27.14 ± 1.04</w:t>
            </w:r>
          </w:p>
        </w:tc>
      </w:tr>
      <w:tr w:rsidR="00C128F5" w:rsidRPr="001257FE" w:rsidTr="006822AA">
        <w:trPr>
          <w:trHeight w:val="20"/>
          <w:jc w:val="center"/>
        </w:trPr>
        <w:tc>
          <w:tcPr>
            <w:tcW w:w="5000" w:type="pct"/>
            <w:gridSpan w:val="7"/>
            <w:tcBorders>
              <w:top w:val="single" w:sz="4" w:space="0" w:color="auto"/>
              <w:left w:val="nil"/>
              <w:bottom w:val="nil"/>
              <w:right w:val="nil"/>
            </w:tcBorders>
          </w:tcPr>
          <w:p w:rsidR="00C128F5" w:rsidRPr="001257FE" w:rsidRDefault="00C128F5" w:rsidP="00E54DEB">
            <w:pPr>
              <w:jc w:val="center"/>
              <w:rPr>
                <w:rFonts w:ascii="Arial" w:hAnsi="Arial" w:cs="Arial"/>
                <w:i/>
                <w:color w:val="FF0000"/>
                <w:sz w:val="20"/>
                <w:szCs w:val="20"/>
                <w:lang w:val="en-US"/>
              </w:rPr>
            </w:pPr>
            <w:r w:rsidRPr="001257FE">
              <w:rPr>
                <w:rFonts w:ascii="Arial" w:hAnsi="Arial" w:cs="Arial"/>
                <w:i/>
                <w:color w:val="000000"/>
                <w:sz w:val="18"/>
                <w:szCs w:val="20"/>
                <w:lang w:val="en-US"/>
              </w:rPr>
              <w:t>Values are means ± standard deviation (n = 3). Means in the same column with different superscripts are significantly different from each other (P = .05). YLM/MLM = Young/Mature Leaves of Maroua;  YLMb/MLMb = Young/Mature Leaves of Mbouda</w:t>
            </w:r>
          </w:p>
        </w:tc>
      </w:tr>
    </w:tbl>
    <w:p w:rsidR="00E54DEB" w:rsidRPr="001257FE" w:rsidRDefault="00E54DEB" w:rsidP="00E54DEB">
      <w:pPr>
        <w:spacing w:after="0" w:line="240" w:lineRule="auto"/>
        <w:ind w:right="-86"/>
        <w:rPr>
          <w:rFonts w:ascii="Arial" w:eastAsia="Calibri" w:hAnsi="Arial" w:cs="Arial"/>
          <w:b/>
          <w:sz w:val="20"/>
        </w:rPr>
      </w:pPr>
    </w:p>
    <w:p w:rsidR="00C128F5" w:rsidRPr="001257FE" w:rsidRDefault="00C128F5" w:rsidP="00E54DEB">
      <w:pPr>
        <w:spacing w:after="0" w:line="240" w:lineRule="auto"/>
        <w:jc w:val="center"/>
        <w:rPr>
          <w:rFonts w:ascii="Arial" w:eastAsia="Calibri" w:hAnsi="Arial" w:cs="Arial"/>
          <w:b/>
          <w:sz w:val="20"/>
        </w:rPr>
      </w:pPr>
      <w:r w:rsidRPr="001257FE">
        <w:rPr>
          <w:rFonts w:ascii="Arial" w:eastAsia="Calibri" w:hAnsi="Arial" w:cs="Arial"/>
          <w:b/>
          <w:sz w:val="20"/>
        </w:rPr>
        <w:t xml:space="preserve">Table 2. Pearson correlation between compounds of </w:t>
      </w:r>
      <w:commentRangeStart w:id="25"/>
      <w:r w:rsidRPr="001257FE">
        <w:rPr>
          <w:rFonts w:ascii="Arial" w:eastAsia="Calibri" w:hAnsi="Arial" w:cs="Arial"/>
          <w:b/>
          <w:sz w:val="20"/>
        </w:rPr>
        <w:t>M. oleifera</w:t>
      </w:r>
      <w:commentRangeEnd w:id="25"/>
      <w:r w:rsidR="00A0714A">
        <w:rPr>
          <w:rStyle w:val="CommentReference"/>
        </w:rPr>
        <w:commentReference w:id="25"/>
      </w:r>
      <w:r w:rsidRPr="001257FE">
        <w:rPr>
          <w:rFonts w:ascii="Arial" w:eastAsia="Calibri" w:hAnsi="Arial" w:cs="Arial"/>
          <w:b/>
          <w:sz w:val="20"/>
        </w:rPr>
        <w:t xml:space="preserve"> leaves powders and their functional properties</w:t>
      </w:r>
    </w:p>
    <w:p w:rsidR="00C128F5" w:rsidRPr="001257FE" w:rsidRDefault="00C128F5" w:rsidP="00C128F5">
      <w:pPr>
        <w:spacing w:after="0" w:line="240" w:lineRule="auto"/>
        <w:ind w:right="-86"/>
        <w:jc w:val="center"/>
        <w:rPr>
          <w:rFonts w:ascii="Arial" w:eastAsia="Calibri" w:hAnsi="Arial" w:cs="Arial"/>
          <w:b/>
          <w:sz w:val="20"/>
        </w:rPr>
      </w:pPr>
    </w:p>
    <w:tbl>
      <w:tblPr>
        <w:tblW w:w="4960" w:type="pct"/>
        <w:jc w:val="center"/>
        <w:tblBorders>
          <w:top w:val="single" w:sz="4" w:space="0" w:color="auto"/>
          <w:bottom w:val="single" w:sz="4" w:space="0" w:color="auto"/>
        </w:tblBorders>
        <w:tblCellMar>
          <w:left w:w="40" w:type="dxa"/>
          <w:right w:w="40" w:type="dxa"/>
        </w:tblCellMar>
        <w:tblLook w:val="0000"/>
      </w:tblPr>
      <w:tblGrid>
        <w:gridCol w:w="2247"/>
        <w:gridCol w:w="1626"/>
        <w:gridCol w:w="1515"/>
        <w:gridCol w:w="1443"/>
        <w:gridCol w:w="1443"/>
        <w:gridCol w:w="1402"/>
        <w:gridCol w:w="1484"/>
        <w:gridCol w:w="1381"/>
        <w:gridCol w:w="1419"/>
        <w:gridCol w:w="1381"/>
        <w:gridCol w:w="1250"/>
        <w:gridCol w:w="630"/>
      </w:tblGrid>
      <w:tr w:rsidR="00E54DEB" w:rsidRPr="001257FE" w:rsidTr="008C1DAF">
        <w:trPr>
          <w:trHeight w:val="20"/>
          <w:jc w:val="center"/>
        </w:trPr>
        <w:tc>
          <w:tcPr>
            <w:tcW w:w="652"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p>
        </w:tc>
        <w:tc>
          <w:tcPr>
            <w:tcW w:w="472"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Available carbohydrate</w:t>
            </w:r>
          </w:p>
        </w:tc>
        <w:tc>
          <w:tcPr>
            <w:tcW w:w="440"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Density</w:t>
            </w:r>
          </w:p>
        </w:tc>
        <w:tc>
          <w:tcPr>
            <w:tcW w:w="419"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Moisture content</w:t>
            </w:r>
          </w:p>
        </w:tc>
        <w:tc>
          <w:tcPr>
            <w:tcW w:w="419"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OHC</w:t>
            </w:r>
          </w:p>
        </w:tc>
        <w:tc>
          <w:tcPr>
            <w:tcW w:w="407"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Total ash</w:t>
            </w:r>
          </w:p>
        </w:tc>
        <w:tc>
          <w:tcPr>
            <w:tcW w:w="431"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Total fibers</w:t>
            </w:r>
          </w:p>
        </w:tc>
        <w:tc>
          <w:tcPr>
            <w:tcW w:w="401"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Total lipid</w:t>
            </w:r>
          </w:p>
        </w:tc>
        <w:tc>
          <w:tcPr>
            <w:tcW w:w="412"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Total protein</w:t>
            </w:r>
          </w:p>
        </w:tc>
        <w:tc>
          <w:tcPr>
            <w:tcW w:w="401"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WAC</w:t>
            </w:r>
            <w:r w:rsidRPr="001257FE">
              <w:rPr>
                <w:rFonts w:ascii="Arial" w:eastAsia="Calibri" w:hAnsi="Arial" w:cs="Arial"/>
                <w:b/>
                <w:color w:val="000000"/>
                <w:sz w:val="20"/>
                <w:szCs w:val="20"/>
                <w:vertAlign w:val="subscript"/>
              </w:rPr>
              <w:t>a</w:t>
            </w:r>
          </w:p>
        </w:tc>
        <w:tc>
          <w:tcPr>
            <w:tcW w:w="363"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WAC</w:t>
            </w:r>
            <w:r w:rsidRPr="001257FE">
              <w:rPr>
                <w:rFonts w:ascii="Arial" w:eastAsia="Calibri" w:hAnsi="Arial" w:cs="Arial"/>
                <w:b/>
                <w:color w:val="000000"/>
                <w:sz w:val="20"/>
                <w:szCs w:val="20"/>
                <w:vertAlign w:val="subscript"/>
              </w:rPr>
              <w:t>t</w:t>
            </w:r>
          </w:p>
        </w:tc>
        <w:tc>
          <w:tcPr>
            <w:tcW w:w="180" w:type="pct"/>
            <w:tcBorders>
              <w:top w:val="single" w:sz="4" w:space="0" w:color="auto"/>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b/>
                <w:color w:val="000000"/>
                <w:sz w:val="20"/>
                <w:szCs w:val="20"/>
              </w:rPr>
            </w:pPr>
            <w:r w:rsidRPr="001257FE">
              <w:rPr>
                <w:rFonts w:ascii="Arial" w:eastAsia="Calibri" w:hAnsi="Arial" w:cs="Arial"/>
                <w:b/>
                <w:color w:val="000000"/>
                <w:sz w:val="20"/>
                <w:szCs w:val="20"/>
              </w:rPr>
              <w:t>WSI</w:t>
            </w:r>
          </w:p>
        </w:tc>
      </w:tr>
      <w:tr w:rsidR="00E54DEB" w:rsidRPr="001257FE" w:rsidTr="008C1DAF">
        <w:trPr>
          <w:trHeight w:val="20"/>
          <w:jc w:val="center"/>
        </w:trPr>
        <w:tc>
          <w:tcPr>
            <w:tcW w:w="652"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rPr>
              <w:t xml:space="preserve">Available </w:t>
            </w:r>
            <w:r w:rsidRPr="001257FE">
              <w:rPr>
                <w:rFonts w:ascii="Arial" w:eastAsia="Calibri" w:hAnsi="Arial" w:cs="Arial"/>
                <w:color w:val="000000"/>
                <w:sz w:val="20"/>
                <w:szCs w:val="20"/>
                <w:lang w:val="fr-FR"/>
              </w:rPr>
              <w:t>carbohydrate</w:t>
            </w:r>
          </w:p>
        </w:tc>
        <w:tc>
          <w:tcPr>
            <w:tcW w:w="472"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40"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9"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9"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7"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31"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2"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single" w:sz="4" w:space="0" w:color="auto"/>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Density</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0.764(0.004)</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7"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3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Moisture content</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-0.210(0.510)</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-0.044(0.892)</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7"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3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OHC</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-0.671(0.017)</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-0.504(0.094)</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0.178(0.578)</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07"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3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Total ash</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-0.392(0.207)</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-0.156(0.627)</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-0.033(0.914)</w:t>
            </w:r>
          </w:p>
        </w:tc>
        <w:tc>
          <w:tcPr>
            <w:tcW w:w="419"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0.204(0.524)</w:t>
            </w:r>
          </w:p>
        </w:tc>
        <w:tc>
          <w:tcPr>
            <w:tcW w:w="407"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3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Total fibers</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-0.842(0.001)</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-0.743(0.006)</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0.040(0.901)</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0.803(0.002)</w:t>
            </w:r>
          </w:p>
        </w:tc>
        <w:tc>
          <w:tcPr>
            <w:tcW w:w="407"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0.016(0.958)</w:t>
            </w:r>
          </w:p>
        </w:tc>
        <w:tc>
          <w:tcPr>
            <w:tcW w:w="43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1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Total lipid</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0.215(0.502)</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-0.413(0.181)</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0.006(0.985)</w:t>
            </w:r>
          </w:p>
        </w:tc>
        <w:tc>
          <w:tcPr>
            <w:tcW w:w="419"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-0.278(0.380)</w:t>
            </w:r>
          </w:p>
        </w:tc>
        <w:tc>
          <w:tcPr>
            <w:tcW w:w="407"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-0.439(0.152)</w:t>
            </w:r>
          </w:p>
        </w:tc>
        <w:tc>
          <w:tcPr>
            <w:tcW w:w="43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-0.124(0.700)</w:t>
            </w: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1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Total protein</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0.681(0.015)</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0.574(0.050)</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0.339(0.280)</w:t>
            </w:r>
          </w:p>
        </w:tc>
        <w:tc>
          <w:tcPr>
            <w:tcW w:w="419"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-0.681(0.015)</w:t>
            </w:r>
          </w:p>
        </w:tc>
        <w:tc>
          <w:tcPr>
            <w:tcW w:w="407"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-0.340(0.280)</w:t>
            </w:r>
          </w:p>
        </w:tc>
        <w:tc>
          <w:tcPr>
            <w:tcW w:w="43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-0.664(0.018)</w:t>
            </w:r>
          </w:p>
        </w:tc>
        <w:tc>
          <w:tcPr>
            <w:tcW w:w="40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0.180(0.575)</w:t>
            </w:r>
          </w:p>
        </w:tc>
        <w:tc>
          <w:tcPr>
            <w:tcW w:w="41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WAC</w:t>
            </w:r>
            <w:r w:rsidRPr="001257FE">
              <w:rPr>
                <w:rFonts w:ascii="Arial" w:eastAsia="Calibri" w:hAnsi="Arial" w:cs="Arial"/>
                <w:color w:val="000000"/>
                <w:sz w:val="20"/>
                <w:szCs w:val="20"/>
                <w:vertAlign w:val="subscript"/>
                <w:lang w:val="fr-FR"/>
              </w:rPr>
              <w:t>a</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-0.669(0.017)</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-0.749(0.005)</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0.167(0.603)</w:t>
            </w:r>
          </w:p>
        </w:tc>
        <w:tc>
          <w:tcPr>
            <w:tcW w:w="419"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0.900(0.001)</w:t>
            </w:r>
          </w:p>
        </w:tc>
        <w:tc>
          <w:tcPr>
            <w:tcW w:w="407"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0.213(0.505)</w:t>
            </w:r>
          </w:p>
        </w:tc>
        <w:tc>
          <w:tcPr>
            <w:tcW w:w="43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0.764(0.004)</w:t>
            </w:r>
          </w:p>
        </w:tc>
        <w:tc>
          <w:tcPr>
            <w:tcW w:w="40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0.100(0.757)</w:t>
            </w:r>
          </w:p>
        </w:tc>
        <w:tc>
          <w:tcPr>
            <w:tcW w:w="412" w:type="pct"/>
            <w:tcBorders>
              <w:top w:val="nil"/>
              <w:bottom w:val="nil"/>
            </w:tcBorders>
          </w:tcPr>
          <w:p w:rsidR="00C128F5" w:rsidRPr="001257FE" w:rsidRDefault="00C128F5" w:rsidP="00E54DEB">
            <w:pPr>
              <w:tabs>
                <w:tab w:val="left" w:pos="1256"/>
              </w:tabs>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-0.635(0.026)</w:t>
            </w:r>
          </w:p>
        </w:tc>
        <w:tc>
          <w:tcPr>
            <w:tcW w:w="401"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WAC</w:t>
            </w:r>
            <w:r w:rsidRPr="001257FE">
              <w:rPr>
                <w:rFonts w:ascii="Arial" w:eastAsia="Calibri" w:hAnsi="Arial" w:cs="Arial"/>
                <w:color w:val="000000"/>
                <w:sz w:val="20"/>
                <w:szCs w:val="20"/>
                <w:vertAlign w:val="subscript"/>
                <w:lang w:val="fr-FR"/>
              </w:rPr>
              <w:t>t</w:t>
            </w:r>
          </w:p>
        </w:tc>
        <w:tc>
          <w:tcPr>
            <w:tcW w:w="472"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-0.900(0.001)</w:t>
            </w:r>
          </w:p>
        </w:tc>
        <w:tc>
          <w:tcPr>
            <w:tcW w:w="44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-0.878(0.002)</w:t>
            </w:r>
          </w:p>
        </w:tc>
        <w:tc>
          <w:tcPr>
            <w:tcW w:w="419"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0.095(0.768)</w:t>
            </w:r>
          </w:p>
        </w:tc>
        <w:tc>
          <w:tcPr>
            <w:tcW w:w="419"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0.811(0.001)</w:t>
            </w:r>
          </w:p>
        </w:tc>
        <w:tc>
          <w:tcPr>
            <w:tcW w:w="407"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0.192(0.549)</w:t>
            </w:r>
          </w:p>
        </w:tc>
        <w:tc>
          <w:tcPr>
            <w:tcW w:w="43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0.942(0.001)</w:t>
            </w:r>
          </w:p>
        </w:tc>
        <w:tc>
          <w:tcPr>
            <w:tcW w:w="40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0.013(0.966)</w:t>
            </w:r>
          </w:p>
        </w:tc>
        <w:tc>
          <w:tcPr>
            <w:tcW w:w="412"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-0.752(0.005)</w:t>
            </w:r>
          </w:p>
        </w:tc>
        <w:tc>
          <w:tcPr>
            <w:tcW w:w="401" w:type="pct"/>
            <w:tcBorders>
              <w:top w:val="nil"/>
              <w:bottom w:val="nil"/>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0.861(0.003)</w:t>
            </w:r>
          </w:p>
        </w:tc>
        <w:tc>
          <w:tcPr>
            <w:tcW w:w="363"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c>
          <w:tcPr>
            <w:tcW w:w="180" w:type="pct"/>
            <w:tcBorders>
              <w:top w:val="nil"/>
              <w:bottom w:val="nil"/>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p>
        </w:tc>
      </w:tr>
      <w:tr w:rsidR="00E54DEB" w:rsidRPr="001257FE" w:rsidTr="008C1DAF">
        <w:trPr>
          <w:trHeight w:val="20"/>
          <w:jc w:val="center"/>
        </w:trPr>
        <w:tc>
          <w:tcPr>
            <w:tcW w:w="652" w:type="pct"/>
            <w:tcBorders>
              <w:top w:val="nil"/>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WSI</w:t>
            </w:r>
          </w:p>
        </w:tc>
        <w:tc>
          <w:tcPr>
            <w:tcW w:w="472" w:type="pct"/>
            <w:tcBorders>
              <w:top w:val="nil"/>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-0.893(0.001)</w:t>
            </w:r>
          </w:p>
        </w:tc>
        <w:tc>
          <w:tcPr>
            <w:tcW w:w="440" w:type="pct"/>
            <w:tcBorders>
              <w:top w:val="nil"/>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-0.881(0.002)</w:t>
            </w:r>
          </w:p>
        </w:tc>
        <w:tc>
          <w:tcPr>
            <w:tcW w:w="419" w:type="pct"/>
            <w:tcBorders>
              <w:top w:val="nil"/>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0.099(0.758)</w:t>
            </w:r>
          </w:p>
        </w:tc>
        <w:tc>
          <w:tcPr>
            <w:tcW w:w="419" w:type="pct"/>
            <w:tcBorders>
              <w:top w:val="nil"/>
              <w:bottom w:val="single" w:sz="4" w:space="0" w:color="auto"/>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0.818(0.001)</w:t>
            </w:r>
          </w:p>
        </w:tc>
        <w:tc>
          <w:tcPr>
            <w:tcW w:w="407" w:type="pct"/>
            <w:tcBorders>
              <w:top w:val="nil"/>
              <w:bottom w:val="single" w:sz="4" w:space="0" w:color="auto"/>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0.195(0.544)</w:t>
            </w:r>
          </w:p>
        </w:tc>
        <w:tc>
          <w:tcPr>
            <w:tcW w:w="431" w:type="pct"/>
            <w:tcBorders>
              <w:top w:val="nil"/>
              <w:bottom w:val="single" w:sz="4" w:space="0" w:color="auto"/>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0.938(0.001)</w:t>
            </w:r>
          </w:p>
        </w:tc>
        <w:tc>
          <w:tcPr>
            <w:tcW w:w="401" w:type="pct"/>
            <w:tcBorders>
              <w:top w:val="nil"/>
              <w:bottom w:val="single" w:sz="4" w:space="0" w:color="auto"/>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0.024(0.941)</w:t>
            </w:r>
          </w:p>
        </w:tc>
        <w:tc>
          <w:tcPr>
            <w:tcW w:w="412" w:type="pct"/>
            <w:tcBorders>
              <w:top w:val="nil"/>
              <w:bottom w:val="single" w:sz="4" w:space="0" w:color="auto"/>
            </w:tcBorders>
          </w:tcPr>
          <w:p w:rsidR="00C128F5" w:rsidRPr="001257FE" w:rsidRDefault="00C128F5" w:rsidP="00E54DE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-0.750(0.005)</w:t>
            </w:r>
          </w:p>
        </w:tc>
        <w:tc>
          <w:tcPr>
            <w:tcW w:w="401" w:type="pct"/>
            <w:tcBorders>
              <w:top w:val="nil"/>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0.874(0.002)</w:t>
            </w:r>
          </w:p>
        </w:tc>
        <w:tc>
          <w:tcPr>
            <w:tcW w:w="363" w:type="pct"/>
            <w:tcBorders>
              <w:top w:val="nil"/>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0.999(0.001)</w:t>
            </w:r>
          </w:p>
        </w:tc>
        <w:tc>
          <w:tcPr>
            <w:tcW w:w="180" w:type="pct"/>
            <w:tcBorders>
              <w:top w:val="nil"/>
              <w:bottom w:val="single" w:sz="4" w:space="0" w:color="auto"/>
            </w:tcBorders>
          </w:tcPr>
          <w:p w:rsidR="00C128F5" w:rsidRPr="001257FE" w:rsidRDefault="00C128F5" w:rsidP="001E6BBB">
            <w:pPr>
              <w:autoSpaceDE w:val="0"/>
              <w:autoSpaceDN w:val="0"/>
              <w:adjustRightInd w:val="0"/>
              <w:spacing w:after="0" w:line="240" w:lineRule="auto"/>
              <w:rPr>
                <w:rFonts w:ascii="Arial" w:eastAsia="Calibri" w:hAnsi="Arial" w:cs="Arial"/>
                <w:color w:val="000000"/>
                <w:sz w:val="20"/>
                <w:szCs w:val="20"/>
                <w:lang w:val="fr-FR"/>
              </w:rPr>
            </w:pPr>
            <w:r w:rsidRPr="001257FE">
              <w:rPr>
                <w:rFonts w:ascii="Arial" w:eastAsia="Calibri" w:hAnsi="Arial" w:cs="Arial"/>
                <w:color w:val="000000"/>
                <w:sz w:val="20"/>
                <w:szCs w:val="20"/>
                <w:lang w:val="fr-FR"/>
              </w:rPr>
              <w:t>1</w:t>
            </w:r>
          </w:p>
        </w:tc>
      </w:tr>
      <w:tr w:rsidR="00E54DEB" w:rsidRPr="001257FE" w:rsidTr="00E54DEB">
        <w:trPr>
          <w:trHeight w:val="20"/>
          <w:jc w:val="center"/>
        </w:trPr>
        <w:tc>
          <w:tcPr>
            <w:tcW w:w="5000" w:type="pct"/>
            <w:gridSpan w:val="12"/>
            <w:tcBorders>
              <w:top w:val="single" w:sz="4" w:space="0" w:color="auto"/>
              <w:bottom w:val="nil"/>
            </w:tcBorders>
          </w:tcPr>
          <w:p w:rsidR="00C128F5" w:rsidRPr="001257FE" w:rsidRDefault="00C128F5" w:rsidP="00E54DEB">
            <w:pPr>
              <w:autoSpaceDE w:val="0"/>
              <w:autoSpaceDN w:val="0"/>
              <w:adjustRightInd w:val="0"/>
              <w:spacing w:after="0" w:line="240" w:lineRule="auto"/>
              <w:jc w:val="center"/>
              <w:rPr>
                <w:rFonts w:ascii="Arial" w:eastAsia="Calibri" w:hAnsi="Arial" w:cs="Arial"/>
                <w:i/>
                <w:color w:val="000000"/>
                <w:sz w:val="18"/>
                <w:szCs w:val="20"/>
              </w:rPr>
            </w:pPr>
            <w:r w:rsidRPr="001257FE">
              <w:rPr>
                <w:rFonts w:ascii="Arial" w:eastAsia="Calibri" w:hAnsi="Arial" w:cs="Arial"/>
                <w:i/>
                <w:color w:val="000000"/>
                <w:sz w:val="18"/>
                <w:szCs w:val="20"/>
              </w:rPr>
              <w:t>Correlation coefficient (p-value) in bold are significant at P = .05; OHC = Oil Absorption Capacity; WAC</w:t>
            </w:r>
            <w:r w:rsidRPr="001257FE">
              <w:rPr>
                <w:rFonts w:ascii="Arial" w:eastAsia="Calibri" w:hAnsi="Arial" w:cs="Arial"/>
                <w:i/>
                <w:color w:val="000000"/>
                <w:sz w:val="18"/>
                <w:szCs w:val="20"/>
                <w:vertAlign w:val="subscript"/>
              </w:rPr>
              <w:t>a</w:t>
            </w:r>
            <w:r w:rsidRPr="001257FE">
              <w:rPr>
                <w:rFonts w:ascii="Arial" w:eastAsia="Calibri" w:hAnsi="Arial" w:cs="Arial"/>
                <w:i/>
                <w:color w:val="000000"/>
                <w:sz w:val="18"/>
                <w:szCs w:val="20"/>
              </w:rPr>
              <w:t xml:space="preserve"> = apparent Water Absorption Capacity; WAC</w:t>
            </w:r>
            <w:r w:rsidRPr="001257FE">
              <w:rPr>
                <w:rFonts w:ascii="Arial" w:eastAsia="Calibri" w:hAnsi="Arial" w:cs="Arial"/>
                <w:i/>
                <w:color w:val="000000"/>
                <w:sz w:val="18"/>
                <w:szCs w:val="20"/>
                <w:vertAlign w:val="subscript"/>
              </w:rPr>
              <w:t>t</w:t>
            </w:r>
            <w:r w:rsidRPr="001257FE">
              <w:rPr>
                <w:rFonts w:ascii="Arial" w:eastAsia="Calibri" w:hAnsi="Arial" w:cs="Arial"/>
                <w:i/>
                <w:color w:val="000000"/>
                <w:sz w:val="18"/>
                <w:szCs w:val="20"/>
              </w:rPr>
              <w:t>= true Water Absorption Capacity; WSI = Water Solubility Index</w:t>
            </w:r>
          </w:p>
        </w:tc>
      </w:tr>
    </w:tbl>
    <w:p w:rsidR="00C128F5" w:rsidRPr="001257FE" w:rsidRDefault="00C128F5" w:rsidP="008E501C">
      <w:pPr>
        <w:spacing w:before="240" w:after="160" w:line="259" w:lineRule="auto"/>
        <w:ind w:right="-86"/>
        <w:jc w:val="center"/>
        <w:rPr>
          <w:rFonts w:ascii="Arial" w:eastAsia="Calibri" w:hAnsi="Arial" w:cs="Arial"/>
          <w:b/>
          <w:sz w:val="20"/>
        </w:rPr>
        <w:sectPr w:rsidR="00C128F5" w:rsidRPr="001257FE" w:rsidSect="00001924">
          <w:pgSz w:w="20160" w:h="12240" w:orient="landscape" w:code="5"/>
          <w:pgMar w:top="1440" w:right="1440" w:bottom="1440" w:left="1440" w:header="720" w:footer="864" w:gutter="0"/>
          <w:pgNumType w:start="66"/>
          <w:cols w:space="720"/>
          <w:docGrid w:linePitch="360"/>
        </w:sectPr>
      </w:pPr>
    </w:p>
    <w:p w:rsidR="00E85B67" w:rsidRPr="001257FE" w:rsidRDefault="00E54DEB" w:rsidP="00DA5C86">
      <w:pPr>
        <w:pStyle w:val="ReferHead"/>
        <w:spacing w:after="0"/>
        <w:jc w:val="center"/>
        <w:rPr>
          <w:rFonts w:ascii="Arial" w:hAnsi="Arial" w:cs="Arial"/>
          <w:b w:val="0"/>
          <w:caps w:val="0"/>
          <w:sz w:val="20"/>
        </w:rPr>
      </w:pPr>
      <w:r w:rsidRPr="001257FE">
        <w:rPr>
          <w:rFonts w:ascii="Calibri" w:eastAsia="Calibri" w:hAnsi="Calibri"/>
          <w:b w:val="0"/>
          <w:caps w:val="0"/>
          <w:szCs w:val="22"/>
          <w:lang w:val="fr-FR"/>
        </w:rPr>
        <w:object w:dxaOrig="9418" w:dyaOrig="8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9pt;height:272.1pt" o:ole="">
            <v:imagedata r:id="rId15" o:title=""/>
          </v:shape>
          <o:OLEObject Type="Embed" ProgID="SigmaPlotGraphicObject.10" ShapeID="_x0000_i1027" DrawAspect="Content" ObjectID="_1800777575" r:id="rId16"/>
        </w:object>
      </w:r>
    </w:p>
    <w:p w:rsidR="00E85B67" w:rsidRPr="001257FE" w:rsidRDefault="00E85B67" w:rsidP="00E85B67">
      <w:pPr>
        <w:pStyle w:val="ReferHead"/>
        <w:spacing w:after="0"/>
        <w:jc w:val="both"/>
        <w:rPr>
          <w:rFonts w:ascii="Arial" w:hAnsi="Arial" w:cs="Arial"/>
          <w:b w:val="0"/>
          <w:caps w:val="0"/>
          <w:sz w:val="20"/>
        </w:rPr>
      </w:pPr>
    </w:p>
    <w:p w:rsidR="00E54DEB" w:rsidRPr="001257FE" w:rsidRDefault="00E54DEB" w:rsidP="00E54DEB">
      <w:pPr>
        <w:pStyle w:val="ReferHead"/>
        <w:spacing w:after="0"/>
        <w:jc w:val="center"/>
        <w:rPr>
          <w:rFonts w:ascii="Arial" w:hAnsi="Arial" w:cs="Arial"/>
          <w:caps w:val="0"/>
          <w:sz w:val="20"/>
        </w:rPr>
      </w:pPr>
      <w:r w:rsidRPr="001257FE">
        <w:rPr>
          <w:rFonts w:ascii="Arial" w:hAnsi="Arial" w:cs="Arial"/>
          <w:caps w:val="0"/>
          <w:sz w:val="20"/>
        </w:rPr>
        <w:t xml:space="preserve">Fig. 1. Particle size distribution from young and mature leaves powders of </w:t>
      </w:r>
      <w:r w:rsidRPr="001257FE">
        <w:rPr>
          <w:rFonts w:ascii="Arial" w:hAnsi="Arial" w:cs="Arial"/>
          <w:i/>
          <w:caps w:val="0"/>
          <w:sz w:val="20"/>
        </w:rPr>
        <w:t>M.oleifera</w:t>
      </w:r>
    </w:p>
    <w:p w:rsidR="00E85B67" w:rsidRPr="001257FE" w:rsidRDefault="00E85B67" w:rsidP="00E85B67">
      <w:pPr>
        <w:pStyle w:val="ReferHead"/>
        <w:spacing w:after="0"/>
        <w:jc w:val="both"/>
        <w:rPr>
          <w:rFonts w:ascii="Arial" w:hAnsi="Arial" w:cs="Arial"/>
          <w:b w:val="0"/>
          <w:caps w:val="0"/>
          <w:sz w:val="20"/>
        </w:rPr>
      </w:pPr>
    </w:p>
    <w:p w:rsidR="00E85B67" w:rsidRPr="001257FE" w:rsidRDefault="00E54DEB" w:rsidP="00DA5C86">
      <w:pPr>
        <w:pStyle w:val="ReferHead"/>
        <w:spacing w:after="0"/>
        <w:jc w:val="center"/>
        <w:rPr>
          <w:rFonts w:ascii="Arial" w:hAnsi="Arial" w:cs="Arial"/>
          <w:b w:val="0"/>
          <w:caps w:val="0"/>
          <w:sz w:val="20"/>
        </w:rPr>
      </w:pPr>
      <w:r w:rsidRPr="001257FE">
        <w:object w:dxaOrig="5990" w:dyaOrig="5855">
          <v:shape id="_x0000_i1028" type="#_x0000_t75" style="width:318.15pt;height:309.75pt" o:ole="">
            <v:imagedata r:id="rId17" o:title=""/>
          </v:shape>
          <o:OLEObject Type="Embed" ProgID="SigmaPlotGraphicObject.10" ShapeID="_x0000_i1028" DrawAspect="Content" ObjectID="_1800777576" r:id="rId18"/>
        </w:object>
      </w:r>
    </w:p>
    <w:p w:rsidR="00E85B67" w:rsidRPr="001257FE" w:rsidRDefault="00E85B67" w:rsidP="00E85B67">
      <w:pPr>
        <w:pStyle w:val="ReferHead"/>
        <w:spacing w:after="0"/>
        <w:jc w:val="both"/>
        <w:rPr>
          <w:rFonts w:ascii="Arial" w:hAnsi="Arial" w:cs="Arial"/>
          <w:b w:val="0"/>
          <w:caps w:val="0"/>
          <w:sz w:val="20"/>
        </w:rPr>
      </w:pPr>
    </w:p>
    <w:p w:rsidR="00E54DEB" w:rsidRPr="001257FE" w:rsidRDefault="00E54DEB" w:rsidP="00E54DEB">
      <w:pPr>
        <w:pStyle w:val="ReferHead"/>
        <w:spacing w:after="0"/>
        <w:jc w:val="center"/>
        <w:rPr>
          <w:rFonts w:ascii="Arial" w:hAnsi="Arial" w:cs="Arial"/>
          <w:caps w:val="0"/>
          <w:sz w:val="20"/>
        </w:rPr>
      </w:pPr>
      <w:r w:rsidRPr="001257FE">
        <w:rPr>
          <w:rFonts w:ascii="Arial" w:hAnsi="Arial" w:cs="Arial"/>
          <w:caps w:val="0"/>
          <w:sz w:val="20"/>
        </w:rPr>
        <w:t xml:space="preserve">Fig. 2. Water absorption capacity (WAC) from young and mature leaves powders of </w:t>
      </w:r>
      <w:r w:rsidRPr="001257FE">
        <w:rPr>
          <w:rFonts w:ascii="Arial" w:hAnsi="Arial" w:cs="Arial"/>
          <w:i/>
          <w:caps w:val="0"/>
          <w:sz w:val="20"/>
        </w:rPr>
        <w:t>M. oleifera</w:t>
      </w:r>
      <w:r w:rsidRPr="001257FE">
        <w:rPr>
          <w:rFonts w:ascii="Arial" w:hAnsi="Arial" w:cs="Arial"/>
          <w:caps w:val="0"/>
          <w:sz w:val="20"/>
        </w:rPr>
        <w:t xml:space="preserve"> (WACt = true Water Absorption Capacity, WACa = apparent Water Absorption Capacity)</w:t>
      </w:r>
    </w:p>
    <w:p w:rsidR="00E85B67" w:rsidRPr="001257FE" w:rsidRDefault="00E54DEB" w:rsidP="00DA5C86">
      <w:pPr>
        <w:pStyle w:val="ReferHead"/>
        <w:spacing w:after="0"/>
        <w:jc w:val="center"/>
        <w:rPr>
          <w:rFonts w:ascii="Arial" w:hAnsi="Arial" w:cs="Arial"/>
          <w:b w:val="0"/>
          <w:caps w:val="0"/>
          <w:sz w:val="20"/>
        </w:rPr>
      </w:pPr>
      <w:r w:rsidRPr="001257FE">
        <w:object w:dxaOrig="10547" w:dyaOrig="10422">
          <v:shape id="_x0000_i1029" type="#_x0000_t75" style="width:287.15pt;height:283.8pt" o:ole="">
            <v:imagedata r:id="rId19" o:title=""/>
          </v:shape>
          <o:OLEObject Type="Embed" ProgID="SigmaPlotGraphicObject.10" ShapeID="_x0000_i1029" DrawAspect="Content" ObjectID="_1800777577" r:id="rId20"/>
        </w:object>
      </w:r>
    </w:p>
    <w:p w:rsidR="00E85B67" w:rsidRPr="001257FE" w:rsidRDefault="00E85B67" w:rsidP="00E85B67">
      <w:pPr>
        <w:pStyle w:val="ReferHead"/>
        <w:spacing w:after="0"/>
        <w:jc w:val="both"/>
        <w:rPr>
          <w:rFonts w:ascii="Arial" w:hAnsi="Arial" w:cs="Arial"/>
          <w:b w:val="0"/>
          <w:caps w:val="0"/>
          <w:sz w:val="20"/>
        </w:rPr>
      </w:pPr>
    </w:p>
    <w:p w:rsidR="00E54DEB" w:rsidRPr="001257FE" w:rsidRDefault="00E54DEB" w:rsidP="00E54DEB">
      <w:pPr>
        <w:pStyle w:val="ReferHead"/>
        <w:spacing w:after="0"/>
        <w:jc w:val="center"/>
        <w:rPr>
          <w:rFonts w:ascii="Arial" w:hAnsi="Arial" w:cs="Arial"/>
          <w:caps w:val="0"/>
          <w:sz w:val="20"/>
        </w:rPr>
      </w:pPr>
      <w:r w:rsidRPr="001257FE">
        <w:rPr>
          <w:rFonts w:ascii="Arial" w:hAnsi="Arial" w:cs="Arial"/>
          <w:caps w:val="0"/>
          <w:sz w:val="20"/>
        </w:rPr>
        <w:t>Fig</w:t>
      </w:r>
      <w:r w:rsidR="008C1DAF" w:rsidRPr="001257FE">
        <w:rPr>
          <w:rFonts w:ascii="Arial" w:hAnsi="Arial" w:cs="Arial"/>
          <w:caps w:val="0"/>
          <w:sz w:val="20"/>
        </w:rPr>
        <w:t>.</w:t>
      </w:r>
      <w:r w:rsidRPr="001257FE">
        <w:rPr>
          <w:rFonts w:ascii="Arial" w:hAnsi="Arial" w:cs="Arial"/>
          <w:caps w:val="0"/>
          <w:sz w:val="20"/>
        </w:rPr>
        <w:t xml:space="preserve"> 3. Water solubility index from young and mature leaves powders of </w:t>
      </w:r>
      <w:r w:rsidRPr="001257FE">
        <w:rPr>
          <w:rFonts w:ascii="Arial" w:hAnsi="Arial" w:cs="Arial"/>
          <w:i/>
          <w:caps w:val="0"/>
          <w:sz w:val="20"/>
        </w:rPr>
        <w:t>M.oleifera</w:t>
      </w:r>
    </w:p>
    <w:p w:rsidR="00E54DEB" w:rsidRPr="001257FE" w:rsidRDefault="00E54DEB" w:rsidP="00E85B67">
      <w:pPr>
        <w:pStyle w:val="ReferHead"/>
        <w:spacing w:after="0"/>
        <w:jc w:val="both"/>
        <w:rPr>
          <w:rFonts w:ascii="Arial" w:hAnsi="Arial" w:cs="Arial"/>
          <w:b w:val="0"/>
          <w:caps w:val="0"/>
          <w:sz w:val="20"/>
        </w:rPr>
      </w:pPr>
    </w:p>
    <w:p w:rsidR="00DA5C86" w:rsidRPr="001257FE" w:rsidRDefault="00E54DEB" w:rsidP="00DA5C86">
      <w:pPr>
        <w:pStyle w:val="ReferHead"/>
        <w:spacing w:after="0"/>
        <w:jc w:val="center"/>
        <w:rPr>
          <w:rFonts w:ascii="Arial" w:hAnsi="Arial" w:cs="Arial"/>
          <w:b w:val="0"/>
          <w:caps w:val="0"/>
          <w:sz w:val="20"/>
        </w:rPr>
      </w:pPr>
      <w:r w:rsidRPr="001257FE">
        <w:rPr>
          <w:b w:val="0"/>
          <w:bCs/>
        </w:rPr>
        <w:object w:dxaOrig="11052" w:dyaOrig="10607">
          <v:shape id="_x0000_i1030" type="#_x0000_t75" style="width:325.65pt;height:308.1pt" o:ole="">
            <v:imagedata r:id="rId21" o:title=""/>
          </v:shape>
          <o:OLEObject Type="Embed" ProgID="SigmaPlotGraphicObject.10" ShapeID="_x0000_i1030" DrawAspect="Content" ObjectID="_1800777578" r:id="rId22"/>
        </w:object>
      </w:r>
    </w:p>
    <w:p w:rsidR="00E85B67" w:rsidRPr="001257FE" w:rsidRDefault="00E85B67" w:rsidP="00E85B67">
      <w:pPr>
        <w:pStyle w:val="ReferHead"/>
        <w:spacing w:after="0"/>
        <w:jc w:val="both"/>
        <w:rPr>
          <w:rFonts w:ascii="Arial" w:hAnsi="Arial" w:cs="Arial"/>
          <w:b w:val="0"/>
          <w:caps w:val="0"/>
          <w:sz w:val="20"/>
        </w:rPr>
      </w:pPr>
    </w:p>
    <w:p w:rsidR="00E54DEB" w:rsidRPr="001257FE" w:rsidRDefault="00E54DEB" w:rsidP="00E54DEB">
      <w:pPr>
        <w:pStyle w:val="ReferHead"/>
        <w:spacing w:after="0"/>
        <w:jc w:val="center"/>
        <w:rPr>
          <w:rFonts w:ascii="Arial" w:hAnsi="Arial" w:cs="Arial"/>
          <w:caps w:val="0"/>
          <w:sz w:val="20"/>
        </w:rPr>
      </w:pPr>
      <w:r w:rsidRPr="001257FE">
        <w:rPr>
          <w:rFonts w:ascii="Arial" w:hAnsi="Arial" w:cs="Arial"/>
          <w:caps w:val="0"/>
          <w:sz w:val="20"/>
        </w:rPr>
        <w:t>Fig</w:t>
      </w:r>
      <w:r w:rsidR="008C1DAF" w:rsidRPr="001257FE">
        <w:rPr>
          <w:rFonts w:ascii="Arial" w:hAnsi="Arial" w:cs="Arial"/>
          <w:caps w:val="0"/>
          <w:sz w:val="20"/>
        </w:rPr>
        <w:t>.</w:t>
      </w:r>
      <w:r w:rsidRPr="001257FE">
        <w:rPr>
          <w:rFonts w:ascii="Arial" w:hAnsi="Arial" w:cs="Arial"/>
          <w:caps w:val="0"/>
          <w:sz w:val="20"/>
        </w:rPr>
        <w:t xml:space="preserve"> 4. Oil holding capacity from young and mature leaves powders of </w:t>
      </w:r>
      <w:r w:rsidRPr="001257FE">
        <w:rPr>
          <w:rFonts w:ascii="Arial" w:hAnsi="Arial" w:cs="Arial"/>
          <w:i/>
          <w:caps w:val="0"/>
          <w:sz w:val="20"/>
        </w:rPr>
        <w:t>M.oleifera</w:t>
      </w:r>
    </w:p>
    <w:p w:rsidR="00E85B67" w:rsidRPr="001257FE" w:rsidRDefault="00A009BC" w:rsidP="00DA5C86">
      <w:pPr>
        <w:pStyle w:val="ReferHead"/>
        <w:spacing w:after="0"/>
        <w:jc w:val="center"/>
        <w:rPr>
          <w:rFonts w:ascii="Arial" w:hAnsi="Arial" w:cs="Arial"/>
          <w:b w:val="0"/>
          <w:caps w:val="0"/>
          <w:sz w:val="20"/>
        </w:rPr>
      </w:pPr>
      <w:r w:rsidRPr="001257FE">
        <w:object w:dxaOrig="9707" w:dyaOrig="9050">
          <v:shape id="_x0000_i1031" type="#_x0000_t75" style="width:289.65pt;height:270.4pt" o:ole="">
            <v:imagedata r:id="rId23" o:title=""/>
          </v:shape>
          <o:OLEObject Type="Embed" ProgID="SigmaPlotGraphicObject.10" ShapeID="_x0000_i1031" DrawAspect="Content" ObjectID="_1800777579" r:id="rId24"/>
        </w:object>
      </w:r>
    </w:p>
    <w:p w:rsidR="008A2212" w:rsidRPr="001257FE" w:rsidRDefault="008A2212" w:rsidP="00A009BC">
      <w:pPr>
        <w:pStyle w:val="ReferHead"/>
        <w:spacing w:after="0"/>
        <w:jc w:val="both"/>
        <w:rPr>
          <w:rFonts w:ascii="Arial" w:eastAsia="Calibri" w:hAnsi="Arial" w:cs="Arial"/>
          <w:b w:val="0"/>
        </w:rPr>
      </w:pPr>
    </w:p>
    <w:p w:rsidR="00E54DEB" w:rsidRPr="001257FE" w:rsidRDefault="00E54DEB" w:rsidP="00E54DEB">
      <w:pPr>
        <w:pStyle w:val="ReferHead"/>
        <w:spacing w:after="0"/>
        <w:jc w:val="center"/>
        <w:rPr>
          <w:rFonts w:ascii="Arial" w:hAnsi="Arial" w:cs="Arial"/>
          <w:caps w:val="0"/>
          <w:sz w:val="20"/>
        </w:rPr>
      </w:pPr>
      <w:r w:rsidRPr="001257FE">
        <w:rPr>
          <w:rFonts w:ascii="Arial" w:hAnsi="Arial" w:cs="Arial"/>
          <w:caps w:val="0"/>
          <w:sz w:val="20"/>
        </w:rPr>
        <w:t>Fig</w:t>
      </w:r>
      <w:r w:rsidR="008C1DAF" w:rsidRPr="001257FE">
        <w:rPr>
          <w:rFonts w:ascii="Arial" w:hAnsi="Arial" w:cs="Arial"/>
          <w:caps w:val="0"/>
          <w:sz w:val="20"/>
        </w:rPr>
        <w:t>.</w:t>
      </w:r>
      <w:r w:rsidRPr="001257FE">
        <w:rPr>
          <w:rFonts w:ascii="Arial" w:hAnsi="Arial" w:cs="Arial"/>
          <w:caps w:val="0"/>
          <w:sz w:val="20"/>
        </w:rPr>
        <w:t xml:space="preserve"> 5. Density from young and mature leaves powders of </w:t>
      </w:r>
      <w:r w:rsidRPr="001257FE">
        <w:rPr>
          <w:rFonts w:ascii="Arial" w:hAnsi="Arial" w:cs="Arial"/>
          <w:i/>
          <w:caps w:val="0"/>
          <w:sz w:val="20"/>
        </w:rPr>
        <w:t>M.oleifera</w:t>
      </w:r>
    </w:p>
    <w:p w:rsidR="00E54DEB" w:rsidRPr="001257FE" w:rsidRDefault="00E54DEB" w:rsidP="00294957">
      <w:pPr>
        <w:tabs>
          <w:tab w:val="left" w:pos="426"/>
        </w:tabs>
        <w:spacing w:after="0" w:line="240" w:lineRule="auto"/>
        <w:contextualSpacing/>
        <w:jc w:val="both"/>
        <w:rPr>
          <w:rFonts w:ascii="Arial" w:eastAsia="Calibri" w:hAnsi="Arial" w:cs="Arial"/>
          <w:b/>
        </w:rPr>
      </w:pPr>
    </w:p>
    <w:p w:rsidR="00E54DEB" w:rsidRPr="001257FE" w:rsidRDefault="00E54DEB" w:rsidP="00294957">
      <w:pPr>
        <w:tabs>
          <w:tab w:val="left" w:pos="426"/>
        </w:tabs>
        <w:spacing w:after="0" w:line="240" w:lineRule="auto"/>
        <w:contextualSpacing/>
        <w:jc w:val="both"/>
        <w:rPr>
          <w:rFonts w:ascii="Arial" w:eastAsia="Calibri" w:hAnsi="Arial" w:cs="Arial"/>
          <w:b/>
        </w:rPr>
        <w:sectPr w:rsidR="00E54DEB" w:rsidRPr="001257FE" w:rsidSect="00001924">
          <w:pgSz w:w="11909" w:h="16834" w:code="9"/>
          <w:pgMar w:top="1440" w:right="1440" w:bottom="1440" w:left="1440" w:header="720" w:footer="864" w:gutter="0"/>
          <w:pgNumType w:start="67"/>
          <w:cols w:space="720"/>
          <w:docGrid w:linePitch="360"/>
        </w:sectPr>
      </w:pPr>
    </w:p>
    <w:p w:rsidR="00E85B67" w:rsidRPr="001257FE" w:rsidRDefault="00294957" w:rsidP="00294957">
      <w:pPr>
        <w:tabs>
          <w:tab w:val="left" w:pos="426"/>
        </w:tabs>
        <w:spacing w:after="0" w:line="240" w:lineRule="auto"/>
        <w:contextualSpacing/>
        <w:jc w:val="both"/>
        <w:rPr>
          <w:rFonts w:ascii="Arial" w:eastAsia="Calibri" w:hAnsi="Arial" w:cs="Arial"/>
          <w:b/>
        </w:rPr>
      </w:pPr>
      <w:r w:rsidRPr="001257FE">
        <w:rPr>
          <w:rFonts w:ascii="Arial" w:eastAsia="Calibri" w:hAnsi="Arial" w:cs="Arial"/>
          <w:b/>
        </w:rPr>
        <w:t xml:space="preserve">4. CONCLUSION </w:t>
      </w:r>
    </w:p>
    <w:p w:rsidR="00294957" w:rsidRPr="001257FE" w:rsidRDefault="00294957" w:rsidP="00294957">
      <w:pPr>
        <w:tabs>
          <w:tab w:val="left" w:pos="426"/>
        </w:tabs>
        <w:spacing w:after="0" w:line="240" w:lineRule="auto"/>
        <w:contextualSpacing/>
        <w:jc w:val="both"/>
        <w:rPr>
          <w:rFonts w:ascii="Arial" w:eastAsia="Calibri" w:hAnsi="Arial" w:cs="Arial"/>
          <w:b/>
        </w:rPr>
      </w:pPr>
    </w:p>
    <w:p w:rsidR="00E85B67" w:rsidRPr="001257FE" w:rsidRDefault="00E85B67" w:rsidP="00E85B67">
      <w:pPr>
        <w:tabs>
          <w:tab w:val="left" w:pos="2693"/>
          <w:tab w:val="left" w:pos="3647"/>
        </w:tabs>
        <w:spacing w:after="0" w:line="240" w:lineRule="auto"/>
        <w:jc w:val="both"/>
        <w:rPr>
          <w:rFonts w:ascii="Arial" w:eastAsia="Calibri" w:hAnsi="Arial" w:cs="Arial"/>
          <w:sz w:val="20"/>
          <w:szCs w:val="24"/>
        </w:rPr>
      </w:pPr>
      <w:r w:rsidRPr="001257FE">
        <w:rPr>
          <w:rFonts w:ascii="Arial" w:eastAsia="Calibri" w:hAnsi="Arial" w:cs="Arial"/>
          <w:sz w:val="20"/>
          <w:szCs w:val="24"/>
        </w:rPr>
        <w:t xml:space="preserve">The </w:t>
      </w:r>
      <w:r w:rsidRPr="001257FE">
        <w:rPr>
          <w:rFonts w:ascii="Arial" w:eastAsia="Calibri" w:hAnsi="Arial" w:cs="Arial"/>
          <w:i/>
          <w:sz w:val="20"/>
          <w:szCs w:val="24"/>
        </w:rPr>
        <w:t>Moringa oleifera</w:t>
      </w:r>
      <w:r w:rsidRPr="001257FE">
        <w:rPr>
          <w:rFonts w:ascii="Arial" w:eastAsia="Calibri" w:hAnsi="Arial" w:cs="Arial"/>
          <w:sz w:val="20"/>
          <w:szCs w:val="24"/>
        </w:rPr>
        <w:t xml:space="preserve"> leaves powders studied have higher contents in total protein, available carbohydrate, and total fibers for both maturities. The particle size of those powders is large in the majority. Their rehydration properties and Oil holding capacity depend mainly on totals fiber contents, while the bulk density depends on particle size distribution. Protein contents limit the Water Capacity Absorption, Oil Holding Capacity of powders studied, while available carbohydrate contents positively affect the bulk density. The protein contents do not sufficient to conclude on their functional properties. Their amino acid profiles should be known. Functional properties of </w:t>
      </w:r>
      <w:r w:rsidRPr="001257FE">
        <w:rPr>
          <w:rFonts w:ascii="Arial" w:eastAsia="Calibri" w:hAnsi="Arial" w:cs="Arial"/>
          <w:i/>
          <w:sz w:val="20"/>
          <w:szCs w:val="24"/>
        </w:rPr>
        <w:t>M. oleifera</w:t>
      </w:r>
      <w:r w:rsidRPr="001257FE">
        <w:rPr>
          <w:rFonts w:ascii="Arial" w:eastAsia="Calibri" w:hAnsi="Arial" w:cs="Arial"/>
          <w:sz w:val="20"/>
          <w:szCs w:val="24"/>
        </w:rPr>
        <w:t xml:space="preserve"> leave powders do not always depend on the contents of the compounds and particle size distribution. Used them to the benefit of those properties, it should be mainly consider their fiber contents </w:t>
      </w:r>
      <w:r w:rsidRPr="001257FE">
        <w:rPr>
          <w:rFonts w:ascii="Arial" w:eastAsia="Calibri" w:hAnsi="Arial" w:cs="Arial"/>
          <w:color w:val="0E101A"/>
          <w:sz w:val="20"/>
        </w:rPr>
        <w:t>and the more abundant particle size</w:t>
      </w:r>
      <w:r w:rsidRPr="001257FE">
        <w:rPr>
          <w:rFonts w:ascii="Arial" w:eastAsia="Calibri" w:hAnsi="Arial" w:cs="Arial"/>
          <w:sz w:val="20"/>
          <w:szCs w:val="24"/>
        </w:rPr>
        <w:t>.</w:t>
      </w:r>
    </w:p>
    <w:p w:rsidR="003B72CA" w:rsidRPr="001257FE" w:rsidRDefault="003B72CA" w:rsidP="00E85B67">
      <w:pPr>
        <w:tabs>
          <w:tab w:val="left" w:pos="2693"/>
          <w:tab w:val="left" w:pos="3647"/>
        </w:tabs>
        <w:spacing w:after="0" w:line="240" w:lineRule="auto"/>
        <w:jc w:val="both"/>
        <w:rPr>
          <w:rFonts w:ascii="Arial" w:eastAsia="Calibri" w:hAnsi="Arial" w:cs="Arial"/>
          <w:szCs w:val="24"/>
        </w:rPr>
      </w:pPr>
    </w:p>
    <w:p w:rsidR="003B72CA" w:rsidRPr="001257FE" w:rsidRDefault="003B72CA" w:rsidP="003B72CA">
      <w:pPr>
        <w:pStyle w:val="ReferHead"/>
        <w:spacing w:after="0"/>
        <w:jc w:val="both"/>
        <w:rPr>
          <w:rFonts w:ascii="Arial" w:hAnsi="Arial" w:cs="Arial"/>
          <w:bCs/>
        </w:rPr>
      </w:pPr>
      <w:bookmarkStart w:id="26" w:name="_GoBack"/>
      <w:bookmarkEnd w:id="26"/>
      <w:r w:rsidRPr="001257FE">
        <w:rPr>
          <w:rFonts w:ascii="Arial" w:hAnsi="Arial" w:cs="Arial"/>
          <w:bCs/>
        </w:rPr>
        <w:t>Competing interests</w:t>
      </w:r>
    </w:p>
    <w:p w:rsidR="003B72CA" w:rsidRPr="001257FE" w:rsidRDefault="003B72CA" w:rsidP="003B72CA">
      <w:pPr>
        <w:pStyle w:val="ReferHead"/>
        <w:spacing w:after="0"/>
        <w:rPr>
          <w:rFonts w:ascii="Arial" w:hAnsi="Arial" w:cs="Arial"/>
          <w:sz w:val="18"/>
        </w:rPr>
      </w:pPr>
    </w:p>
    <w:p w:rsidR="003B72CA" w:rsidRPr="001257FE" w:rsidRDefault="003B72CA" w:rsidP="003B72CA">
      <w:pPr>
        <w:pStyle w:val="ReferHead"/>
        <w:spacing w:after="0"/>
        <w:jc w:val="both"/>
        <w:rPr>
          <w:rFonts w:ascii="Arial" w:hAnsi="Arial" w:cs="Arial"/>
          <w:b w:val="0"/>
          <w:caps w:val="0"/>
          <w:sz w:val="20"/>
        </w:rPr>
      </w:pPr>
      <w:r w:rsidRPr="001257FE">
        <w:rPr>
          <w:rFonts w:ascii="Arial" w:hAnsi="Arial" w:cs="Arial"/>
          <w:b w:val="0"/>
          <w:caps w:val="0"/>
          <w:sz w:val="20"/>
        </w:rPr>
        <w:t>Authors have declared that no competing interests exist.</w:t>
      </w:r>
    </w:p>
    <w:p w:rsidR="00294957" w:rsidRPr="001257FE" w:rsidRDefault="00294957" w:rsidP="00E85B67">
      <w:pPr>
        <w:tabs>
          <w:tab w:val="left" w:pos="2693"/>
          <w:tab w:val="left" w:pos="3647"/>
        </w:tabs>
        <w:spacing w:after="0" w:line="240" w:lineRule="auto"/>
        <w:jc w:val="both"/>
        <w:rPr>
          <w:rFonts w:ascii="Arial" w:eastAsia="Calibri" w:hAnsi="Arial" w:cs="Arial"/>
          <w:szCs w:val="24"/>
        </w:rPr>
      </w:pPr>
    </w:p>
    <w:p w:rsidR="00E85B67" w:rsidRPr="001257FE" w:rsidRDefault="00CA5C7C" w:rsidP="00E85B67">
      <w:pPr>
        <w:tabs>
          <w:tab w:val="left" w:pos="426"/>
        </w:tabs>
        <w:spacing w:after="0" w:line="240" w:lineRule="auto"/>
        <w:jc w:val="both"/>
        <w:rPr>
          <w:rFonts w:ascii="Arial" w:eastAsia="Calibri" w:hAnsi="Arial" w:cs="Arial"/>
          <w:b/>
          <w:szCs w:val="24"/>
        </w:rPr>
      </w:pPr>
      <w:r w:rsidRPr="001257FE">
        <w:rPr>
          <w:rFonts w:ascii="Arial" w:eastAsia="Calibri" w:hAnsi="Arial" w:cs="Arial"/>
          <w:b/>
          <w:szCs w:val="24"/>
        </w:rPr>
        <w:t>REFERENCES</w:t>
      </w:r>
    </w:p>
    <w:p w:rsidR="00294957" w:rsidRPr="001257FE" w:rsidRDefault="00294957" w:rsidP="00E85B67">
      <w:pPr>
        <w:tabs>
          <w:tab w:val="left" w:pos="426"/>
        </w:tabs>
        <w:spacing w:after="0" w:line="240" w:lineRule="auto"/>
        <w:jc w:val="both"/>
        <w:rPr>
          <w:rFonts w:ascii="Arial" w:eastAsia="Calibri" w:hAnsi="Arial" w:cs="Arial"/>
        </w:rPr>
      </w:pPr>
    </w:p>
    <w:p w:rsidR="00B655AD" w:rsidRPr="001257FE" w:rsidRDefault="009E053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9E053D">
        <w:rPr>
          <w:rFonts w:ascii="Arial" w:eastAsia="Calibri" w:hAnsi="Arial" w:cs="Arial"/>
          <w:sz w:val="20"/>
          <w:szCs w:val="20"/>
        </w:rPr>
        <w:fldChar w:fldCharType="begin" w:fldLock="1"/>
      </w:r>
      <w:r w:rsidR="00B655AD" w:rsidRPr="001257FE">
        <w:rPr>
          <w:rFonts w:ascii="Arial" w:eastAsia="Calibri" w:hAnsi="Arial" w:cs="Arial"/>
          <w:sz w:val="20"/>
          <w:szCs w:val="20"/>
        </w:rPr>
        <w:instrText xml:space="preserve">ADDIN Mendeley Bibliography CSL_BIBLIOGRAPHY </w:instrText>
      </w:r>
      <w:r w:rsidRPr="009E053D">
        <w:rPr>
          <w:rFonts w:ascii="Arial" w:eastAsia="Calibri" w:hAnsi="Arial" w:cs="Arial"/>
          <w:sz w:val="20"/>
          <w:szCs w:val="20"/>
        </w:rPr>
        <w:fldChar w:fldCharType="separate"/>
      </w:r>
      <w:r w:rsidR="00B655AD" w:rsidRPr="001257FE">
        <w:rPr>
          <w:rFonts w:ascii="Arial" w:eastAsia="Calibri" w:hAnsi="Arial" w:cs="Arial"/>
          <w:noProof/>
          <w:sz w:val="20"/>
          <w:szCs w:val="20"/>
        </w:rPr>
        <w:t>Njintang NY, Mbofung CMF, Balaam F, Kitiss</w:t>
      </w:r>
      <w:r w:rsidR="00FF10F6" w:rsidRPr="001257FE">
        <w:rPr>
          <w:rFonts w:ascii="Arial" w:eastAsia="Calibri" w:hAnsi="Arial" w:cs="Arial"/>
          <w:noProof/>
          <w:sz w:val="20"/>
          <w:szCs w:val="20"/>
        </w:rPr>
        <w:t>ou P, Scher J. Effect of taro (</w:t>
      </w:r>
      <w:r w:rsidR="00B655AD" w:rsidRPr="001257FE">
        <w:rPr>
          <w:rFonts w:ascii="Arial" w:eastAsia="Calibri" w:hAnsi="Arial" w:cs="Arial"/>
          <w:i/>
          <w:noProof/>
          <w:sz w:val="20"/>
          <w:szCs w:val="20"/>
        </w:rPr>
        <w:t>Colocasia esculenta</w:t>
      </w:r>
      <w:r w:rsidR="00B655AD" w:rsidRPr="001257FE">
        <w:rPr>
          <w:rFonts w:ascii="Arial" w:eastAsia="Calibri" w:hAnsi="Arial" w:cs="Arial"/>
          <w:noProof/>
          <w:sz w:val="20"/>
          <w:szCs w:val="20"/>
        </w:rPr>
        <w:t xml:space="preserve">) flour addition on the functional and alveographic properties of wheat flour and dough. 2008;279:273–9. </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 xml:space="preserve">Rodríguez-miranda J, Ruiz-lópez II, Herman-lara E, Martínez-sánchez CE, Delgado-licon E. Development </w:t>
      </w:r>
      <w:r w:rsidR="00FF10F6" w:rsidRPr="001257FE">
        <w:rPr>
          <w:rFonts w:ascii="Arial" w:eastAsia="Calibri" w:hAnsi="Arial" w:cs="Arial"/>
          <w:noProof/>
          <w:sz w:val="20"/>
          <w:szCs w:val="20"/>
        </w:rPr>
        <w:t>of extruded snacks using taro (</w:t>
      </w:r>
      <w:r w:rsidRPr="001257FE">
        <w:rPr>
          <w:rFonts w:ascii="Arial" w:eastAsia="Calibri" w:hAnsi="Arial" w:cs="Arial"/>
          <w:i/>
          <w:noProof/>
          <w:sz w:val="20"/>
          <w:szCs w:val="20"/>
        </w:rPr>
        <w:t>Colocasia esculenta</w:t>
      </w:r>
      <w:r w:rsidRPr="001257FE">
        <w:rPr>
          <w:rFonts w:ascii="Arial" w:eastAsia="Calibri" w:hAnsi="Arial" w:cs="Arial"/>
          <w:noProof/>
          <w:sz w:val="20"/>
          <w:szCs w:val="20"/>
        </w:rPr>
        <w:t xml:space="preserve">) and nixtamalized maize (Zea mays ) flour blends. LWT - Food Sci Technol [Internet]. 2011;44(3):673–80. </w:t>
      </w:r>
    </w:p>
    <w:p w:rsidR="00B655AD" w:rsidRPr="001257FE" w:rsidRDefault="00B655AD" w:rsidP="00B655AD">
      <w:pPr>
        <w:pStyle w:val="ListParagraph"/>
        <w:widowControl w:val="0"/>
        <w:autoSpaceDE w:val="0"/>
        <w:autoSpaceDN w:val="0"/>
        <w:adjustRightInd w:val="0"/>
        <w:spacing w:after="0" w:line="240" w:lineRule="auto"/>
        <w:ind w:left="540"/>
        <w:jc w:val="both"/>
        <w:rPr>
          <w:rFonts w:ascii="Arial" w:eastAsia="Calibri" w:hAnsi="Arial" w:cs="Arial"/>
          <w:noProof/>
          <w:sz w:val="20"/>
          <w:szCs w:val="20"/>
        </w:rPr>
      </w:pPr>
      <w:r w:rsidRPr="001257FE">
        <w:rPr>
          <w:rFonts w:ascii="Arial" w:eastAsia="Calibri" w:hAnsi="Arial" w:cs="Arial"/>
          <w:noProof/>
          <w:sz w:val="20"/>
          <w:szCs w:val="20"/>
        </w:rPr>
        <w:t>Available:http://dx.doi.org/10.1016/j.lwt.2010.06.036</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 xml:space="preserve">Fombang Nig E, Assiéné Agamou JA, Mbofung Carl MF. Incorporation of </w:t>
      </w:r>
      <w:r w:rsidR="00A009BC" w:rsidRPr="001257FE">
        <w:rPr>
          <w:rFonts w:ascii="Arial" w:eastAsia="Calibri" w:hAnsi="Arial" w:cs="Arial"/>
          <w:noProof/>
          <w:sz w:val="20"/>
          <w:szCs w:val="20"/>
        </w:rPr>
        <w:t>ricinodendron heudolotti meal into blends of wheat and precooked taro flour for production of nutrient dense bisc</w:t>
      </w:r>
      <w:r w:rsidRPr="001257FE">
        <w:rPr>
          <w:rFonts w:ascii="Arial" w:eastAsia="Calibri" w:hAnsi="Arial" w:cs="Arial"/>
          <w:noProof/>
          <w:sz w:val="20"/>
          <w:szCs w:val="20"/>
        </w:rPr>
        <w:t xml:space="preserve">uits. 2016;3(2):1–7. </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 xml:space="preserve">Nsor-Atindana J, Chen M, Goff HD, Zhong F, Sharif HR, Li Y. Functionality and nutritional aspects of microcrystalline cellulose in food. Carbohydr Polym [Internet]. 2017;172:159–74. </w:t>
      </w:r>
    </w:p>
    <w:p w:rsidR="00B655AD" w:rsidRPr="001257FE" w:rsidRDefault="00B655AD" w:rsidP="00B655AD">
      <w:pPr>
        <w:pStyle w:val="ListParagraph"/>
        <w:widowControl w:val="0"/>
        <w:autoSpaceDE w:val="0"/>
        <w:autoSpaceDN w:val="0"/>
        <w:adjustRightInd w:val="0"/>
        <w:spacing w:after="0" w:line="240" w:lineRule="auto"/>
        <w:ind w:left="540"/>
        <w:jc w:val="both"/>
        <w:rPr>
          <w:rFonts w:ascii="Arial" w:eastAsia="Calibri" w:hAnsi="Arial" w:cs="Arial"/>
          <w:noProof/>
          <w:sz w:val="20"/>
          <w:szCs w:val="20"/>
        </w:rPr>
      </w:pPr>
      <w:r w:rsidRPr="001257FE">
        <w:rPr>
          <w:rFonts w:ascii="Arial" w:eastAsia="Calibri" w:hAnsi="Arial" w:cs="Arial"/>
          <w:noProof/>
          <w:sz w:val="20"/>
          <w:szCs w:val="20"/>
        </w:rPr>
        <w:t>Available:http://dx.doi.org/10.1016/j.carbpol.2017.04.021</w:t>
      </w:r>
    </w:p>
    <w:p w:rsidR="00B655AD"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Assiéné Agamou JA, Fombang Nig E, Mbofung Carl MF. Particular </w:t>
      </w:r>
      <w:r w:rsidR="00E54DEB" w:rsidRPr="001257FE">
        <w:rPr>
          <w:rFonts w:ascii="Arial" w:eastAsia="Calibri" w:hAnsi="Arial" w:cs="Arial"/>
          <w:noProof/>
          <w:sz w:val="20"/>
          <w:szCs w:val="20"/>
        </w:rPr>
        <w:t xml:space="preserve">benefits can be attributed to </w:t>
      </w:r>
      <w:r w:rsidR="00E54DEB" w:rsidRPr="001257FE">
        <w:rPr>
          <w:rFonts w:ascii="Arial" w:eastAsia="Calibri" w:hAnsi="Arial" w:cs="Arial"/>
          <w:i/>
          <w:noProof/>
          <w:sz w:val="20"/>
          <w:szCs w:val="20"/>
        </w:rPr>
        <w:t>Moringa olei</w:t>
      </w:r>
      <w:r w:rsidRPr="001257FE">
        <w:rPr>
          <w:rFonts w:ascii="Arial" w:eastAsia="Calibri" w:hAnsi="Arial" w:cs="Arial"/>
          <w:i/>
          <w:noProof/>
          <w:sz w:val="20"/>
          <w:szCs w:val="20"/>
        </w:rPr>
        <w:t>fera</w:t>
      </w:r>
      <w:r w:rsidRPr="001257FE">
        <w:rPr>
          <w:rFonts w:ascii="Arial" w:eastAsia="Calibri" w:hAnsi="Arial" w:cs="Arial"/>
          <w:noProof/>
          <w:sz w:val="20"/>
          <w:szCs w:val="20"/>
        </w:rPr>
        <w:t xml:space="preserve"> LAM leaves based on origin and stage of maturity. J Exp Biol Agric Sci. 2015;3(2320):541–55. </w:t>
      </w:r>
    </w:p>
    <w:p w:rsidR="00B655AD"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Assiéné Agamou AJ, Fombang Nig E, Mbofung Carl M. In vitro protein digestibility and iron bioavailability according to agro-ecological zone and stage of maturity of moringa oleifera Lam leaves. Eur J Nutr Food Saf. 2020;12(11):90–103. </w:t>
      </w:r>
    </w:p>
    <w:p w:rsidR="00B655AD"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Fahey JW. Moringa oleifera: A review of the medicinal potential. Acta Hortic. 2017;1158:209–24. </w:t>
      </w:r>
    </w:p>
    <w:p w:rsidR="00B655AD"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Abouel-Yazeed A. Usage of moringa </w:t>
      </w:r>
      <w:r w:rsidR="00E54DEB" w:rsidRPr="001257FE">
        <w:rPr>
          <w:rFonts w:ascii="Arial" w:eastAsia="Calibri" w:hAnsi="Arial" w:cs="Arial"/>
          <w:noProof/>
          <w:sz w:val="20"/>
          <w:szCs w:val="20"/>
        </w:rPr>
        <w:t>leaves as a com</w:t>
      </w:r>
      <w:r w:rsidRPr="001257FE">
        <w:rPr>
          <w:rFonts w:ascii="Arial" w:eastAsia="Calibri" w:hAnsi="Arial" w:cs="Arial"/>
          <w:noProof/>
          <w:sz w:val="20"/>
          <w:szCs w:val="20"/>
        </w:rPr>
        <w:t xml:space="preserve">ponent in some Foodstuff. J Food Dairy Sci. 2019;10(10):365–71. </w:t>
      </w:r>
    </w:p>
    <w:p w:rsidR="00F402A6"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Zhu F, Du B, Xu B. Super fi ne grinding improves functional properties and antioxidant capacities of bran dietary fi bre from Qingke ( hull-less barley ) grown in Qinghai-Tibet Plateau , China. J Cereal Sci [Interne</w:t>
      </w:r>
      <w:r w:rsidR="00F402A6" w:rsidRPr="001257FE">
        <w:rPr>
          <w:rFonts w:ascii="Arial" w:eastAsia="Calibri" w:hAnsi="Arial" w:cs="Arial"/>
          <w:noProof/>
          <w:sz w:val="20"/>
          <w:szCs w:val="20"/>
        </w:rPr>
        <w:t xml:space="preserve">t]. 2015;65:43–7. </w:t>
      </w:r>
    </w:p>
    <w:p w:rsidR="00B655AD" w:rsidRPr="001257FE" w:rsidRDefault="00F402A6" w:rsidP="00FF10F6">
      <w:pPr>
        <w:pStyle w:val="ListParagraph"/>
        <w:widowControl w:val="0"/>
        <w:autoSpaceDE w:val="0"/>
        <w:autoSpaceDN w:val="0"/>
        <w:adjustRightInd w:val="0"/>
        <w:spacing w:before="30" w:after="0" w:line="240" w:lineRule="auto"/>
        <w:ind w:left="547"/>
        <w:contextualSpacing w:val="0"/>
        <w:jc w:val="both"/>
        <w:rPr>
          <w:rFonts w:ascii="Arial" w:eastAsia="Calibri" w:hAnsi="Arial" w:cs="Arial"/>
          <w:noProof/>
          <w:sz w:val="20"/>
          <w:szCs w:val="20"/>
        </w:rPr>
      </w:pPr>
      <w:r w:rsidRPr="001257FE">
        <w:rPr>
          <w:rFonts w:ascii="Arial" w:eastAsia="Calibri" w:hAnsi="Arial" w:cs="Arial"/>
          <w:noProof/>
          <w:sz w:val="20"/>
          <w:szCs w:val="20"/>
        </w:rPr>
        <w:t>Available:</w:t>
      </w:r>
      <w:r w:rsidR="00B655AD" w:rsidRPr="001257FE">
        <w:rPr>
          <w:rFonts w:ascii="Arial" w:eastAsia="Calibri" w:hAnsi="Arial" w:cs="Arial"/>
          <w:noProof/>
          <w:sz w:val="20"/>
          <w:szCs w:val="20"/>
        </w:rPr>
        <w:t>http://dx.doi.org/10.1016/j.jcs.2015.06.006</w:t>
      </w:r>
    </w:p>
    <w:p w:rsidR="00F402A6"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Huang X, Liang K, Liu Q, Qiu J, Wang J, Zhu H. Industrial Crops &amp; Products Superfine grinding a ff ects physicochemical, thermal and structural properties of Moringa Oleifera leaf powders. Ind Crop Prod [Internet]. 2020;1</w:t>
      </w:r>
      <w:r w:rsidR="00F402A6" w:rsidRPr="001257FE">
        <w:rPr>
          <w:rFonts w:ascii="Arial" w:eastAsia="Calibri" w:hAnsi="Arial" w:cs="Arial"/>
          <w:noProof/>
          <w:sz w:val="20"/>
          <w:szCs w:val="20"/>
        </w:rPr>
        <w:t xml:space="preserve">51:112472. </w:t>
      </w:r>
    </w:p>
    <w:p w:rsidR="00B655AD" w:rsidRPr="001257FE" w:rsidRDefault="00F402A6" w:rsidP="00FF10F6">
      <w:pPr>
        <w:pStyle w:val="ListParagraph"/>
        <w:widowControl w:val="0"/>
        <w:autoSpaceDE w:val="0"/>
        <w:autoSpaceDN w:val="0"/>
        <w:adjustRightInd w:val="0"/>
        <w:spacing w:before="30" w:after="0" w:line="240" w:lineRule="auto"/>
        <w:ind w:left="547"/>
        <w:contextualSpacing w:val="0"/>
        <w:jc w:val="both"/>
        <w:rPr>
          <w:rFonts w:ascii="Arial" w:eastAsia="Calibri" w:hAnsi="Arial" w:cs="Arial"/>
          <w:noProof/>
          <w:sz w:val="20"/>
          <w:szCs w:val="20"/>
        </w:rPr>
      </w:pPr>
      <w:r w:rsidRPr="001257FE">
        <w:rPr>
          <w:rFonts w:ascii="Arial" w:eastAsia="Calibri" w:hAnsi="Arial" w:cs="Arial"/>
          <w:noProof/>
          <w:sz w:val="20"/>
          <w:szCs w:val="20"/>
        </w:rPr>
        <w:t>Available:</w:t>
      </w:r>
      <w:r w:rsidR="00B655AD" w:rsidRPr="001257FE">
        <w:rPr>
          <w:rFonts w:ascii="Arial" w:eastAsia="Calibri" w:hAnsi="Arial" w:cs="Arial"/>
          <w:noProof/>
          <w:sz w:val="20"/>
          <w:szCs w:val="20"/>
        </w:rPr>
        <w:t>https://doi.org/10.1016/j.indcrop.2020.112472</w:t>
      </w:r>
    </w:p>
    <w:p w:rsidR="00B655AD"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Deli M, Petit J, Nguimbou RM, Djantou EB, Njintang Yanou N, Scher J. Effect of sieved fractionation on the physical , flow and hydration properties of Boscia senegalensis Lam, Dichostachys glomerata Forssk . and Hibiscus sabdariffa L . powders. 2019;28:1375–89. </w:t>
      </w:r>
    </w:p>
    <w:p w:rsidR="00B655AD"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Helrich. Official Methods of Analysis. In: Association Of Official Analytical Chemists, Inc 15th edition, Suite 400, 2200 Wilson Boulevard Arlington, Virginia 22201, USA</w:t>
      </w:r>
      <w:r w:rsidR="00A009BC" w:rsidRPr="001257FE">
        <w:rPr>
          <w:rFonts w:ascii="Arial" w:eastAsia="Calibri" w:hAnsi="Arial" w:cs="Arial"/>
          <w:noProof/>
          <w:sz w:val="20"/>
          <w:szCs w:val="20"/>
        </w:rPr>
        <w:t xml:space="preserve">; </w:t>
      </w:r>
      <w:r w:rsidRPr="001257FE">
        <w:rPr>
          <w:rFonts w:ascii="Arial" w:eastAsia="Calibri" w:hAnsi="Arial" w:cs="Arial"/>
          <w:noProof/>
          <w:sz w:val="20"/>
          <w:szCs w:val="20"/>
        </w:rPr>
        <w:t xml:space="preserve"> 1990. </w:t>
      </w:r>
    </w:p>
    <w:p w:rsidR="00B655AD" w:rsidRPr="001257FE" w:rsidRDefault="00B655AD" w:rsidP="00FF10F6">
      <w:pPr>
        <w:pStyle w:val="ListParagraph"/>
        <w:widowControl w:val="0"/>
        <w:numPr>
          <w:ilvl w:val="0"/>
          <w:numId w:val="4"/>
        </w:numPr>
        <w:autoSpaceDE w:val="0"/>
        <w:autoSpaceDN w:val="0"/>
        <w:adjustRightInd w:val="0"/>
        <w:spacing w:before="30" w:after="0" w:line="240" w:lineRule="auto"/>
        <w:ind w:left="547" w:hanging="540"/>
        <w:contextualSpacing w:val="0"/>
        <w:jc w:val="both"/>
        <w:rPr>
          <w:rFonts w:ascii="Arial" w:eastAsia="Calibri" w:hAnsi="Arial" w:cs="Arial"/>
          <w:noProof/>
          <w:sz w:val="20"/>
          <w:szCs w:val="20"/>
          <w:lang w:val="fr-FR"/>
        </w:rPr>
      </w:pPr>
      <w:r w:rsidRPr="001257FE">
        <w:rPr>
          <w:rFonts w:ascii="Arial" w:eastAsia="Calibri" w:hAnsi="Arial" w:cs="Arial"/>
          <w:noProof/>
          <w:sz w:val="20"/>
          <w:szCs w:val="20"/>
        </w:rPr>
        <w:t xml:space="preserve">Fischer EE, Stein A. DNS colorimetric determination of available carbohydrates in foods. </w:t>
      </w:r>
      <w:r w:rsidRPr="001257FE">
        <w:rPr>
          <w:rFonts w:ascii="Arial" w:eastAsia="Calibri" w:hAnsi="Arial" w:cs="Arial"/>
          <w:noProof/>
          <w:sz w:val="20"/>
          <w:szCs w:val="20"/>
          <w:lang w:val="fr-FR"/>
        </w:rPr>
        <w:t xml:space="preserve">Biochem Prep. 1961;8:30–7. </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lang w:val="fr-FR"/>
        </w:rPr>
      </w:pPr>
      <w:r w:rsidRPr="001257FE">
        <w:rPr>
          <w:rFonts w:ascii="Arial" w:eastAsia="Calibri" w:hAnsi="Arial" w:cs="Arial"/>
          <w:noProof/>
          <w:sz w:val="20"/>
          <w:szCs w:val="20"/>
          <w:lang w:val="fr-FR"/>
        </w:rPr>
        <w:t>Wolff JP. Manuel d’analyse des corps gras. Azoulay éd., Paris</w:t>
      </w:r>
      <w:r w:rsidR="00A009BC" w:rsidRPr="001257FE">
        <w:rPr>
          <w:rFonts w:ascii="Arial" w:eastAsia="Calibri" w:hAnsi="Arial" w:cs="Arial"/>
          <w:noProof/>
          <w:sz w:val="20"/>
          <w:szCs w:val="20"/>
          <w:lang w:val="fr-FR"/>
        </w:rPr>
        <w:t>.</w:t>
      </w:r>
      <w:r w:rsidRPr="001257FE">
        <w:rPr>
          <w:rFonts w:ascii="Arial" w:eastAsia="Calibri" w:hAnsi="Arial" w:cs="Arial"/>
          <w:noProof/>
          <w:sz w:val="20"/>
          <w:szCs w:val="20"/>
          <w:lang w:val="fr-FR"/>
        </w:rPr>
        <w:t xml:space="preserve"> 1968</w:t>
      </w:r>
      <w:r w:rsidR="00A009BC" w:rsidRPr="001257FE">
        <w:rPr>
          <w:rFonts w:ascii="Arial" w:eastAsia="Calibri" w:hAnsi="Arial" w:cs="Arial"/>
          <w:noProof/>
          <w:sz w:val="20"/>
          <w:szCs w:val="20"/>
          <w:lang w:val="fr-FR"/>
        </w:rPr>
        <w:t>;</w:t>
      </w:r>
      <w:r w:rsidRPr="001257FE">
        <w:rPr>
          <w:rFonts w:ascii="Arial" w:eastAsia="Calibri" w:hAnsi="Arial" w:cs="Arial"/>
          <w:noProof/>
          <w:sz w:val="20"/>
          <w:szCs w:val="20"/>
          <w:lang w:val="fr-FR"/>
        </w:rPr>
        <w:t xml:space="preserve">519. </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lang w:val="fr-FR"/>
        </w:rPr>
        <w:t xml:space="preserve">Melcion JP. La granulométrie de l’aliment: Principe, mesure et obtention. </w:t>
      </w:r>
      <w:r w:rsidRPr="001257FE">
        <w:rPr>
          <w:rFonts w:ascii="Arial" w:eastAsia="Calibri" w:hAnsi="Arial" w:cs="Arial"/>
          <w:noProof/>
          <w:sz w:val="20"/>
          <w:szCs w:val="20"/>
        </w:rPr>
        <w:t xml:space="preserve">Prod Anim. 2000;13(2):81–97. </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Phillips RD, Chinnan MS, Branch AL, Miller J, McWatters KH. Effects of Pretreatment on Functional and Nutritional Properties of Cowpea Meal. J Food Sci. 1988;53(3):805–9. </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Beuchat LR. Functional and Electrophoretic Characteristics of Succinylated Peanut Flour Protein. J Agric Food Chem. 1977;25(2):258–61. </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lang w:val="fr-FR"/>
        </w:rPr>
      </w:pPr>
      <w:r w:rsidRPr="001257FE">
        <w:rPr>
          <w:rFonts w:ascii="Arial" w:eastAsia="Calibri" w:hAnsi="Arial" w:cs="Arial"/>
          <w:noProof/>
          <w:sz w:val="20"/>
          <w:szCs w:val="20"/>
        </w:rPr>
        <w:t xml:space="preserve">Adebowale YA, Adeyemi IA, Oshodi AA. Functional and physicochemical properties of flours of six Mucuna species. </w:t>
      </w:r>
      <w:r w:rsidRPr="001257FE">
        <w:rPr>
          <w:rFonts w:ascii="Arial" w:eastAsia="Calibri" w:hAnsi="Arial" w:cs="Arial"/>
          <w:noProof/>
          <w:sz w:val="20"/>
          <w:szCs w:val="20"/>
          <w:lang w:val="fr-FR"/>
        </w:rPr>
        <w:t xml:space="preserve">African J Biotechnol. 2005;4(12):1461–8. </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lang w:val="fr-FR"/>
        </w:rPr>
      </w:pPr>
      <w:r w:rsidRPr="001257FE">
        <w:rPr>
          <w:rFonts w:ascii="Arial" w:eastAsia="Calibri" w:hAnsi="Arial" w:cs="Arial"/>
          <w:noProof/>
          <w:sz w:val="20"/>
          <w:szCs w:val="20"/>
          <w:lang w:val="fr-FR"/>
        </w:rPr>
        <w:t>Aboubakar. Optimisation Des Paramètres De Production Et De Conservation De La. Nancy-Université, INPL,France; Université de Ngaoundéré, Cameroun</w:t>
      </w:r>
      <w:r w:rsidR="00A009BC" w:rsidRPr="001257FE">
        <w:rPr>
          <w:rFonts w:ascii="Arial" w:eastAsia="Calibri" w:hAnsi="Arial" w:cs="Arial"/>
          <w:noProof/>
          <w:sz w:val="20"/>
          <w:szCs w:val="20"/>
          <w:lang w:val="fr-FR"/>
        </w:rPr>
        <w:t>.</w:t>
      </w:r>
      <w:r w:rsidRPr="001257FE">
        <w:rPr>
          <w:rFonts w:ascii="Arial" w:eastAsia="Calibri" w:hAnsi="Arial" w:cs="Arial"/>
          <w:noProof/>
          <w:sz w:val="20"/>
          <w:szCs w:val="20"/>
          <w:lang w:val="fr-FR"/>
        </w:rPr>
        <w:t xml:space="preserve"> 2009</w:t>
      </w:r>
      <w:r w:rsidR="00A009BC" w:rsidRPr="001257FE">
        <w:rPr>
          <w:rFonts w:ascii="Arial" w:eastAsia="Calibri" w:hAnsi="Arial" w:cs="Arial"/>
          <w:noProof/>
          <w:sz w:val="20"/>
          <w:szCs w:val="20"/>
          <w:lang w:val="fr-FR"/>
        </w:rPr>
        <w:t>;</w:t>
      </w:r>
      <w:r w:rsidRPr="001257FE">
        <w:rPr>
          <w:rFonts w:ascii="Arial" w:eastAsia="Calibri" w:hAnsi="Arial" w:cs="Arial"/>
          <w:noProof/>
          <w:sz w:val="20"/>
          <w:szCs w:val="20"/>
          <w:lang w:val="fr-FR"/>
        </w:rPr>
        <w:t xml:space="preserve">212. </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lang w:val="fr-FR"/>
        </w:rPr>
        <w:t xml:space="preserve">Castillo-López RI, León-Félix J, Angulo-Escalante MÁ, Gutiérrez-Dorado R, Muy-Rangel MD, Heredia JB. </w:t>
      </w:r>
      <w:r w:rsidRPr="001257FE">
        <w:rPr>
          <w:rFonts w:ascii="Arial" w:eastAsia="Calibri" w:hAnsi="Arial" w:cs="Arial"/>
          <w:noProof/>
          <w:sz w:val="20"/>
          <w:szCs w:val="20"/>
        </w:rPr>
        <w:t xml:space="preserve">Nutritional and phenolic characterization of Moringa oleifera leaves grown in Sinaloa, México. Pakistan J Bot. 2017;49(1):161–8. </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Aye P, Adegun M. Chemical Composition and some functional properties of Moringa, Leucaena and Gliricidia leaf meals. Agric Biol J North Am. 2013;4(1):71–7. </w:t>
      </w:r>
    </w:p>
    <w:p w:rsidR="00F402A6"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Mune Mune MA, Bakwo Bassogog CB, Nyobe EC, René Minka S. Physicochemical and functional properties of Moringa oleifera seed and leaf flour. Cogent Food Agric [Internet</w:t>
      </w:r>
      <w:r w:rsidR="00F402A6" w:rsidRPr="001257FE">
        <w:rPr>
          <w:rFonts w:ascii="Arial" w:eastAsia="Calibri" w:hAnsi="Arial" w:cs="Arial"/>
          <w:noProof/>
          <w:sz w:val="20"/>
          <w:szCs w:val="20"/>
        </w:rPr>
        <w:t xml:space="preserve">]. 2016;2(1):1–9. </w:t>
      </w:r>
    </w:p>
    <w:p w:rsidR="00B655AD" w:rsidRPr="001257FE" w:rsidRDefault="00F402A6" w:rsidP="00FF10F6">
      <w:pPr>
        <w:pStyle w:val="ListParagraph"/>
        <w:widowControl w:val="0"/>
        <w:autoSpaceDE w:val="0"/>
        <w:autoSpaceDN w:val="0"/>
        <w:adjustRightInd w:val="0"/>
        <w:spacing w:before="32" w:after="0" w:line="240" w:lineRule="auto"/>
        <w:ind w:left="547"/>
        <w:contextualSpacing w:val="0"/>
        <w:jc w:val="both"/>
        <w:rPr>
          <w:rFonts w:ascii="Arial" w:eastAsia="Calibri" w:hAnsi="Arial" w:cs="Arial"/>
          <w:noProof/>
          <w:sz w:val="20"/>
          <w:szCs w:val="20"/>
        </w:rPr>
      </w:pPr>
      <w:r w:rsidRPr="001257FE">
        <w:rPr>
          <w:rFonts w:ascii="Arial" w:eastAsia="Calibri" w:hAnsi="Arial" w:cs="Arial"/>
          <w:noProof/>
          <w:sz w:val="20"/>
          <w:szCs w:val="20"/>
        </w:rPr>
        <w:t>Available:</w:t>
      </w:r>
      <w:r w:rsidR="00B655AD" w:rsidRPr="001257FE">
        <w:rPr>
          <w:rFonts w:ascii="Arial" w:eastAsia="Calibri" w:hAnsi="Arial" w:cs="Arial"/>
          <w:noProof/>
          <w:sz w:val="20"/>
          <w:szCs w:val="20"/>
        </w:rPr>
        <w:t>http://dx.doi.org/10.1080/23311932.2016.1220352</w:t>
      </w:r>
    </w:p>
    <w:p w:rsidR="00B655AD"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Sahay S, Yadav U, Srinivasamurthy S. Potential of </w:t>
      </w:r>
      <w:r w:rsidRPr="001257FE">
        <w:rPr>
          <w:rFonts w:ascii="Arial" w:eastAsia="Calibri" w:hAnsi="Arial" w:cs="Arial"/>
          <w:i/>
          <w:noProof/>
          <w:sz w:val="20"/>
          <w:szCs w:val="20"/>
        </w:rPr>
        <w:t>Moringa oleifera</w:t>
      </w:r>
      <w:r w:rsidRPr="001257FE">
        <w:rPr>
          <w:rFonts w:ascii="Arial" w:eastAsia="Calibri" w:hAnsi="Arial" w:cs="Arial"/>
          <w:noProof/>
          <w:sz w:val="20"/>
          <w:szCs w:val="20"/>
        </w:rPr>
        <w:t xml:space="preserve"> as a functional food ingredient: A review. Int J Food Sci Nutr. 2017;2(5):31–7. </w:t>
      </w:r>
    </w:p>
    <w:p w:rsidR="005A12D6" w:rsidRPr="001257FE" w:rsidRDefault="00B655AD" w:rsidP="00FF10F6">
      <w:pPr>
        <w:pStyle w:val="ListParagraph"/>
        <w:widowControl w:val="0"/>
        <w:numPr>
          <w:ilvl w:val="0"/>
          <w:numId w:val="4"/>
        </w:numPr>
        <w:autoSpaceDE w:val="0"/>
        <w:autoSpaceDN w:val="0"/>
        <w:adjustRightInd w:val="0"/>
        <w:spacing w:before="32"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 xml:space="preserve">Olusanya RN, Kolanisi U, Onselen A Van, Ngobese NZ, Siwela M. South African Journal of Botany Nutritional composition and consumer acceptability of Moringa oleifera leaf powder ( MOLP ) -supplemented mahewu. South African J Bot </w:t>
      </w:r>
      <w:r w:rsidR="005A12D6" w:rsidRPr="001257FE">
        <w:rPr>
          <w:rFonts w:ascii="Arial" w:eastAsia="Calibri" w:hAnsi="Arial" w:cs="Arial"/>
          <w:noProof/>
          <w:sz w:val="20"/>
          <w:szCs w:val="20"/>
        </w:rPr>
        <w:t>[Internet]</w:t>
      </w:r>
      <w:r w:rsidR="00A009BC" w:rsidRPr="001257FE">
        <w:rPr>
          <w:rFonts w:ascii="Arial" w:eastAsia="Calibri" w:hAnsi="Arial" w:cs="Arial"/>
          <w:noProof/>
          <w:sz w:val="20"/>
          <w:szCs w:val="20"/>
        </w:rPr>
        <w:t>;</w:t>
      </w:r>
      <w:r w:rsidR="005A12D6" w:rsidRPr="001257FE">
        <w:rPr>
          <w:rFonts w:ascii="Arial" w:eastAsia="Calibri" w:hAnsi="Arial" w:cs="Arial"/>
          <w:noProof/>
          <w:sz w:val="20"/>
          <w:szCs w:val="20"/>
        </w:rPr>
        <w:t xml:space="preserve"> 2019</w:t>
      </w:r>
      <w:r w:rsidR="00A009BC" w:rsidRPr="001257FE">
        <w:rPr>
          <w:rFonts w:ascii="Arial" w:eastAsia="Calibri" w:hAnsi="Arial" w:cs="Arial"/>
          <w:noProof/>
          <w:sz w:val="20"/>
          <w:szCs w:val="20"/>
        </w:rPr>
        <w:t>.</w:t>
      </w:r>
    </w:p>
    <w:p w:rsidR="00B655AD" w:rsidRPr="001257FE" w:rsidRDefault="005A12D6" w:rsidP="00FF10F6">
      <w:pPr>
        <w:pStyle w:val="ListParagraph"/>
        <w:widowControl w:val="0"/>
        <w:autoSpaceDE w:val="0"/>
        <w:autoSpaceDN w:val="0"/>
        <w:adjustRightInd w:val="0"/>
        <w:spacing w:before="32" w:after="0" w:line="240" w:lineRule="auto"/>
        <w:ind w:left="547"/>
        <w:contextualSpacing w:val="0"/>
        <w:jc w:val="both"/>
        <w:rPr>
          <w:rFonts w:ascii="Arial" w:eastAsia="Calibri" w:hAnsi="Arial" w:cs="Arial"/>
          <w:noProof/>
          <w:sz w:val="20"/>
          <w:szCs w:val="20"/>
        </w:rPr>
      </w:pPr>
      <w:r w:rsidRPr="001257FE">
        <w:rPr>
          <w:rFonts w:ascii="Arial" w:eastAsia="Calibri" w:hAnsi="Arial" w:cs="Arial"/>
          <w:noProof/>
          <w:sz w:val="20"/>
          <w:szCs w:val="20"/>
        </w:rPr>
        <w:t>Available:</w:t>
      </w:r>
      <w:r w:rsidR="00B655AD" w:rsidRPr="001257FE">
        <w:rPr>
          <w:rFonts w:ascii="Arial" w:eastAsia="Calibri" w:hAnsi="Arial" w:cs="Arial"/>
          <w:noProof/>
          <w:sz w:val="20"/>
          <w:szCs w:val="20"/>
        </w:rPr>
        <w:t>https://doi.org/10.1016/j.sajb.2019.04.022</w:t>
      </w:r>
    </w:p>
    <w:p w:rsidR="009B1862"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Galla NR, Pamidighantam PR, Karakala B, Gurusiddaiah MR, Akula S. Nutritional, textural and sensory quality of biscuits supplemented with spinach (</w:t>
      </w:r>
      <w:r w:rsidRPr="001257FE">
        <w:rPr>
          <w:rFonts w:ascii="Arial" w:eastAsia="Calibri" w:hAnsi="Arial" w:cs="Arial"/>
          <w:i/>
          <w:noProof/>
          <w:sz w:val="20"/>
          <w:szCs w:val="20"/>
        </w:rPr>
        <w:t>Spinacia oleracea</w:t>
      </w:r>
      <w:r w:rsidRPr="001257FE">
        <w:rPr>
          <w:rFonts w:ascii="Arial" w:eastAsia="Calibri" w:hAnsi="Arial" w:cs="Arial"/>
          <w:noProof/>
          <w:sz w:val="20"/>
          <w:szCs w:val="20"/>
        </w:rPr>
        <w:t xml:space="preserve"> L.). Int J Gastron Food Sci [Internet]. 2017;7</w:t>
      </w:r>
      <w:r w:rsidR="009B1862" w:rsidRPr="001257FE">
        <w:rPr>
          <w:rFonts w:ascii="Arial" w:eastAsia="Calibri" w:hAnsi="Arial" w:cs="Arial"/>
          <w:noProof/>
          <w:sz w:val="20"/>
          <w:szCs w:val="20"/>
        </w:rPr>
        <w:t xml:space="preserve">:20–6. </w:t>
      </w:r>
    </w:p>
    <w:p w:rsidR="00B655AD" w:rsidRPr="001257FE" w:rsidRDefault="009B1862" w:rsidP="009B1862">
      <w:pPr>
        <w:pStyle w:val="ListParagraph"/>
        <w:widowControl w:val="0"/>
        <w:autoSpaceDE w:val="0"/>
        <w:autoSpaceDN w:val="0"/>
        <w:adjustRightInd w:val="0"/>
        <w:spacing w:after="0" w:line="240" w:lineRule="auto"/>
        <w:ind w:left="540"/>
        <w:jc w:val="both"/>
        <w:rPr>
          <w:rFonts w:ascii="Arial" w:eastAsia="Calibri" w:hAnsi="Arial" w:cs="Arial"/>
          <w:noProof/>
          <w:sz w:val="20"/>
          <w:szCs w:val="20"/>
        </w:rPr>
      </w:pPr>
      <w:r w:rsidRPr="001257FE">
        <w:rPr>
          <w:rFonts w:ascii="Arial" w:eastAsia="Calibri" w:hAnsi="Arial" w:cs="Arial"/>
          <w:noProof/>
          <w:sz w:val="20"/>
          <w:szCs w:val="20"/>
        </w:rPr>
        <w:t>Available:</w:t>
      </w:r>
      <w:r w:rsidR="00B655AD" w:rsidRPr="001257FE">
        <w:rPr>
          <w:rFonts w:ascii="Arial" w:eastAsia="Calibri" w:hAnsi="Arial" w:cs="Arial"/>
          <w:noProof/>
          <w:sz w:val="20"/>
          <w:szCs w:val="20"/>
        </w:rPr>
        <w:t>http://dx.doi.org/10.1016/j.ijgfs.2016.12.003</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 xml:space="preserve">Glover-Amengor M, Aryeetey R, Afari E, Nyarko A. Micronutrient composition and acceptability of Moringa oleifera leaf-fortified dishes by children in Ada-East district, Ghana. Food Sci Nutr. 2017;5(2):317–23. </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 xml:space="preserve">Oladeji OA, Taiwo KA, Gbadamosi SO, Oladeji BS, Ishola MM. Studies on Chemical Constituents and Nutrients Bioavailability in Moringa oleifera Leaf and Seed. J Sci Res Reports. 2017;14(1):1–12. </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 xml:space="preserve">Abdullah MMH, Gyles CL, Marinangeli CPF, Carlberg JG, Jones PJH. Dietary fibre intakes and reduction in functional constipation rates among Canadian adults: A cost-of-illness analysis. Food Nutr Res. 2015;59. </w:t>
      </w:r>
    </w:p>
    <w:p w:rsidR="00B655AD" w:rsidRPr="001257FE" w:rsidRDefault="00B655AD" w:rsidP="00B655AD">
      <w:pPr>
        <w:pStyle w:val="ListParagraph"/>
        <w:widowControl w:val="0"/>
        <w:numPr>
          <w:ilvl w:val="0"/>
          <w:numId w:val="4"/>
        </w:numPr>
        <w:autoSpaceDE w:val="0"/>
        <w:autoSpaceDN w:val="0"/>
        <w:adjustRightInd w:val="0"/>
        <w:spacing w:after="0" w:line="240" w:lineRule="auto"/>
        <w:ind w:left="540" w:hanging="540"/>
        <w:jc w:val="both"/>
        <w:rPr>
          <w:rFonts w:ascii="Arial" w:eastAsia="Calibri" w:hAnsi="Arial" w:cs="Arial"/>
          <w:noProof/>
          <w:sz w:val="20"/>
          <w:szCs w:val="20"/>
        </w:rPr>
      </w:pPr>
      <w:r w:rsidRPr="001257FE">
        <w:rPr>
          <w:rFonts w:ascii="Arial" w:eastAsia="Calibri" w:hAnsi="Arial" w:cs="Arial"/>
          <w:noProof/>
          <w:sz w:val="20"/>
          <w:szCs w:val="20"/>
        </w:rPr>
        <w:t xml:space="preserve">Goff HD, Repin N, Fabek H, El Khoury D, Gidley MJ. Dietary fibre for glycaemia control: Towards a mechanistic understanding. Bioact Carbohydrates Diet Fibre [Internet]. 2018;14:39–53. </w:t>
      </w:r>
    </w:p>
    <w:p w:rsidR="00B655AD" w:rsidRPr="001257FE" w:rsidRDefault="00B655AD" w:rsidP="00B655AD">
      <w:pPr>
        <w:pStyle w:val="ListParagraph"/>
        <w:widowControl w:val="0"/>
        <w:autoSpaceDE w:val="0"/>
        <w:autoSpaceDN w:val="0"/>
        <w:adjustRightInd w:val="0"/>
        <w:spacing w:after="0" w:line="240" w:lineRule="auto"/>
        <w:ind w:left="540"/>
        <w:jc w:val="both"/>
        <w:rPr>
          <w:rFonts w:ascii="Arial" w:eastAsia="Calibri" w:hAnsi="Arial" w:cs="Arial"/>
          <w:noProof/>
          <w:sz w:val="20"/>
          <w:szCs w:val="20"/>
        </w:rPr>
      </w:pPr>
      <w:r w:rsidRPr="001257FE">
        <w:rPr>
          <w:rFonts w:ascii="Arial" w:eastAsia="Calibri" w:hAnsi="Arial" w:cs="Arial"/>
          <w:noProof/>
          <w:sz w:val="20"/>
          <w:szCs w:val="20"/>
        </w:rPr>
        <w:t>Available:http://dx.doi.org/10.1016/j.bcdf.2017.07.005</w:t>
      </w:r>
    </w:p>
    <w:p w:rsidR="00A069DE" w:rsidRPr="001257FE" w:rsidRDefault="00B655AD" w:rsidP="00FF10F6">
      <w:pPr>
        <w:pStyle w:val="ListParagraph"/>
        <w:widowControl w:val="0"/>
        <w:numPr>
          <w:ilvl w:val="0"/>
          <w:numId w:val="4"/>
        </w:numPr>
        <w:autoSpaceDE w:val="0"/>
        <w:autoSpaceDN w:val="0"/>
        <w:adjustRightInd w:val="0"/>
        <w:spacing w:before="40" w:after="0" w:line="240" w:lineRule="auto"/>
        <w:ind w:left="547" w:hanging="540"/>
        <w:contextualSpacing w:val="0"/>
        <w:jc w:val="both"/>
        <w:rPr>
          <w:rFonts w:ascii="Arial" w:eastAsia="Calibri" w:hAnsi="Arial" w:cs="Arial"/>
          <w:noProof/>
          <w:sz w:val="20"/>
          <w:szCs w:val="20"/>
          <w:lang w:val="fr-FR"/>
        </w:rPr>
      </w:pPr>
      <w:r w:rsidRPr="001257FE">
        <w:rPr>
          <w:rFonts w:ascii="Arial" w:eastAsia="Calibri" w:hAnsi="Arial" w:cs="Arial"/>
          <w:noProof/>
          <w:sz w:val="20"/>
          <w:szCs w:val="20"/>
        </w:rPr>
        <w:t xml:space="preserve">Caicedo-Lopez L, Luzardo-Ocampo I, Cuellar-Nuñez ML, Campos-Vega R, Mendoza S, Loarca-Piña G. Effect of the in vitro gastrointestinal digestion on free-phenolic compounds and mono/oligosaccharides from Moringa oleifera leaves: Bioaccessibility, intestinal permeability and antioxidant capacity. </w:t>
      </w:r>
      <w:r w:rsidRPr="001257FE">
        <w:rPr>
          <w:rFonts w:ascii="Arial" w:eastAsia="Calibri" w:hAnsi="Arial" w:cs="Arial"/>
          <w:noProof/>
          <w:sz w:val="20"/>
          <w:szCs w:val="20"/>
          <w:lang w:val="fr-FR"/>
        </w:rPr>
        <w:t>Food Res Int</w:t>
      </w:r>
      <w:r w:rsidR="00A009BC" w:rsidRPr="001257FE">
        <w:rPr>
          <w:rFonts w:ascii="Arial" w:eastAsia="Calibri" w:hAnsi="Arial" w:cs="Arial"/>
          <w:noProof/>
          <w:sz w:val="20"/>
          <w:szCs w:val="20"/>
          <w:lang w:val="fr-FR"/>
        </w:rPr>
        <w:t>; 2018.</w:t>
      </w:r>
      <w:r w:rsidRPr="001257FE">
        <w:rPr>
          <w:rFonts w:ascii="Arial" w:eastAsia="Calibri" w:hAnsi="Arial" w:cs="Arial"/>
          <w:noProof/>
          <w:sz w:val="20"/>
          <w:szCs w:val="20"/>
          <w:lang w:val="fr-FR"/>
        </w:rPr>
        <w:t xml:space="preserve"> [Internet]. #pagerange#. </w:t>
      </w:r>
    </w:p>
    <w:p w:rsidR="00B655AD" w:rsidRPr="001257FE" w:rsidRDefault="00B655AD" w:rsidP="00FF10F6">
      <w:pPr>
        <w:pStyle w:val="ListParagraph"/>
        <w:widowControl w:val="0"/>
        <w:autoSpaceDE w:val="0"/>
        <w:autoSpaceDN w:val="0"/>
        <w:adjustRightInd w:val="0"/>
        <w:spacing w:before="40" w:after="0" w:line="240" w:lineRule="auto"/>
        <w:ind w:left="547"/>
        <w:contextualSpacing w:val="0"/>
        <w:jc w:val="both"/>
        <w:rPr>
          <w:rFonts w:ascii="Arial" w:eastAsia="Calibri" w:hAnsi="Arial" w:cs="Arial"/>
          <w:noProof/>
          <w:sz w:val="20"/>
          <w:szCs w:val="20"/>
          <w:lang w:val="fr-FR"/>
        </w:rPr>
      </w:pPr>
      <w:r w:rsidRPr="001257FE">
        <w:rPr>
          <w:rFonts w:ascii="Arial" w:eastAsia="Calibri" w:hAnsi="Arial" w:cs="Arial"/>
          <w:noProof/>
          <w:sz w:val="20"/>
          <w:szCs w:val="20"/>
          <w:lang w:val="fr-FR"/>
        </w:rPr>
        <w:t>Available</w:t>
      </w:r>
      <w:r w:rsidR="00A069DE" w:rsidRPr="001257FE">
        <w:rPr>
          <w:rFonts w:ascii="Arial" w:eastAsia="Calibri" w:hAnsi="Arial" w:cs="Arial"/>
          <w:noProof/>
          <w:sz w:val="20"/>
          <w:szCs w:val="20"/>
          <w:lang w:val="fr-FR"/>
        </w:rPr>
        <w:t>:</w:t>
      </w:r>
      <w:r w:rsidRPr="001257FE">
        <w:rPr>
          <w:rFonts w:ascii="Arial" w:eastAsia="Calibri" w:hAnsi="Arial" w:cs="Arial"/>
          <w:noProof/>
          <w:sz w:val="20"/>
          <w:szCs w:val="20"/>
          <w:lang w:val="fr-FR"/>
        </w:rPr>
        <w:t>https://doi.org/10.1016/j.foodres.2018.11.017</w:t>
      </w:r>
    </w:p>
    <w:p w:rsidR="00B655AD" w:rsidRPr="001257FE" w:rsidRDefault="00B655AD" w:rsidP="00FF10F6">
      <w:pPr>
        <w:pStyle w:val="ListParagraph"/>
        <w:widowControl w:val="0"/>
        <w:numPr>
          <w:ilvl w:val="0"/>
          <w:numId w:val="4"/>
        </w:numPr>
        <w:autoSpaceDE w:val="0"/>
        <w:autoSpaceDN w:val="0"/>
        <w:adjustRightInd w:val="0"/>
        <w:spacing w:before="40" w:after="0" w:line="240" w:lineRule="auto"/>
        <w:ind w:left="547" w:hanging="540"/>
        <w:contextualSpacing w:val="0"/>
        <w:jc w:val="both"/>
        <w:rPr>
          <w:rFonts w:ascii="Arial" w:eastAsia="Calibri" w:hAnsi="Arial" w:cs="Arial"/>
          <w:noProof/>
          <w:sz w:val="20"/>
          <w:szCs w:val="20"/>
          <w:lang w:val="fr-FR"/>
        </w:rPr>
      </w:pPr>
      <w:r w:rsidRPr="001257FE">
        <w:rPr>
          <w:rFonts w:ascii="Arial" w:eastAsia="Calibri" w:hAnsi="Arial" w:cs="Arial"/>
          <w:noProof/>
          <w:sz w:val="20"/>
          <w:szCs w:val="20"/>
          <w:lang w:val="fr-FR"/>
        </w:rPr>
        <w:t xml:space="preserve">Barchechath J. Étude du potentiel nutraceutique des fibres de canneberge et de bleuet. Université de LAVAL, </w:t>
      </w:r>
      <w:r w:rsidR="00A009BC" w:rsidRPr="001257FE">
        <w:rPr>
          <w:rFonts w:ascii="Arial" w:eastAsia="Calibri" w:hAnsi="Arial" w:cs="Arial"/>
          <w:noProof/>
          <w:sz w:val="20"/>
          <w:szCs w:val="20"/>
          <w:lang w:val="fr-FR"/>
        </w:rPr>
        <w:t>France.</w:t>
      </w:r>
      <w:r w:rsidRPr="001257FE">
        <w:rPr>
          <w:rFonts w:ascii="Arial" w:eastAsia="Calibri" w:hAnsi="Arial" w:cs="Arial"/>
          <w:noProof/>
          <w:sz w:val="20"/>
          <w:szCs w:val="20"/>
          <w:lang w:val="fr-FR"/>
        </w:rPr>
        <w:t xml:space="preserve"> 2014</w:t>
      </w:r>
      <w:r w:rsidR="00A009BC" w:rsidRPr="001257FE">
        <w:rPr>
          <w:rFonts w:ascii="Arial" w:eastAsia="Calibri" w:hAnsi="Arial" w:cs="Arial"/>
          <w:noProof/>
          <w:sz w:val="20"/>
          <w:szCs w:val="20"/>
          <w:lang w:val="fr-FR"/>
        </w:rPr>
        <w:t>;129</w:t>
      </w:r>
      <w:r w:rsidRPr="001257FE">
        <w:rPr>
          <w:rFonts w:ascii="Arial" w:eastAsia="Calibri" w:hAnsi="Arial" w:cs="Arial"/>
          <w:noProof/>
          <w:sz w:val="20"/>
          <w:szCs w:val="20"/>
          <w:lang w:val="fr-FR"/>
        </w:rPr>
        <w:t xml:space="preserve">. </w:t>
      </w:r>
    </w:p>
    <w:p w:rsidR="009D783C" w:rsidRPr="001257FE" w:rsidRDefault="00B655AD" w:rsidP="00FF10F6">
      <w:pPr>
        <w:pStyle w:val="ListParagraph"/>
        <w:widowControl w:val="0"/>
        <w:numPr>
          <w:ilvl w:val="0"/>
          <w:numId w:val="4"/>
        </w:numPr>
        <w:autoSpaceDE w:val="0"/>
        <w:autoSpaceDN w:val="0"/>
        <w:adjustRightInd w:val="0"/>
        <w:spacing w:before="40" w:after="0" w:line="240" w:lineRule="auto"/>
        <w:ind w:left="547" w:hanging="540"/>
        <w:contextualSpacing w:val="0"/>
        <w:jc w:val="both"/>
        <w:rPr>
          <w:rFonts w:ascii="Arial" w:eastAsia="Calibri" w:hAnsi="Arial" w:cs="Arial"/>
          <w:noProof/>
          <w:sz w:val="20"/>
          <w:szCs w:val="20"/>
        </w:rPr>
      </w:pPr>
      <w:r w:rsidRPr="001257FE">
        <w:rPr>
          <w:rFonts w:ascii="Arial" w:eastAsia="Calibri" w:hAnsi="Arial" w:cs="Arial"/>
          <w:noProof/>
          <w:sz w:val="20"/>
          <w:szCs w:val="20"/>
        </w:rPr>
        <w:t>Kumar KS, Ganesan K, Selvaraj K, Rao PVS. Studies on the functional properties of protein concentrate of Kappaphycus alvarezii ( Doty ) Doty – An edible seaweed. FOOD Chem [Internet].</w:t>
      </w:r>
      <w:r w:rsidR="009D783C" w:rsidRPr="001257FE">
        <w:rPr>
          <w:rFonts w:ascii="Arial" w:eastAsia="Calibri" w:hAnsi="Arial" w:cs="Arial"/>
          <w:noProof/>
          <w:sz w:val="20"/>
          <w:szCs w:val="20"/>
        </w:rPr>
        <w:t xml:space="preserve"> 2014;153:353–60. </w:t>
      </w:r>
    </w:p>
    <w:p w:rsidR="00B655AD" w:rsidRPr="001257FE" w:rsidRDefault="009D783C" w:rsidP="00FF10F6">
      <w:pPr>
        <w:pStyle w:val="ListParagraph"/>
        <w:widowControl w:val="0"/>
        <w:autoSpaceDE w:val="0"/>
        <w:autoSpaceDN w:val="0"/>
        <w:adjustRightInd w:val="0"/>
        <w:spacing w:before="40" w:after="0" w:line="240" w:lineRule="auto"/>
        <w:ind w:left="547"/>
        <w:contextualSpacing w:val="0"/>
        <w:jc w:val="both"/>
        <w:rPr>
          <w:rFonts w:ascii="Arial" w:eastAsia="Calibri" w:hAnsi="Arial" w:cs="Arial"/>
          <w:noProof/>
          <w:sz w:val="20"/>
          <w:szCs w:val="20"/>
        </w:rPr>
      </w:pPr>
      <w:r w:rsidRPr="001257FE">
        <w:rPr>
          <w:rFonts w:ascii="Arial" w:eastAsia="Calibri" w:hAnsi="Arial" w:cs="Arial"/>
          <w:noProof/>
          <w:sz w:val="20"/>
          <w:szCs w:val="20"/>
        </w:rPr>
        <w:t>Available:</w:t>
      </w:r>
      <w:r w:rsidR="00B655AD" w:rsidRPr="001257FE">
        <w:rPr>
          <w:rFonts w:ascii="Arial" w:eastAsia="Calibri" w:hAnsi="Arial" w:cs="Arial"/>
          <w:noProof/>
          <w:sz w:val="20"/>
          <w:szCs w:val="20"/>
        </w:rPr>
        <w:t>http://dx.doi.org/10.1016/j.foodchem.2013.12.058</w:t>
      </w:r>
    </w:p>
    <w:p w:rsidR="008A2212" w:rsidRPr="001257FE" w:rsidRDefault="009E053D" w:rsidP="00B655AD">
      <w:pPr>
        <w:pStyle w:val="ReferHead"/>
        <w:spacing w:after="0"/>
        <w:rPr>
          <w:rFonts w:ascii="Arial" w:hAnsi="Arial" w:cs="Arial"/>
          <w:b w:val="0"/>
          <w:caps w:val="0"/>
          <w:sz w:val="20"/>
        </w:rPr>
        <w:sectPr w:rsidR="008A2212" w:rsidRPr="001257FE" w:rsidSect="00001924">
          <w:type w:val="continuous"/>
          <w:pgSz w:w="11909" w:h="16834" w:code="9"/>
          <w:pgMar w:top="1440" w:right="1440" w:bottom="1440" w:left="1440" w:header="720" w:footer="864" w:gutter="0"/>
          <w:pgNumType w:start="69"/>
          <w:cols w:num="2" w:space="288"/>
          <w:titlePg/>
          <w:docGrid w:linePitch="360"/>
        </w:sectPr>
      </w:pPr>
      <w:r w:rsidRPr="001257FE">
        <w:rPr>
          <w:rFonts w:ascii="Arial" w:eastAsia="Calibri" w:hAnsi="Arial" w:cs="Arial"/>
          <w:sz w:val="20"/>
        </w:rPr>
        <w:fldChar w:fldCharType="end"/>
      </w:r>
    </w:p>
    <w:p w:rsidR="00BD060A" w:rsidRPr="001257FE" w:rsidRDefault="00BD060A" w:rsidP="00C92864">
      <w:pPr>
        <w:pStyle w:val="ReferHead"/>
        <w:spacing w:after="0"/>
        <w:rPr>
          <w:rFonts w:ascii="Arial" w:hAnsi="Arial" w:cs="Arial"/>
          <w:i/>
          <w:sz w:val="16"/>
        </w:rPr>
      </w:pPr>
    </w:p>
    <w:p w:rsidR="00FF10F6" w:rsidRPr="00FF10F6" w:rsidRDefault="00FF10F6" w:rsidP="00380ACB">
      <w:pPr>
        <w:pBdr>
          <w:top w:val="single" w:sz="4" w:space="1" w:color="auto"/>
        </w:pBdr>
        <w:spacing w:after="0" w:line="240" w:lineRule="auto"/>
        <w:jc w:val="both"/>
        <w:rPr>
          <w:rFonts w:ascii="Arial" w:hAnsi="Arial" w:cs="Arial"/>
          <w:sz w:val="20"/>
        </w:rPr>
      </w:pPr>
    </w:p>
    <w:sectPr w:rsidR="00FF10F6" w:rsidRPr="00FF10F6" w:rsidSect="00962251">
      <w:type w:val="continuous"/>
      <w:pgSz w:w="11909" w:h="16834" w:code="9"/>
      <w:pgMar w:top="1440" w:right="1440" w:bottom="1440" w:left="1440" w:header="720" w:footer="1152"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IR KASIMU" w:date="2025-02-11T11:13:00Z" w:initials="SK">
    <w:p w:rsidR="007A0315" w:rsidRDefault="007A0315">
      <w:pPr>
        <w:pStyle w:val="CommentText"/>
      </w:pPr>
      <w:r>
        <w:rPr>
          <w:rStyle w:val="CommentReference"/>
        </w:rPr>
        <w:annotationRef/>
      </w:r>
      <w:r>
        <w:t>extract</w:t>
      </w:r>
    </w:p>
  </w:comment>
  <w:comment w:id="1" w:author="SIR KASIMU" w:date="2025-02-11T10:29:00Z" w:initials="SK">
    <w:p w:rsidR="00582E80" w:rsidRDefault="00582E80">
      <w:pPr>
        <w:pStyle w:val="CommentText"/>
      </w:pPr>
      <w:r>
        <w:rPr>
          <w:rStyle w:val="CommentReference"/>
        </w:rPr>
        <w:annotationRef/>
      </w:r>
      <w:r>
        <w:t>particles</w:t>
      </w:r>
    </w:p>
  </w:comment>
  <w:comment w:id="2" w:author="SIR KASIMU" w:date="2025-02-11T10:29:00Z" w:initials="SK">
    <w:p w:rsidR="00582E80" w:rsidRDefault="00582E80">
      <w:pPr>
        <w:pStyle w:val="CommentText"/>
      </w:pPr>
      <w:r>
        <w:rPr>
          <w:rStyle w:val="CommentReference"/>
        </w:rPr>
        <w:annotationRef/>
      </w:r>
      <w:r>
        <w:t>sizes</w:t>
      </w:r>
    </w:p>
  </w:comment>
  <w:comment w:id="3" w:author="SIR KASIMU" w:date="2025-02-11T10:31:00Z" w:initials="SK">
    <w:p w:rsidR="00582E80" w:rsidRDefault="00582E80">
      <w:pPr>
        <w:pStyle w:val="CommentText"/>
      </w:pPr>
      <w:r>
        <w:rPr>
          <w:rStyle w:val="CommentReference"/>
        </w:rPr>
        <w:annotationRef/>
      </w:r>
      <w:r>
        <w:t>particles</w:t>
      </w:r>
    </w:p>
  </w:comment>
  <w:comment w:id="4" w:author="SIR KASIMU" w:date="2025-02-11T10:31:00Z" w:initials="SK">
    <w:p w:rsidR="00582E80" w:rsidRDefault="00582E80">
      <w:pPr>
        <w:pStyle w:val="CommentText"/>
      </w:pPr>
      <w:r>
        <w:rPr>
          <w:rStyle w:val="CommentReference"/>
        </w:rPr>
        <w:annotationRef/>
      </w:r>
      <w:r>
        <w:t>sizes</w:t>
      </w:r>
    </w:p>
  </w:comment>
  <w:comment w:id="5" w:author="SIR KASIMU" w:date="2025-02-11T10:33:00Z" w:initials="SK">
    <w:p w:rsidR="00582E80" w:rsidRDefault="00582E80">
      <w:pPr>
        <w:pStyle w:val="CommentText"/>
      </w:pPr>
      <w:r>
        <w:rPr>
          <w:rStyle w:val="CommentReference"/>
        </w:rPr>
        <w:annotationRef/>
      </w:r>
      <w:r>
        <w:t>italiize</w:t>
      </w:r>
    </w:p>
  </w:comment>
  <w:comment w:id="6" w:author="SIR KASIMU" w:date="2025-02-11T10:36:00Z" w:initials="SK">
    <w:p w:rsidR="00582E80" w:rsidRDefault="00582E80">
      <w:pPr>
        <w:pStyle w:val="CommentText"/>
      </w:pPr>
      <w:r>
        <w:rPr>
          <w:rStyle w:val="CommentReference"/>
        </w:rPr>
        <w:annotationRef/>
      </w:r>
      <w:r>
        <w:t>italize</w:t>
      </w:r>
    </w:p>
  </w:comment>
  <w:comment w:id="7" w:author="SIR KASIMU" w:date="2025-02-11T10:46:00Z" w:initials="SK">
    <w:p w:rsidR="0094536A" w:rsidRDefault="0094536A">
      <w:pPr>
        <w:pStyle w:val="CommentText"/>
      </w:pPr>
      <w:r>
        <w:rPr>
          <w:rStyle w:val="CommentReference"/>
        </w:rPr>
        <w:annotationRef/>
      </w:r>
      <w:r>
        <w:t>particles</w:t>
      </w:r>
    </w:p>
  </w:comment>
  <w:comment w:id="8" w:author="SIR KASIMU" w:date="2025-02-11T10:46:00Z" w:initials="SK">
    <w:p w:rsidR="0094536A" w:rsidRDefault="0094536A">
      <w:pPr>
        <w:pStyle w:val="CommentText"/>
      </w:pPr>
      <w:r>
        <w:rPr>
          <w:rStyle w:val="CommentReference"/>
        </w:rPr>
        <w:annotationRef/>
      </w:r>
      <w:r>
        <w:t>sizes</w:t>
      </w:r>
    </w:p>
  </w:comment>
  <w:comment w:id="9" w:author="SIR KASIMU" w:date="2025-02-11T10:47:00Z" w:initials="SK">
    <w:p w:rsidR="0094536A" w:rsidRDefault="0094536A">
      <w:pPr>
        <w:pStyle w:val="CommentText"/>
      </w:pPr>
      <w:r>
        <w:rPr>
          <w:rStyle w:val="CommentReference"/>
        </w:rPr>
        <w:annotationRef/>
      </w:r>
      <w:r>
        <w:t>distribution</w:t>
      </w:r>
    </w:p>
  </w:comment>
  <w:comment w:id="10" w:author="SIR KASIMU" w:date="2025-02-11T10:51:00Z" w:initials="SK">
    <w:p w:rsidR="00713C46" w:rsidRDefault="00713C46">
      <w:pPr>
        <w:pStyle w:val="CommentText"/>
      </w:pPr>
      <w:r>
        <w:rPr>
          <w:rStyle w:val="CommentReference"/>
        </w:rPr>
        <w:annotationRef/>
      </w:r>
      <w:r>
        <w:t>italize</w:t>
      </w:r>
    </w:p>
  </w:comment>
  <w:comment w:id="11" w:author="SIR KASIMU" w:date="2025-02-11T10:52:00Z" w:initials="SK">
    <w:p w:rsidR="00713C46" w:rsidRDefault="00713C46">
      <w:pPr>
        <w:pStyle w:val="CommentText"/>
      </w:pPr>
      <w:r>
        <w:rPr>
          <w:rStyle w:val="CommentReference"/>
        </w:rPr>
        <w:annotationRef/>
      </w:r>
      <w:r>
        <w:t>italize</w:t>
      </w:r>
    </w:p>
  </w:comment>
  <w:comment w:id="12" w:author="SIR KASIMU" w:date="2025-02-11T10:54:00Z" w:initials="SK">
    <w:p w:rsidR="00713C46" w:rsidRDefault="00713C46">
      <w:pPr>
        <w:pStyle w:val="CommentText"/>
      </w:pPr>
      <w:r>
        <w:rPr>
          <w:rStyle w:val="CommentReference"/>
        </w:rPr>
        <w:annotationRef/>
      </w:r>
      <w:r>
        <w:t>italize</w:t>
      </w:r>
    </w:p>
  </w:comment>
  <w:comment w:id="13" w:author="SIR KASIMU" w:date="2025-02-11T10:54:00Z" w:initials="SK">
    <w:p w:rsidR="00713C46" w:rsidRDefault="00713C46">
      <w:pPr>
        <w:pStyle w:val="CommentText"/>
      </w:pPr>
      <w:r>
        <w:rPr>
          <w:rStyle w:val="CommentReference"/>
        </w:rPr>
        <w:annotationRef/>
      </w:r>
      <w:r>
        <w:t>italize</w:t>
      </w:r>
    </w:p>
  </w:comment>
  <w:comment w:id="14" w:author="SIR KASIMU" w:date="2025-02-11T10:56:00Z" w:initials="SK">
    <w:p w:rsidR="00713C46" w:rsidRDefault="00713C46">
      <w:pPr>
        <w:pStyle w:val="CommentText"/>
      </w:pPr>
      <w:r>
        <w:rPr>
          <w:rStyle w:val="CommentReference"/>
        </w:rPr>
        <w:annotationRef/>
      </w:r>
      <w:r>
        <w:t>italize</w:t>
      </w:r>
    </w:p>
  </w:comment>
  <w:comment w:id="15" w:author="SIR KASIMU" w:date="2025-02-11T10:57:00Z" w:initials="SK">
    <w:p w:rsidR="00713C46" w:rsidRDefault="00713C46">
      <w:pPr>
        <w:pStyle w:val="CommentText"/>
      </w:pPr>
      <w:r>
        <w:rPr>
          <w:rStyle w:val="CommentReference"/>
        </w:rPr>
        <w:annotationRef/>
      </w:r>
      <w:r>
        <w:t>sizes</w:t>
      </w:r>
    </w:p>
  </w:comment>
  <w:comment w:id="16" w:author="SIR KASIMU" w:date="2025-02-11T10:56:00Z" w:initials="SK">
    <w:p w:rsidR="00713C46" w:rsidRDefault="00713C46">
      <w:pPr>
        <w:pStyle w:val="CommentText"/>
      </w:pPr>
      <w:r>
        <w:rPr>
          <w:rStyle w:val="CommentReference"/>
        </w:rPr>
        <w:annotationRef/>
      </w:r>
      <w:r>
        <w:t>italize</w:t>
      </w:r>
    </w:p>
  </w:comment>
  <w:comment w:id="17" w:author="SIR KASIMU" w:date="2025-02-11T10:59:00Z" w:initials="SK">
    <w:p w:rsidR="00A0714A" w:rsidRDefault="00A0714A">
      <w:pPr>
        <w:pStyle w:val="CommentText"/>
      </w:pPr>
      <w:r>
        <w:rPr>
          <w:rStyle w:val="CommentReference"/>
        </w:rPr>
        <w:annotationRef/>
      </w:r>
      <w:r>
        <w:t xml:space="preserve">particles </w:t>
      </w:r>
    </w:p>
  </w:comment>
  <w:comment w:id="18" w:author="SIR KASIMU" w:date="2025-02-11T11:00:00Z" w:initials="SK">
    <w:p w:rsidR="00A0714A" w:rsidRDefault="00A0714A">
      <w:pPr>
        <w:pStyle w:val="CommentText"/>
      </w:pPr>
      <w:r>
        <w:rPr>
          <w:rStyle w:val="CommentReference"/>
        </w:rPr>
        <w:annotationRef/>
      </w:r>
      <w:r>
        <w:t>sizes</w:t>
      </w:r>
    </w:p>
  </w:comment>
  <w:comment w:id="19" w:author="SIR KASIMU" w:date="2025-02-11T11:00:00Z" w:initials="SK">
    <w:p w:rsidR="00A0714A" w:rsidRDefault="00A0714A">
      <w:pPr>
        <w:pStyle w:val="CommentText"/>
      </w:pPr>
      <w:r>
        <w:rPr>
          <w:rStyle w:val="CommentReference"/>
        </w:rPr>
        <w:annotationRef/>
      </w:r>
      <w:r>
        <w:t>particles</w:t>
      </w:r>
    </w:p>
  </w:comment>
  <w:comment w:id="20" w:author="SIR KASIMU" w:date="2025-02-11T11:00:00Z" w:initials="SK">
    <w:p w:rsidR="00A0714A" w:rsidRDefault="00A0714A">
      <w:pPr>
        <w:pStyle w:val="CommentText"/>
      </w:pPr>
      <w:r>
        <w:rPr>
          <w:rStyle w:val="CommentReference"/>
        </w:rPr>
        <w:annotationRef/>
      </w:r>
      <w:r>
        <w:t>sizes</w:t>
      </w:r>
    </w:p>
  </w:comment>
  <w:comment w:id="21" w:author="SIR KASIMU" w:date="2025-02-11T11:01:00Z" w:initials="SK">
    <w:p w:rsidR="00A0714A" w:rsidRDefault="00A0714A">
      <w:pPr>
        <w:pStyle w:val="CommentText"/>
      </w:pPr>
      <w:r>
        <w:rPr>
          <w:rStyle w:val="CommentReference"/>
        </w:rPr>
        <w:annotationRef/>
      </w:r>
      <w:r>
        <w:t>italize</w:t>
      </w:r>
    </w:p>
  </w:comment>
  <w:comment w:id="22" w:author="SIR KASIMU" w:date="2025-02-11T11:01:00Z" w:initials="SK">
    <w:p w:rsidR="00A0714A" w:rsidRDefault="00A0714A">
      <w:pPr>
        <w:pStyle w:val="CommentText"/>
      </w:pPr>
      <w:r>
        <w:rPr>
          <w:rStyle w:val="CommentReference"/>
        </w:rPr>
        <w:annotationRef/>
      </w:r>
      <w:r>
        <w:t>italize</w:t>
      </w:r>
    </w:p>
  </w:comment>
  <w:comment w:id="23" w:author="SIR KASIMU" w:date="2025-02-11T11:02:00Z" w:initials="SK">
    <w:p w:rsidR="00A0714A" w:rsidRDefault="00A0714A">
      <w:pPr>
        <w:pStyle w:val="CommentText"/>
      </w:pPr>
      <w:r>
        <w:rPr>
          <w:rStyle w:val="CommentReference"/>
        </w:rPr>
        <w:annotationRef/>
      </w:r>
      <w:r>
        <w:t>ITALIZE</w:t>
      </w:r>
    </w:p>
  </w:comment>
  <w:comment w:id="24" w:author="SIR KASIMU" w:date="2025-02-11T11:03:00Z" w:initials="SK">
    <w:p w:rsidR="00A0714A" w:rsidRDefault="00A0714A">
      <w:pPr>
        <w:pStyle w:val="CommentText"/>
      </w:pPr>
      <w:r>
        <w:rPr>
          <w:rStyle w:val="CommentReference"/>
        </w:rPr>
        <w:annotationRef/>
      </w:r>
      <w:r>
        <w:t>Itaize</w:t>
      </w:r>
    </w:p>
  </w:comment>
  <w:comment w:id="25" w:author="SIR KASIMU" w:date="2025-02-11T11:04:00Z" w:initials="SK">
    <w:p w:rsidR="00A0714A" w:rsidRDefault="00A0714A">
      <w:pPr>
        <w:pStyle w:val="CommentText"/>
      </w:pPr>
      <w:r>
        <w:rPr>
          <w:rStyle w:val="CommentReference"/>
        </w:rPr>
        <w:annotationRef/>
      </w:r>
      <w:r>
        <w:t>italize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C23" w:rsidRDefault="00356C23" w:rsidP="00CD3A89">
      <w:pPr>
        <w:spacing w:after="0" w:line="240" w:lineRule="auto"/>
      </w:pPr>
      <w:r>
        <w:separator/>
      </w:r>
    </w:p>
  </w:endnote>
  <w:endnote w:type="continuationSeparator" w:id="1">
    <w:p w:rsidR="00356C23" w:rsidRDefault="00356C23" w:rsidP="00CD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DD" w:rsidRDefault="00104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3113"/>
      <w:docPartObj>
        <w:docPartGallery w:val="Page Numbers (Bottom of Page)"/>
        <w:docPartUnique/>
      </w:docPartObj>
    </w:sdtPr>
    <w:sdtContent>
      <w:p w:rsidR="001E6BBB" w:rsidRPr="00263AE4" w:rsidRDefault="001E6BBB">
        <w:pPr>
          <w:pStyle w:val="Footer"/>
          <w:jc w:val="center"/>
          <w:rPr>
            <w:rFonts w:ascii="Arial" w:hAnsi="Arial" w:cs="Arial"/>
            <w:sz w:val="28"/>
          </w:rPr>
        </w:pPr>
      </w:p>
      <w:p w:rsidR="001E6BBB" w:rsidRDefault="009E053D">
        <w:pPr>
          <w:pStyle w:val="Footer"/>
          <w:jc w:val="center"/>
          <w:rPr>
            <w:rFonts w:ascii="Arial" w:hAnsi="Arial" w:cs="Arial"/>
            <w:sz w:val="20"/>
          </w:rPr>
        </w:pPr>
        <w:r w:rsidRPr="00945900">
          <w:rPr>
            <w:rFonts w:ascii="Arial" w:hAnsi="Arial" w:cs="Arial"/>
            <w:sz w:val="20"/>
          </w:rPr>
          <w:fldChar w:fldCharType="begin"/>
        </w:r>
        <w:r w:rsidR="001E6BBB" w:rsidRPr="00945900">
          <w:rPr>
            <w:rFonts w:ascii="Arial" w:hAnsi="Arial" w:cs="Arial"/>
            <w:sz w:val="20"/>
          </w:rPr>
          <w:instrText xml:space="preserve"> PAGE   \* MERGEFORMAT </w:instrText>
        </w:r>
        <w:r w:rsidRPr="00945900">
          <w:rPr>
            <w:rFonts w:ascii="Arial" w:hAnsi="Arial" w:cs="Arial"/>
            <w:sz w:val="20"/>
          </w:rPr>
          <w:fldChar w:fldCharType="separate"/>
        </w:r>
        <w:r w:rsidR="007A0315">
          <w:rPr>
            <w:rFonts w:ascii="Arial" w:hAnsi="Arial" w:cs="Arial"/>
            <w:noProof/>
            <w:sz w:val="20"/>
          </w:rPr>
          <w:t>64</w:t>
        </w:r>
        <w:r w:rsidRPr="00945900">
          <w:rPr>
            <w:rFonts w:ascii="Arial" w:hAnsi="Arial" w:cs="Arial"/>
            <w:sz w:val="20"/>
          </w:rPr>
          <w:fldChar w:fldCharType="end"/>
        </w:r>
      </w:p>
      <w:p w:rsidR="001E6BBB" w:rsidRPr="00263AE4" w:rsidRDefault="009E053D">
        <w:pPr>
          <w:pStyle w:val="Footer"/>
          <w:jc w:val="center"/>
          <w:rPr>
            <w:rFonts w:ascii="Arial" w:hAnsi="Arial" w:cs="Arial"/>
            <w:sz w:val="18"/>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DD" w:rsidRDefault="00104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C23" w:rsidRDefault="00356C23" w:rsidP="00CD3A89">
      <w:pPr>
        <w:spacing w:after="0" w:line="240" w:lineRule="auto"/>
      </w:pPr>
      <w:r>
        <w:separator/>
      </w:r>
    </w:p>
  </w:footnote>
  <w:footnote w:type="continuationSeparator" w:id="1">
    <w:p w:rsidR="00356C23" w:rsidRDefault="00356C23" w:rsidP="00CD3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DD" w:rsidRDefault="009E0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844047"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DD" w:rsidRDefault="009E0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844048"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DD" w:rsidRDefault="009E0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844046"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90578"/>
    <w:multiLevelType w:val="hybridMultilevel"/>
    <w:tmpl w:val="EA0E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50785"/>
    <w:multiLevelType w:val="multilevel"/>
    <w:tmpl w:val="2E7A62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15013"/>
    <w:multiLevelType w:val="hybridMultilevel"/>
    <w:tmpl w:val="746A8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C13266"/>
    <w:rsid w:val="00001924"/>
    <w:rsid w:val="00003675"/>
    <w:rsid w:val="000140EA"/>
    <w:rsid w:val="000217CF"/>
    <w:rsid w:val="00032BDA"/>
    <w:rsid w:val="000372DB"/>
    <w:rsid w:val="00041716"/>
    <w:rsid w:val="00043300"/>
    <w:rsid w:val="00064CAA"/>
    <w:rsid w:val="000A1050"/>
    <w:rsid w:val="000A2031"/>
    <w:rsid w:val="000C2408"/>
    <w:rsid w:val="000C32DE"/>
    <w:rsid w:val="000C5396"/>
    <w:rsid w:val="000D13F4"/>
    <w:rsid w:val="000E4A20"/>
    <w:rsid w:val="000F6220"/>
    <w:rsid w:val="001004BF"/>
    <w:rsid w:val="00100B40"/>
    <w:rsid w:val="00104CDD"/>
    <w:rsid w:val="0010611F"/>
    <w:rsid w:val="001062F3"/>
    <w:rsid w:val="0011125A"/>
    <w:rsid w:val="00117484"/>
    <w:rsid w:val="00124A37"/>
    <w:rsid w:val="001257FE"/>
    <w:rsid w:val="0013012E"/>
    <w:rsid w:val="00135831"/>
    <w:rsid w:val="001458EB"/>
    <w:rsid w:val="00146BE5"/>
    <w:rsid w:val="00147830"/>
    <w:rsid w:val="00150CE4"/>
    <w:rsid w:val="00171FBC"/>
    <w:rsid w:val="00190C2D"/>
    <w:rsid w:val="001964D7"/>
    <w:rsid w:val="001A4A55"/>
    <w:rsid w:val="001A69A3"/>
    <w:rsid w:val="001B111C"/>
    <w:rsid w:val="001C60E6"/>
    <w:rsid w:val="001D00F5"/>
    <w:rsid w:val="001E6BBB"/>
    <w:rsid w:val="00205B59"/>
    <w:rsid w:val="00214143"/>
    <w:rsid w:val="0022000C"/>
    <w:rsid w:val="00220A21"/>
    <w:rsid w:val="00225471"/>
    <w:rsid w:val="00237A11"/>
    <w:rsid w:val="00240696"/>
    <w:rsid w:val="00250135"/>
    <w:rsid w:val="002524F4"/>
    <w:rsid w:val="002573C9"/>
    <w:rsid w:val="00263AE4"/>
    <w:rsid w:val="0028695F"/>
    <w:rsid w:val="00294957"/>
    <w:rsid w:val="00297CC0"/>
    <w:rsid w:val="002A041A"/>
    <w:rsid w:val="002A078A"/>
    <w:rsid w:val="002A635B"/>
    <w:rsid w:val="002B02E7"/>
    <w:rsid w:val="002B46D2"/>
    <w:rsid w:val="002C7DF4"/>
    <w:rsid w:val="002D6E70"/>
    <w:rsid w:val="003139C6"/>
    <w:rsid w:val="0031517D"/>
    <w:rsid w:val="00316FA3"/>
    <w:rsid w:val="00320B14"/>
    <w:rsid w:val="00335947"/>
    <w:rsid w:val="00356C23"/>
    <w:rsid w:val="00357D2D"/>
    <w:rsid w:val="00370C0D"/>
    <w:rsid w:val="00376494"/>
    <w:rsid w:val="00380ACB"/>
    <w:rsid w:val="00391142"/>
    <w:rsid w:val="003B2B85"/>
    <w:rsid w:val="003B4704"/>
    <w:rsid w:val="003B72CA"/>
    <w:rsid w:val="003D0DD7"/>
    <w:rsid w:val="003F47A0"/>
    <w:rsid w:val="00400222"/>
    <w:rsid w:val="00407DAB"/>
    <w:rsid w:val="00424421"/>
    <w:rsid w:val="0043035E"/>
    <w:rsid w:val="00441E47"/>
    <w:rsid w:val="00454377"/>
    <w:rsid w:val="00455B14"/>
    <w:rsid w:val="004573F9"/>
    <w:rsid w:val="004743E7"/>
    <w:rsid w:val="00485F13"/>
    <w:rsid w:val="0048681C"/>
    <w:rsid w:val="00490A64"/>
    <w:rsid w:val="004A3DC6"/>
    <w:rsid w:val="004B01ED"/>
    <w:rsid w:val="004B60EC"/>
    <w:rsid w:val="004C5D40"/>
    <w:rsid w:val="004E094F"/>
    <w:rsid w:val="004E27C9"/>
    <w:rsid w:val="004F2085"/>
    <w:rsid w:val="004F2706"/>
    <w:rsid w:val="00512B30"/>
    <w:rsid w:val="0051528E"/>
    <w:rsid w:val="00536BCB"/>
    <w:rsid w:val="0054300F"/>
    <w:rsid w:val="00550A57"/>
    <w:rsid w:val="00554532"/>
    <w:rsid w:val="00562C90"/>
    <w:rsid w:val="005722FD"/>
    <w:rsid w:val="005734C1"/>
    <w:rsid w:val="0058198B"/>
    <w:rsid w:val="00582E80"/>
    <w:rsid w:val="005855D2"/>
    <w:rsid w:val="005A048B"/>
    <w:rsid w:val="005A12D6"/>
    <w:rsid w:val="005A1751"/>
    <w:rsid w:val="005A62EF"/>
    <w:rsid w:val="005C26C6"/>
    <w:rsid w:val="005C63EE"/>
    <w:rsid w:val="005E1575"/>
    <w:rsid w:val="005E5416"/>
    <w:rsid w:val="005F2CF5"/>
    <w:rsid w:val="00604FB0"/>
    <w:rsid w:val="0061639D"/>
    <w:rsid w:val="006405D5"/>
    <w:rsid w:val="00647361"/>
    <w:rsid w:val="006642C2"/>
    <w:rsid w:val="00666DD5"/>
    <w:rsid w:val="006822AA"/>
    <w:rsid w:val="00682F1A"/>
    <w:rsid w:val="006853A4"/>
    <w:rsid w:val="0068639E"/>
    <w:rsid w:val="00686B56"/>
    <w:rsid w:val="0068719D"/>
    <w:rsid w:val="006A06FD"/>
    <w:rsid w:val="006A2F45"/>
    <w:rsid w:val="006A3FCB"/>
    <w:rsid w:val="006B078C"/>
    <w:rsid w:val="006B54FB"/>
    <w:rsid w:val="006C667C"/>
    <w:rsid w:val="006C7C39"/>
    <w:rsid w:val="006D658B"/>
    <w:rsid w:val="00703125"/>
    <w:rsid w:val="00706551"/>
    <w:rsid w:val="00710BD3"/>
    <w:rsid w:val="00713C46"/>
    <w:rsid w:val="00721737"/>
    <w:rsid w:val="007240A8"/>
    <w:rsid w:val="007323FC"/>
    <w:rsid w:val="007462FD"/>
    <w:rsid w:val="00747D62"/>
    <w:rsid w:val="007622EE"/>
    <w:rsid w:val="00785993"/>
    <w:rsid w:val="007A0315"/>
    <w:rsid w:val="007A6559"/>
    <w:rsid w:val="007B380F"/>
    <w:rsid w:val="007B63EC"/>
    <w:rsid w:val="007C49C7"/>
    <w:rsid w:val="007D35E8"/>
    <w:rsid w:val="007E02F8"/>
    <w:rsid w:val="007E42BB"/>
    <w:rsid w:val="007E4345"/>
    <w:rsid w:val="007F504C"/>
    <w:rsid w:val="007F73A3"/>
    <w:rsid w:val="00805909"/>
    <w:rsid w:val="00807ED0"/>
    <w:rsid w:val="00812548"/>
    <w:rsid w:val="00813713"/>
    <w:rsid w:val="0083347D"/>
    <w:rsid w:val="00835828"/>
    <w:rsid w:val="00843678"/>
    <w:rsid w:val="00853DC1"/>
    <w:rsid w:val="008544EC"/>
    <w:rsid w:val="00873867"/>
    <w:rsid w:val="00873A5C"/>
    <w:rsid w:val="008776D1"/>
    <w:rsid w:val="008A2212"/>
    <w:rsid w:val="008B2643"/>
    <w:rsid w:val="008B6089"/>
    <w:rsid w:val="008C1DAF"/>
    <w:rsid w:val="008C3188"/>
    <w:rsid w:val="008C3497"/>
    <w:rsid w:val="008C5A9B"/>
    <w:rsid w:val="008C7A82"/>
    <w:rsid w:val="008E501C"/>
    <w:rsid w:val="008F0448"/>
    <w:rsid w:val="008F3AD1"/>
    <w:rsid w:val="008F67E8"/>
    <w:rsid w:val="00903441"/>
    <w:rsid w:val="00906016"/>
    <w:rsid w:val="009108DB"/>
    <w:rsid w:val="00922BB4"/>
    <w:rsid w:val="009315C3"/>
    <w:rsid w:val="009431AE"/>
    <w:rsid w:val="00945230"/>
    <w:rsid w:val="0094536A"/>
    <w:rsid w:val="00945900"/>
    <w:rsid w:val="00951D84"/>
    <w:rsid w:val="00953210"/>
    <w:rsid w:val="009562E1"/>
    <w:rsid w:val="00962251"/>
    <w:rsid w:val="009673FC"/>
    <w:rsid w:val="00974577"/>
    <w:rsid w:val="0098174A"/>
    <w:rsid w:val="00982102"/>
    <w:rsid w:val="00982184"/>
    <w:rsid w:val="00984737"/>
    <w:rsid w:val="009A6AF9"/>
    <w:rsid w:val="009B0B88"/>
    <w:rsid w:val="009B1862"/>
    <w:rsid w:val="009B782C"/>
    <w:rsid w:val="009D5065"/>
    <w:rsid w:val="009D783C"/>
    <w:rsid w:val="009E053D"/>
    <w:rsid w:val="009E1EFB"/>
    <w:rsid w:val="009F08E3"/>
    <w:rsid w:val="00A009BC"/>
    <w:rsid w:val="00A0172A"/>
    <w:rsid w:val="00A0275B"/>
    <w:rsid w:val="00A069DE"/>
    <w:rsid w:val="00A0714A"/>
    <w:rsid w:val="00A22248"/>
    <w:rsid w:val="00A30A6F"/>
    <w:rsid w:val="00A324F0"/>
    <w:rsid w:val="00A32A3A"/>
    <w:rsid w:val="00A43B77"/>
    <w:rsid w:val="00A517B0"/>
    <w:rsid w:val="00A5393A"/>
    <w:rsid w:val="00A5640A"/>
    <w:rsid w:val="00A61B2E"/>
    <w:rsid w:val="00A6662D"/>
    <w:rsid w:val="00A706F7"/>
    <w:rsid w:val="00A71F45"/>
    <w:rsid w:val="00A90597"/>
    <w:rsid w:val="00A90DA5"/>
    <w:rsid w:val="00A9457F"/>
    <w:rsid w:val="00AA0D41"/>
    <w:rsid w:val="00AA7CFE"/>
    <w:rsid w:val="00AB7D38"/>
    <w:rsid w:val="00AC24C0"/>
    <w:rsid w:val="00AC335C"/>
    <w:rsid w:val="00AC3409"/>
    <w:rsid w:val="00AC70D2"/>
    <w:rsid w:val="00AC71A9"/>
    <w:rsid w:val="00AE2733"/>
    <w:rsid w:val="00AF2923"/>
    <w:rsid w:val="00AF4318"/>
    <w:rsid w:val="00AF47AA"/>
    <w:rsid w:val="00B007F5"/>
    <w:rsid w:val="00B15404"/>
    <w:rsid w:val="00B414F6"/>
    <w:rsid w:val="00B635EC"/>
    <w:rsid w:val="00B655AD"/>
    <w:rsid w:val="00B7605E"/>
    <w:rsid w:val="00B80392"/>
    <w:rsid w:val="00B8786D"/>
    <w:rsid w:val="00B87F18"/>
    <w:rsid w:val="00B926FB"/>
    <w:rsid w:val="00B950C8"/>
    <w:rsid w:val="00B976CC"/>
    <w:rsid w:val="00BA1088"/>
    <w:rsid w:val="00BB5B87"/>
    <w:rsid w:val="00BD060A"/>
    <w:rsid w:val="00BD0CA7"/>
    <w:rsid w:val="00BD481C"/>
    <w:rsid w:val="00BE3742"/>
    <w:rsid w:val="00BE79DC"/>
    <w:rsid w:val="00BF3AB2"/>
    <w:rsid w:val="00C11417"/>
    <w:rsid w:val="00C128F5"/>
    <w:rsid w:val="00C13266"/>
    <w:rsid w:val="00C14909"/>
    <w:rsid w:val="00C17C93"/>
    <w:rsid w:val="00C31D4C"/>
    <w:rsid w:val="00C32323"/>
    <w:rsid w:val="00C333AF"/>
    <w:rsid w:val="00C47C47"/>
    <w:rsid w:val="00C56D42"/>
    <w:rsid w:val="00C70BB1"/>
    <w:rsid w:val="00C75688"/>
    <w:rsid w:val="00C865D4"/>
    <w:rsid w:val="00C92864"/>
    <w:rsid w:val="00C972F4"/>
    <w:rsid w:val="00CA5C7C"/>
    <w:rsid w:val="00CB0A4D"/>
    <w:rsid w:val="00CD2AAF"/>
    <w:rsid w:val="00CD3A89"/>
    <w:rsid w:val="00CD5E65"/>
    <w:rsid w:val="00CE3E7D"/>
    <w:rsid w:val="00CE5DC7"/>
    <w:rsid w:val="00CF5D79"/>
    <w:rsid w:val="00CF722D"/>
    <w:rsid w:val="00D20C8C"/>
    <w:rsid w:val="00D210BB"/>
    <w:rsid w:val="00D24D10"/>
    <w:rsid w:val="00D30C2B"/>
    <w:rsid w:val="00D361C0"/>
    <w:rsid w:val="00D51808"/>
    <w:rsid w:val="00D61E1D"/>
    <w:rsid w:val="00D66E4A"/>
    <w:rsid w:val="00D720CF"/>
    <w:rsid w:val="00D851AD"/>
    <w:rsid w:val="00D931D5"/>
    <w:rsid w:val="00DA23C6"/>
    <w:rsid w:val="00DA5C86"/>
    <w:rsid w:val="00DE434D"/>
    <w:rsid w:val="00DE5E5F"/>
    <w:rsid w:val="00E07222"/>
    <w:rsid w:val="00E17D85"/>
    <w:rsid w:val="00E214BA"/>
    <w:rsid w:val="00E2233D"/>
    <w:rsid w:val="00E30D4F"/>
    <w:rsid w:val="00E448E0"/>
    <w:rsid w:val="00E46D35"/>
    <w:rsid w:val="00E51A67"/>
    <w:rsid w:val="00E531CD"/>
    <w:rsid w:val="00E54DEB"/>
    <w:rsid w:val="00E64AAA"/>
    <w:rsid w:val="00E702F4"/>
    <w:rsid w:val="00E7093B"/>
    <w:rsid w:val="00E72385"/>
    <w:rsid w:val="00E73D8F"/>
    <w:rsid w:val="00E743C6"/>
    <w:rsid w:val="00E76C09"/>
    <w:rsid w:val="00E85B67"/>
    <w:rsid w:val="00E8718E"/>
    <w:rsid w:val="00EB1005"/>
    <w:rsid w:val="00EB740E"/>
    <w:rsid w:val="00EB7881"/>
    <w:rsid w:val="00EC09B7"/>
    <w:rsid w:val="00ED402E"/>
    <w:rsid w:val="00ED56A4"/>
    <w:rsid w:val="00ED6468"/>
    <w:rsid w:val="00EE5D5C"/>
    <w:rsid w:val="00EF3322"/>
    <w:rsid w:val="00F0322C"/>
    <w:rsid w:val="00F07125"/>
    <w:rsid w:val="00F1205C"/>
    <w:rsid w:val="00F15006"/>
    <w:rsid w:val="00F3582C"/>
    <w:rsid w:val="00F402A6"/>
    <w:rsid w:val="00F55591"/>
    <w:rsid w:val="00F62C79"/>
    <w:rsid w:val="00F6450F"/>
    <w:rsid w:val="00F656D4"/>
    <w:rsid w:val="00F65C7A"/>
    <w:rsid w:val="00FA0434"/>
    <w:rsid w:val="00FA2660"/>
    <w:rsid w:val="00FA3A14"/>
    <w:rsid w:val="00FA63E0"/>
    <w:rsid w:val="00FA6E5A"/>
    <w:rsid w:val="00FE419C"/>
    <w:rsid w:val="00FF10F6"/>
    <w:rsid w:val="00FF254C"/>
    <w:rsid w:val="00FF42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table" w:customStyle="1" w:styleId="TableGrid1">
    <w:name w:val="Table Grid1"/>
    <w:basedOn w:val="TableNormal"/>
    <w:uiPriority w:val="39"/>
    <w:rsid w:val="00294957"/>
    <w:pPr>
      <w:spacing w:after="0" w:line="240" w:lineRule="auto"/>
    </w:pPr>
    <w:rPr>
      <w:rFonts w:eastAsia="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94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72CA"/>
    <w:pPr>
      <w:ind w:left="720"/>
      <w:contextualSpacing/>
    </w:pPr>
  </w:style>
  <w:style w:type="paragraph" w:customStyle="1" w:styleId="FrameContents">
    <w:name w:val="Frame Contents"/>
    <w:basedOn w:val="Normal"/>
    <w:qFormat/>
    <w:rsid w:val="00FF10F6"/>
  </w:style>
  <w:style w:type="character" w:styleId="CommentReference">
    <w:name w:val="annotation reference"/>
    <w:basedOn w:val="DefaultParagraphFont"/>
    <w:uiPriority w:val="99"/>
    <w:semiHidden/>
    <w:unhideWhenUsed/>
    <w:rsid w:val="00582E80"/>
    <w:rPr>
      <w:sz w:val="16"/>
      <w:szCs w:val="16"/>
    </w:rPr>
  </w:style>
  <w:style w:type="paragraph" w:styleId="CommentText">
    <w:name w:val="annotation text"/>
    <w:basedOn w:val="Normal"/>
    <w:link w:val="CommentTextChar"/>
    <w:uiPriority w:val="99"/>
    <w:semiHidden/>
    <w:unhideWhenUsed/>
    <w:rsid w:val="00582E80"/>
    <w:pPr>
      <w:spacing w:line="240" w:lineRule="auto"/>
    </w:pPr>
    <w:rPr>
      <w:sz w:val="20"/>
      <w:szCs w:val="20"/>
    </w:rPr>
  </w:style>
  <w:style w:type="character" w:customStyle="1" w:styleId="CommentTextChar">
    <w:name w:val="Comment Text Char"/>
    <w:basedOn w:val="DefaultParagraphFont"/>
    <w:link w:val="CommentText"/>
    <w:uiPriority w:val="99"/>
    <w:semiHidden/>
    <w:rsid w:val="00582E80"/>
    <w:rPr>
      <w:sz w:val="20"/>
      <w:szCs w:val="20"/>
    </w:rPr>
  </w:style>
  <w:style w:type="paragraph" w:styleId="CommentSubject">
    <w:name w:val="annotation subject"/>
    <w:basedOn w:val="CommentText"/>
    <w:next w:val="CommentText"/>
    <w:link w:val="CommentSubjectChar"/>
    <w:uiPriority w:val="99"/>
    <w:semiHidden/>
    <w:unhideWhenUsed/>
    <w:rsid w:val="00582E80"/>
    <w:rPr>
      <w:b/>
      <w:bCs/>
    </w:rPr>
  </w:style>
  <w:style w:type="character" w:customStyle="1" w:styleId="CommentSubjectChar">
    <w:name w:val="Comment Subject Char"/>
    <w:basedOn w:val="CommentTextChar"/>
    <w:link w:val="CommentSubject"/>
    <w:uiPriority w:val="99"/>
    <w:semiHidden/>
    <w:rsid w:val="00582E80"/>
    <w:rPr>
      <w:b/>
      <w:bCs/>
    </w:rPr>
  </w:style>
</w:styles>
</file>

<file path=word/webSettings.xml><?xml version="1.0" encoding="utf-8"?>
<w:webSettings xmlns:r="http://schemas.openxmlformats.org/officeDocument/2006/relationships" xmlns:w="http://schemas.openxmlformats.org/wordprocessingml/2006/main">
  <w:divs>
    <w:div w:id="665867730">
      <w:bodyDiv w:val="1"/>
      <w:marLeft w:val="0"/>
      <w:marRight w:val="0"/>
      <w:marTop w:val="0"/>
      <w:marBottom w:val="0"/>
      <w:divBdr>
        <w:top w:val="none" w:sz="0" w:space="0" w:color="auto"/>
        <w:left w:val="none" w:sz="0" w:space="0" w:color="auto"/>
        <w:bottom w:val="none" w:sz="0" w:space="0" w:color="auto"/>
        <w:right w:val="none" w:sz="0" w:space="0" w:color="auto"/>
      </w:divBdr>
    </w:div>
    <w:div w:id="1978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2081-95A3-479E-8E85-E943766F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5121</Words>
  <Characters>29194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SIR KASIMU</cp:lastModifiedBy>
  <cp:revision>227</cp:revision>
  <dcterms:created xsi:type="dcterms:W3CDTF">2014-09-20T11:25:00Z</dcterms:created>
  <dcterms:modified xsi:type="dcterms:W3CDTF">2025-02-11T19:13:00Z</dcterms:modified>
</cp:coreProperties>
</file>