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1C2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1C2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1C2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01C2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1C2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2C9BF8B" w:rsidR="0000007A" w:rsidRPr="00E01C2F" w:rsidRDefault="00EB04A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A3E8E" w:rsidRPr="00E01C2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01C2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01C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6B4C7C" w:rsidR="0000007A" w:rsidRPr="00E01C2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3E8E"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4559</w:t>
            </w:r>
          </w:p>
        </w:tc>
      </w:tr>
      <w:tr w:rsidR="0000007A" w:rsidRPr="00E01C2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01C2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E404F0" w:rsidR="0000007A" w:rsidRPr="00E01C2F" w:rsidRDefault="008A3E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1C2F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TP53 Gain-of-Function Mutations on Metabolic Reprogramming in Prostate Cancer Progression</w:t>
            </w:r>
          </w:p>
        </w:tc>
      </w:tr>
      <w:tr w:rsidR="00CF0BBB" w:rsidRPr="00E01C2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1C2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31C14E" w:rsidR="00CF0BBB" w:rsidRPr="00E01C2F" w:rsidRDefault="008A3E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01C2F" w:rsidRDefault="00D27A79" w:rsidP="009245E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9497"/>
        <w:gridCol w:w="6583"/>
      </w:tblGrid>
      <w:tr w:rsidR="00F1171E" w:rsidRPr="00E01C2F" w14:paraId="71A94C1F" w14:textId="77777777" w:rsidTr="009245E8">
        <w:tc>
          <w:tcPr>
            <w:tcW w:w="20900" w:type="dxa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C2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1C2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1C2F" w14:paraId="5EA12279" w14:textId="77777777" w:rsidTr="009245E8">
        <w:tc>
          <w:tcPr>
            <w:tcW w:w="4820" w:type="dxa"/>
            <w:noWrap/>
          </w:tcPr>
          <w:p w14:paraId="7AE9682F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9497" w:type="dxa"/>
          </w:tcPr>
          <w:p w14:paraId="5B8DBE06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1C2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01C2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01C2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83" w:type="dxa"/>
          </w:tcPr>
          <w:p w14:paraId="57792C30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1C2F">
              <w:rPr>
                <w:rFonts w:ascii="Arial" w:hAnsi="Arial" w:cs="Arial"/>
                <w:lang w:val="en-GB"/>
              </w:rPr>
              <w:t>Author’s Feedback</w:t>
            </w:r>
            <w:r w:rsidRPr="00E01C2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1C2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1C2F" w14:paraId="5C0AB4EC" w14:textId="77777777" w:rsidTr="009245E8">
        <w:trPr>
          <w:trHeight w:val="1264"/>
        </w:trPr>
        <w:tc>
          <w:tcPr>
            <w:tcW w:w="4820" w:type="dxa"/>
            <w:noWrap/>
          </w:tcPr>
          <w:p w14:paraId="66B47184" w14:textId="48030299" w:rsidR="00F1171E" w:rsidRPr="00E01C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1C2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497" w:type="dxa"/>
          </w:tcPr>
          <w:p w14:paraId="7DBC9196" w14:textId="2137288A" w:rsidR="00F1171E" w:rsidRPr="00E01C2F" w:rsidRDefault="008A69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 xml:space="preserve">This manuscript addresses a critical gap in understanding how TP53 gain-of-function mutations drive metabolic reprogramming in prostate cancer. Which is a major factor in therapy resistance. </w:t>
            </w:r>
            <w:r w:rsidR="00B42224" w:rsidRPr="00E01C2F">
              <w:rPr>
                <w:rFonts w:ascii="Arial" w:hAnsi="Arial" w:cs="Arial"/>
                <w:color w:val="404040"/>
                <w:sz w:val="20"/>
                <w:szCs w:val="20"/>
              </w:rPr>
              <w:t>T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his work provides potential biomarkers for prognosis and therapeutic targets</w:t>
            </w:r>
            <w:r w:rsidR="00B42224" w:rsidRPr="00E01C2F">
              <w:rPr>
                <w:rFonts w:ascii="Arial" w:hAnsi="Arial" w:cs="Arial"/>
                <w:color w:val="404040"/>
                <w:sz w:val="20"/>
                <w:szCs w:val="20"/>
              </w:rPr>
              <w:t xml:space="preserve"> by identifying specific metabolic alterations linked to R175H and R273H mutants. These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 xml:space="preserve"> could improve treatment strategies for aggressive, castration-resistant prostate cancer. These findings are relevant to researchers and clinicians aiming to combat metabolic adaptation in advanced prostate cancer.</w:t>
            </w:r>
          </w:p>
        </w:tc>
        <w:tc>
          <w:tcPr>
            <w:tcW w:w="6583" w:type="dxa"/>
          </w:tcPr>
          <w:p w14:paraId="462A339C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C2F" w14:paraId="0D8B5B2C" w14:textId="77777777" w:rsidTr="009245E8">
        <w:trPr>
          <w:trHeight w:val="1262"/>
        </w:trPr>
        <w:tc>
          <w:tcPr>
            <w:tcW w:w="4820" w:type="dxa"/>
            <w:noWrap/>
          </w:tcPr>
          <w:p w14:paraId="21CBA5FE" w14:textId="77777777" w:rsidR="00F1171E" w:rsidRPr="00E01C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1C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497" w:type="dxa"/>
          </w:tcPr>
          <w:p w14:paraId="794AA9A7" w14:textId="5CAB964C" w:rsidR="00F1171E" w:rsidRPr="00E01C2F" w:rsidRDefault="00B4222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The title is suitable but could be more precise. Suggested revision: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br/>
            </w:r>
            <w:r w:rsidRPr="00E01C2F">
              <w:rPr>
                <w:rStyle w:val="Strong"/>
                <w:rFonts w:ascii="Arial" w:eastAsia="Arial Unicode MS" w:hAnsi="Arial" w:cs="Arial"/>
                <w:color w:val="404040"/>
                <w:sz w:val="20"/>
                <w:szCs w:val="20"/>
              </w:rPr>
              <w:t xml:space="preserve">"Impact of </w:t>
            </w:r>
            <w:r w:rsidRPr="00E01C2F">
              <w:rPr>
                <w:rStyle w:val="Strong"/>
                <w:rFonts w:ascii="Arial" w:eastAsia="Arial Unicode MS" w:hAnsi="Arial" w:cs="Arial"/>
                <w:i/>
                <w:iCs/>
                <w:color w:val="404040"/>
                <w:sz w:val="20"/>
                <w:szCs w:val="20"/>
              </w:rPr>
              <w:t>TP53 R175H</w:t>
            </w:r>
            <w:r w:rsidRPr="00E01C2F">
              <w:rPr>
                <w:rStyle w:val="Strong"/>
                <w:rFonts w:ascii="Arial" w:eastAsia="Arial Unicode MS" w:hAnsi="Arial" w:cs="Arial"/>
                <w:color w:val="404040"/>
                <w:sz w:val="20"/>
                <w:szCs w:val="20"/>
              </w:rPr>
              <w:t xml:space="preserve"> and </w:t>
            </w:r>
            <w:r w:rsidRPr="00E01C2F">
              <w:rPr>
                <w:rStyle w:val="Strong"/>
                <w:rFonts w:ascii="Arial" w:eastAsia="Arial Unicode MS" w:hAnsi="Arial" w:cs="Arial"/>
                <w:i/>
                <w:iCs/>
                <w:color w:val="404040"/>
                <w:sz w:val="20"/>
                <w:szCs w:val="20"/>
              </w:rPr>
              <w:t>R273H</w:t>
            </w:r>
            <w:r w:rsidRPr="00E01C2F">
              <w:rPr>
                <w:rStyle w:val="Strong"/>
                <w:rFonts w:ascii="Arial" w:eastAsia="Arial Unicode MS" w:hAnsi="Arial" w:cs="Arial"/>
                <w:color w:val="404040"/>
                <w:sz w:val="20"/>
                <w:szCs w:val="20"/>
              </w:rPr>
              <w:t xml:space="preserve"> Gain-of-Function Mutations on Metabolic Reprogramming in Prostate Cancer Progression"</w:t>
            </w:r>
          </w:p>
        </w:tc>
        <w:tc>
          <w:tcPr>
            <w:tcW w:w="6583" w:type="dxa"/>
          </w:tcPr>
          <w:p w14:paraId="405B6701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C2F" w14:paraId="5604762A" w14:textId="77777777" w:rsidTr="009245E8">
        <w:trPr>
          <w:trHeight w:val="1262"/>
        </w:trPr>
        <w:tc>
          <w:tcPr>
            <w:tcW w:w="4820" w:type="dxa"/>
            <w:noWrap/>
          </w:tcPr>
          <w:p w14:paraId="3635573D" w14:textId="77777777" w:rsidR="00F1171E" w:rsidRPr="00E01C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1C2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9497" w:type="dxa"/>
          </w:tcPr>
          <w:p w14:paraId="24BEA016" w14:textId="77777777" w:rsidR="00B42224" w:rsidRPr="00E01C2F" w:rsidRDefault="00B42224" w:rsidP="00B42224">
            <w:pPr>
              <w:pStyle w:val="NormalWeb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The abstract is well-structured but could be enhanced by:</w:t>
            </w:r>
          </w:p>
          <w:p w14:paraId="1C799D7C" w14:textId="04A50F92" w:rsidR="00B42224" w:rsidRPr="00E01C2F" w:rsidRDefault="00B42224" w:rsidP="00B4222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 xml:space="preserve">Briefly mentioning the methodology (e.g., LC-MS metabolomics in PC3 cell models) and stating the clinical implications of identifying </w:t>
            </w:r>
            <w:proofErr w:type="spellStart"/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pseudouridine</w:t>
            </w:r>
            <w:proofErr w:type="spellEnd"/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/spermidine as biomarkers.</w:t>
            </w:r>
          </w:p>
          <w:p w14:paraId="0FB7E83A" w14:textId="77777777" w:rsidR="00F1171E" w:rsidRPr="00E01C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583" w:type="dxa"/>
          </w:tcPr>
          <w:p w14:paraId="1D54B730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C2F" w14:paraId="2F579F54" w14:textId="77777777" w:rsidTr="009245E8">
        <w:trPr>
          <w:trHeight w:val="859"/>
        </w:trPr>
        <w:tc>
          <w:tcPr>
            <w:tcW w:w="4820" w:type="dxa"/>
            <w:noWrap/>
          </w:tcPr>
          <w:p w14:paraId="04361F46" w14:textId="368783AB" w:rsidR="00F1171E" w:rsidRPr="00E01C2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9497" w:type="dxa"/>
          </w:tcPr>
          <w:p w14:paraId="2B81DFBE" w14:textId="77777777" w:rsidR="00B42224" w:rsidRPr="00E01C2F" w:rsidRDefault="00B42224" w:rsidP="00B42224">
            <w:pPr>
              <w:pStyle w:val="NormalWeb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The study is scientifically rigorous, but the following should be addressed:</w:t>
            </w:r>
          </w:p>
          <w:p w14:paraId="30715663" w14:textId="77777777" w:rsidR="00B42224" w:rsidRPr="00E01C2F" w:rsidRDefault="00B42224" w:rsidP="00B4222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Style w:val="Strong"/>
                <w:rFonts w:ascii="Arial" w:hAnsi="Arial" w:cs="Arial"/>
                <w:color w:val="404040"/>
                <w:sz w:val="20"/>
                <w:szCs w:val="20"/>
              </w:rPr>
              <w:t>Figures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: Ensure all referenced figures (e.g., heatmaps, volcano plots) are included and clearly labeled in the final submission.</w:t>
            </w:r>
          </w:p>
          <w:p w14:paraId="070BF00E" w14:textId="77777777" w:rsidR="00B42224" w:rsidRPr="00E01C2F" w:rsidRDefault="00B42224" w:rsidP="00B4222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Style w:val="Strong"/>
                <w:rFonts w:ascii="Arial" w:hAnsi="Arial" w:cs="Arial"/>
                <w:color w:val="404040"/>
                <w:sz w:val="20"/>
                <w:szCs w:val="20"/>
              </w:rPr>
              <w:t>Claims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: Some statements in the discussion (e.g., NADP+ downregulation increasing oxidative stress) need direct experimental validation in this study.</w:t>
            </w:r>
          </w:p>
          <w:p w14:paraId="700505A0" w14:textId="77777777" w:rsidR="00B42224" w:rsidRPr="00E01C2F" w:rsidRDefault="00B42224" w:rsidP="00B4222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Style w:val="Strong"/>
                <w:rFonts w:ascii="Arial" w:hAnsi="Arial" w:cs="Arial"/>
                <w:color w:val="404040"/>
                <w:sz w:val="20"/>
                <w:szCs w:val="20"/>
              </w:rPr>
              <w:t>Clarify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: Specify whether metabolite changes are causal or correlative to TP53 mutations.</w:t>
            </w:r>
          </w:p>
          <w:p w14:paraId="2B5A7721" w14:textId="77777777" w:rsidR="00F1171E" w:rsidRPr="00E01C2F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583" w:type="dxa"/>
          </w:tcPr>
          <w:p w14:paraId="4898F764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C2F" w14:paraId="73739464" w14:textId="77777777" w:rsidTr="009245E8">
        <w:trPr>
          <w:trHeight w:val="703"/>
        </w:trPr>
        <w:tc>
          <w:tcPr>
            <w:tcW w:w="4820" w:type="dxa"/>
            <w:noWrap/>
          </w:tcPr>
          <w:p w14:paraId="09C25322" w14:textId="77777777" w:rsidR="00F1171E" w:rsidRPr="00E01C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1C2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1C2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9497" w:type="dxa"/>
          </w:tcPr>
          <w:p w14:paraId="24FE0567" w14:textId="26B7B549" w:rsidR="00F1171E" w:rsidRPr="00E01C2F" w:rsidRDefault="00B4222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References are mostly up-to-date</w:t>
            </w:r>
          </w:p>
        </w:tc>
        <w:tc>
          <w:tcPr>
            <w:tcW w:w="6583" w:type="dxa"/>
          </w:tcPr>
          <w:p w14:paraId="40220055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1C2F" w14:paraId="73CC4A50" w14:textId="77777777" w:rsidTr="009245E8">
        <w:trPr>
          <w:trHeight w:val="386"/>
        </w:trPr>
        <w:tc>
          <w:tcPr>
            <w:tcW w:w="4820" w:type="dxa"/>
            <w:noWrap/>
          </w:tcPr>
          <w:p w14:paraId="029CE8D0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1C2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1C2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497" w:type="dxa"/>
          </w:tcPr>
          <w:p w14:paraId="0A07EA75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1C4ED6A" w:rsidR="00F1171E" w:rsidRPr="00E01C2F" w:rsidRDefault="00B4222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The language is scholarly but requires minor edits</w:t>
            </w:r>
          </w:p>
          <w:p w14:paraId="149A6CEF" w14:textId="3F8D1043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83" w:type="dxa"/>
          </w:tcPr>
          <w:p w14:paraId="0351CA58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1C2F" w14:paraId="20A16C0C" w14:textId="77777777" w:rsidTr="009245E8">
        <w:trPr>
          <w:trHeight w:val="1178"/>
        </w:trPr>
        <w:tc>
          <w:tcPr>
            <w:tcW w:w="4820" w:type="dxa"/>
            <w:noWrap/>
          </w:tcPr>
          <w:p w14:paraId="7F4BCFAE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1C2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1C2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1C2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1C2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9497" w:type="dxa"/>
          </w:tcPr>
          <w:p w14:paraId="5E946A0E" w14:textId="1F3140BB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EC77C1" w14:textId="77777777" w:rsidR="00B42224" w:rsidRPr="00E01C2F" w:rsidRDefault="00B42224" w:rsidP="00B4222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Style w:val="Strong"/>
                <w:rFonts w:ascii="Arial" w:hAnsi="Arial" w:cs="Arial"/>
                <w:color w:val="404040"/>
                <w:sz w:val="20"/>
                <w:szCs w:val="20"/>
              </w:rPr>
              <w:t>Limitations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: Acknowledge limitations, such as the use of a single cell line (PC3) and lack of in vivo validation.</w:t>
            </w:r>
          </w:p>
          <w:p w14:paraId="7CBAF7F5" w14:textId="77777777" w:rsidR="00B42224" w:rsidRPr="00E01C2F" w:rsidRDefault="00B42224" w:rsidP="00B4222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Style w:val="Strong"/>
                <w:rFonts w:ascii="Arial" w:hAnsi="Arial" w:cs="Arial"/>
                <w:color w:val="404040"/>
                <w:sz w:val="20"/>
                <w:szCs w:val="20"/>
              </w:rPr>
              <w:t>Clinical Relevance</w:t>
            </w: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 xml:space="preserve">: Expand on how </w:t>
            </w:r>
            <w:proofErr w:type="spellStart"/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pseudouridine</w:t>
            </w:r>
            <w:proofErr w:type="spellEnd"/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/spermidine could be translated into clinical biomarkers or therapeutic targets.</w:t>
            </w:r>
          </w:p>
          <w:p w14:paraId="7A7D86A9" w14:textId="77777777" w:rsidR="006837AF" w:rsidRPr="00E01C2F" w:rsidRDefault="006837AF" w:rsidP="006837AF">
            <w:pPr>
              <w:pStyle w:val="NormalWeb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The manuscript is well-written and addresses an important topic in prostate cancer research. It provides valuable insights into the metabolic consequences of TP53 gain-of-function mutations, with potential implications for therapeutic targeting. However, minor revisions are required to improve clarity, address methodological details, and strengthen the discussion. Specifically:</w:t>
            </w:r>
          </w:p>
          <w:p w14:paraId="3CA3EA38" w14:textId="77777777" w:rsidR="006837AF" w:rsidRPr="00E01C2F" w:rsidRDefault="006837AF" w:rsidP="006837A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Ensure all figures are included and clearly labeled.</w:t>
            </w:r>
          </w:p>
          <w:p w14:paraId="775D44AD" w14:textId="77777777" w:rsidR="006837AF" w:rsidRPr="00E01C2F" w:rsidRDefault="006837AF" w:rsidP="006837A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Clarify the causal vs. correlative nature of metabolite changes.</w:t>
            </w:r>
          </w:p>
          <w:p w14:paraId="502094FC" w14:textId="77777777" w:rsidR="006837AF" w:rsidRPr="00E01C2F" w:rsidRDefault="006837AF" w:rsidP="006837A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Update references marked as "In-press" and include additional relevant literature.</w:t>
            </w:r>
          </w:p>
          <w:p w14:paraId="0D00765F" w14:textId="77777777" w:rsidR="006837AF" w:rsidRPr="00E01C2F" w:rsidRDefault="006837AF" w:rsidP="006837AF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Simplify complex sentences and correct minor grammatical errors.</w:t>
            </w:r>
          </w:p>
          <w:p w14:paraId="7EB58C99" w14:textId="6755334E" w:rsidR="00F1171E" w:rsidRPr="00E01C2F" w:rsidRDefault="006837AF" w:rsidP="006837AF">
            <w:pPr>
              <w:pStyle w:val="NormalWeb"/>
              <w:spacing w:after="0" w:afterAutospacing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01C2F">
              <w:rPr>
                <w:rFonts w:ascii="Arial" w:hAnsi="Arial" w:cs="Arial"/>
                <w:color w:val="404040"/>
                <w:sz w:val="20"/>
                <w:szCs w:val="20"/>
              </w:rPr>
              <w:t>With these revisions, the manuscript will be suitable for publication.</w:t>
            </w:r>
          </w:p>
          <w:p w14:paraId="15DFD0E8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583" w:type="dxa"/>
          </w:tcPr>
          <w:p w14:paraId="465E098E" w14:textId="77777777" w:rsidR="00F1171E" w:rsidRPr="00E01C2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01C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84854" w:rsidRPr="00484854" w14:paraId="0772E658" w14:textId="77777777" w:rsidTr="0048485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D7DEC" w14:textId="77777777" w:rsidR="00484854" w:rsidRPr="00484854" w:rsidRDefault="00484854" w:rsidP="0048485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GoBack"/>
            <w:r w:rsidRPr="0048485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8485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D14865A" w14:textId="77777777" w:rsidR="00484854" w:rsidRPr="00484854" w:rsidRDefault="00484854" w:rsidP="0048485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4854" w:rsidRPr="00484854" w14:paraId="3A7B17D7" w14:textId="77777777" w:rsidTr="0048485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B618F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A8F82" w14:textId="77777777" w:rsidR="00484854" w:rsidRPr="00484854" w:rsidRDefault="00484854" w:rsidP="0048485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8485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EC0188F" w14:textId="77777777" w:rsidR="00484854" w:rsidRPr="00484854" w:rsidRDefault="00484854" w:rsidP="0048485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8485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8485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8485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4854" w:rsidRPr="00484854" w14:paraId="090B355A" w14:textId="77777777" w:rsidTr="0048485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708B" w14:textId="77777777" w:rsidR="00484854" w:rsidRPr="00484854" w:rsidRDefault="00484854" w:rsidP="0048485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8485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404B61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9BA3" w14:textId="77777777" w:rsidR="00484854" w:rsidRPr="00484854" w:rsidRDefault="00484854" w:rsidP="0048485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848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848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8485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97760E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98FFFB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2A1202C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5BDF3E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90549F" w14:textId="77777777" w:rsidR="00484854" w:rsidRPr="00484854" w:rsidRDefault="00484854" w:rsidP="0048485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E0A6C27" w14:textId="77777777" w:rsidR="00484854" w:rsidRPr="00484854" w:rsidRDefault="00484854" w:rsidP="004848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84854" w:rsidRPr="00484854" w14:paraId="2D479379" w14:textId="77777777" w:rsidTr="0048485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D3E0" w14:textId="77777777" w:rsidR="00484854" w:rsidRPr="00484854" w:rsidRDefault="00484854" w:rsidP="00484854">
            <w:pPr>
              <w:rPr>
                <w:b/>
                <w:u w:val="single"/>
                <w:lang w:val="en-GB"/>
              </w:rPr>
            </w:pPr>
            <w:r w:rsidRPr="00484854">
              <w:rPr>
                <w:b/>
                <w:u w:val="single"/>
                <w:lang w:val="en-GB"/>
              </w:rPr>
              <w:t>Reviewer Details:</w:t>
            </w:r>
          </w:p>
          <w:p w14:paraId="69CB09E5" w14:textId="77777777" w:rsidR="00484854" w:rsidRPr="00484854" w:rsidRDefault="00484854" w:rsidP="00484854">
            <w:pPr>
              <w:rPr>
                <w:bCs/>
                <w:u w:val="single"/>
                <w:lang w:val="en-GB"/>
              </w:rPr>
            </w:pPr>
          </w:p>
        </w:tc>
      </w:tr>
      <w:tr w:rsidR="00484854" w:rsidRPr="00484854" w14:paraId="56B0DBAA" w14:textId="77777777" w:rsidTr="00484854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5769" w14:textId="77777777" w:rsidR="00484854" w:rsidRPr="00484854" w:rsidRDefault="00484854" w:rsidP="00484854">
            <w:pPr>
              <w:rPr>
                <w:lang w:val="en-GB"/>
              </w:rPr>
            </w:pPr>
            <w:r w:rsidRPr="00484854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1171" w14:textId="0335EFE0" w:rsidR="00484854" w:rsidRPr="00484854" w:rsidRDefault="00484854" w:rsidP="00484854">
            <w:pPr>
              <w:rPr>
                <w:b/>
                <w:bCs/>
              </w:rPr>
            </w:pPr>
            <w:proofErr w:type="spellStart"/>
            <w:r w:rsidRPr="00484854">
              <w:rPr>
                <w:b/>
                <w:bCs/>
              </w:rPr>
              <w:t>Kanwal</w:t>
            </w:r>
            <w:proofErr w:type="spellEnd"/>
            <w:r w:rsidRPr="00484854">
              <w:rPr>
                <w:b/>
                <w:bCs/>
              </w:rPr>
              <w:t xml:space="preserve"> Shabir</w:t>
            </w:r>
          </w:p>
        </w:tc>
      </w:tr>
      <w:tr w:rsidR="00484854" w:rsidRPr="00484854" w14:paraId="20528216" w14:textId="77777777" w:rsidTr="0048485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7EAC3" w14:textId="77777777" w:rsidR="00484854" w:rsidRPr="00484854" w:rsidRDefault="00484854" w:rsidP="00484854">
            <w:pPr>
              <w:rPr>
                <w:lang w:val="en-GB"/>
              </w:rPr>
            </w:pPr>
            <w:r w:rsidRPr="00484854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2B29" w14:textId="53C2845B" w:rsidR="00484854" w:rsidRPr="00484854" w:rsidRDefault="00484854" w:rsidP="00484854">
            <w:pPr>
              <w:rPr>
                <w:b/>
                <w:bCs/>
                <w:lang w:val="en-GB"/>
              </w:rPr>
            </w:pPr>
            <w:r w:rsidRPr="00484854">
              <w:rPr>
                <w:b/>
                <w:bCs/>
                <w:lang w:val="en-GB"/>
              </w:rPr>
              <w:t>GCU</w:t>
            </w:r>
            <w:r>
              <w:rPr>
                <w:b/>
                <w:bCs/>
                <w:lang w:val="en-GB"/>
              </w:rPr>
              <w:t xml:space="preserve">, </w:t>
            </w:r>
            <w:r w:rsidRPr="00484854">
              <w:rPr>
                <w:b/>
                <w:bCs/>
                <w:lang w:val="en-GB"/>
              </w:rPr>
              <w:t>Pakistan</w:t>
            </w:r>
          </w:p>
        </w:tc>
      </w:tr>
    </w:tbl>
    <w:p w14:paraId="185556B1" w14:textId="77777777" w:rsidR="00484854" w:rsidRPr="00484854" w:rsidRDefault="00484854" w:rsidP="00484854"/>
    <w:bookmarkEnd w:id="0"/>
    <w:p w14:paraId="1CEB8FD5" w14:textId="77777777" w:rsidR="00484854" w:rsidRPr="00484854" w:rsidRDefault="00484854" w:rsidP="00484854"/>
    <w:bookmarkEnd w:id="1"/>
    <w:p w14:paraId="78207741" w14:textId="77777777" w:rsidR="00F1171E" w:rsidRPr="00E01C2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01C2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81162" w14:textId="77777777" w:rsidR="00EB04A5" w:rsidRPr="0000007A" w:rsidRDefault="00EB04A5" w:rsidP="0099583E">
      <w:r>
        <w:separator/>
      </w:r>
    </w:p>
  </w:endnote>
  <w:endnote w:type="continuationSeparator" w:id="0">
    <w:p w14:paraId="0EDA0B37" w14:textId="77777777" w:rsidR="00EB04A5" w:rsidRPr="0000007A" w:rsidRDefault="00EB04A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1AC8" w14:textId="77777777" w:rsidR="00EB04A5" w:rsidRPr="0000007A" w:rsidRDefault="00EB04A5" w:rsidP="0099583E">
      <w:r>
        <w:separator/>
      </w:r>
    </w:p>
  </w:footnote>
  <w:footnote w:type="continuationSeparator" w:id="0">
    <w:p w14:paraId="62960927" w14:textId="77777777" w:rsidR="00EB04A5" w:rsidRPr="0000007A" w:rsidRDefault="00EB04A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9E94C82"/>
    <w:multiLevelType w:val="multilevel"/>
    <w:tmpl w:val="979EF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F6400"/>
    <w:multiLevelType w:val="multilevel"/>
    <w:tmpl w:val="5236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59150B"/>
    <w:multiLevelType w:val="multilevel"/>
    <w:tmpl w:val="15F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7B329A"/>
    <w:multiLevelType w:val="multilevel"/>
    <w:tmpl w:val="DEE0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0AE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7D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0D2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CA2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35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485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7AF"/>
    <w:rsid w:val="0068446F"/>
    <w:rsid w:val="006861EC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16E2D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E8E"/>
    <w:rsid w:val="008A697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45E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0E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47FE"/>
    <w:rsid w:val="00A36C95"/>
    <w:rsid w:val="00A37DE3"/>
    <w:rsid w:val="00A40B00"/>
    <w:rsid w:val="00A4787C"/>
    <w:rsid w:val="00A51369"/>
    <w:rsid w:val="00A519D1"/>
    <w:rsid w:val="00A5303B"/>
    <w:rsid w:val="00A65C50"/>
    <w:rsid w:val="00A71D48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222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563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6496"/>
    <w:rsid w:val="00DB7E1B"/>
    <w:rsid w:val="00DC1D81"/>
    <w:rsid w:val="00DC6963"/>
    <w:rsid w:val="00DC6FED"/>
    <w:rsid w:val="00DD0C4A"/>
    <w:rsid w:val="00DD274C"/>
    <w:rsid w:val="00DE7D30"/>
    <w:rsid w:val="00DF04E3"/>
    <w:rsid w:val="00E01C2F"/>
    <w:rsid w:val="00E03C32"/>
    <w:rsid w:val="00E25BF8"/>
    <w:rsid w:val="00E3111A"/>
    <w:rsid w:val="00E451EA"/>
    <w:rsid w:val="00E5293B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5A2D"/>
    <w:rsid w:val="00E972A7"/>
    <w:rsid w:val="00EA2839"/>
    <w:rsid w:val="00EB04A5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71D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B42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2025-03-07T05:58:00Z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