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7695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7695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C7695D" w:rsidTr="00F33C84">
        <w:trPr>
          <w:trHeight w:val="413"/>
        </w:trPr>
        <w:tc>
          <w:tcPr>
            <w:tcW w:w="1234" w:type="pct"/>
          </w:tcPr>
          <w:p w:rsidR="0000007A" w:rsidRPr="00C7695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7695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7695D" w:rsidRDefault="00872E9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47F9A" w:rsidRPr="00C7695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C7695D" w:rsidTr="002E7787">
        <w:trPr>
          <w:trHeight w:val="290"/>
        </w:trPr>
        <w:tc>
          <w:tcPr>
            <w:tcW w:w="1234" w:type="pct"/>
          </w:tcPr>
          <w:p w:rsidR="0000007A" w:rsidRPr="00C769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7695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7F9A"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4581</w:t>
            </w:r>
          </w:p>
        </w:tc>
      </w:tr>
      <w:tr w:rsidR="0000007A" w:rsidRPr="00C7695D" w:rsidTr="002109D6">
        <w:trPr>
          <w:trHeight w:val="331"/>
        </w:trPr>
        <w:tc>
          <w:tcPr>
            <w:tcW w:w="1234" w:type="pct"/>
          </w:tcPr>
          <w:p w:rsidR="0000007A" w:rsidRPr="00C7695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7695D" w:rsidRDefault="00647F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7695D">
              <w:rPr>
                <w:rFonts w:ascii="Arial" w:hAnsi="Arial" w:cs="Arial"/>
                <w:b/>
                <w:sz w:val="20"/>
                <w:szCs w:val="20"/>
                <w:lang w:val="en-GB"/>
              </w:rPr>
              <w:t>Membrane Fouling Dynamics in the Clarification of Pineapple Juice after Egg Albumin Pretreatment: A Study on Hermia’s Empirical Models</w:t>
            </w:r>
          </w:p>
        </w:tc>
      </w:tr>
      <w:tr w:rsidR="00CF0BBB" w:rsidRPr="00C7695D" w:rsidTr="002E7787">
        <w:trPr>
          <w:trHeight w:val="332"/>
        </w:trPr>
        <w:tc>
          <w:tcPr>
            <w:tcW w:w="1234" w:type="pct"/>
          </w:tcPr>
          <w:p w:rsidR="00CF0BBB" w:rsidRPr="00C7695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7695D" w:rsidRDefault="00647F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C7695D" w:rsidRDefault="00D27A79" w:rsidP="00C7695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7695D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C769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695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7695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C7695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7695D" w:rsidTr="007222C8">
        <w:tc>
          <w:tcPr>
            <w:tcW w:w="1265" w:type="pct"/>
            <w:noWrap/>
          </w:tcPr>
          <w:p w:rsidR="00F1171E" w:rsidRPr="00C769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C7695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695D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C7695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:rsidR="00F1171E" w:rsidRPr="00C76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7695D">
              <w:rPr>
                <w:rFonts w:ascii="Arial" w:hAnsi="Arial" w:cs="Arial"/>
                <w:lang w:val="en-GB"/>
              </w:rPr>
              <w:t>Author’s Feedback</w:t>
            </w:r>
            <w:r w:rsidRPr="00C7695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7695D" w:rsidTr="00C7695D">
        <w:trPr>
          <w:trHeight w:val="70"/>
        </w:trPr>
        <w:tc>
          <w:tcPr>
            <w:tcW w:w="1265" w:type="pct"/>
            <w:noWrap/>
          </w:tcPr>
          <w:p w:rsidR="00F1171E" w:rsidRPr="00C7695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C7695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C7695D" w:rsidRDefault="006D3FD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sz w:val="20"/>
                <w:szCs w:val="20"/>
                <w:lang w:val="en-GB"/>
              </w:rPr>
              <w:t>Membrane Fouling Dynamics in the Clarification of Pineapple Juice after Egg Albumin Pretreatment: A Study on Hermia’s Empirical Models</w:t>
            </w:r>
          </w:p>
        </w:tc>
        <w:tc>
          <w:tcPr>
            <w:tcW w:w="1523" w:type="pct"/>
          </w:tcPr>
          <w:p w:rsidR="00F1171E" w:rsidRPr="00C7695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3FDB" w:rsidRPr="00C7695D" w:rsidTr="00C7695D">
        <w:trPr>
          <w:trHeight w:val="70"/>
        </w:trPr>
        <w:tc>
          <w:tcPr>
            <w:tcW w:w="1265" w:type="pct"/>
            <w:noWrap/>
          </w:tcPr>
          <w:p w:rsidR="006D3FDB" w:rsidRPr="00C7695D" w:rsidRDefault="006D3F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6D3FDB" w:rsidRPr="00C7695D" w:rsidRDefault="006D3F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D3FDB" w:rsidRPr="00C7695D" w:rsidRDefault="006D3FDB" w:rsidP="002423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3FDB" w:rsidRPr="00C7695D" w:rsidTr="00C7695D">
        <w:trPr>
          <w:trHeight w:val="70"/>
        </w:trPr>
        <w:tc>
          <w:tcPr>
            <w:tcW w:w="1265" w:type="pct"/>
            <w:noWrap/>
          </w:tcPr>
          <w:p w:rsidR="006D3FDB" w:rsidRPr="00C7695D" w:rsidRDefault="006D3FDB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7695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6D3FDB" w:rsidRPr="00C7695D" w:rsidRDefault="006D3FDB" w:rsidP="002423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need more content and background on the subject</w:t>
            </w:r>
          </w:p>
        </w:tc>
        <w:tc>
          <w:tcPr>
            <w:tcW w:w="1523" w:type="pct"/>
          </w:tcPr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3FDB" w:rsidRPr="00C7695D" w:rsidTr="00C7695D">
        <w:trPr>
          <w:trHeight w:val="70"/>
        </w:trPr>
        <w:tc>
          <w:tcPr>
            <w:tcW w:w="1265" w:type="pct"/>
            <w:noWrap/>
          </w:tcPr>
          <w:p w:rsidR="006D3FDB" w:rsidRPr="00C7695D" w:rsidRDefault="006D3F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6D3FDB" w:rsidRPr="00C7695D" w:rsidRDefault="006D3FDB" w:rsidP="002423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3FDB" w:rsidRPr="00C7695D" w:rsidTr="007222C8">
        <w:trPr>
          <w:trHeight w:val="703"/>
        </w:trPr>
        <w:tc>
          <w:tcPr>
            <w:tcW w:w="1265" w:type="pct"/>
            <w:noWrap/>
          </w:tcPr>
          <w:p w:rsidR="006D3FDB" w:rsidRPr="00C7695D" w:rsidRDefault="006D3F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6D3FDB" w:rsidRPr="00C7695D" w:rsidRDefault="006D3FD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6D3FDB" w:rsidRPr="00C7695D" w:rsidRDefault="006D3FDB" w:rsidP="0024237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sufficient.  We need more references.</w:t>
            </w:r>
          </w:p>
        </w:tc>
        <w:tc>
          <w:tcPr>
            <w:tcW w:w="1523" w:type="pct"/>
          </w:tcPr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6D3FDB" w:rsidRPr="00C7695D" w:rsidTr="007222C8">
        <w:trPr>
          <w:trHeight w:val="386"/>
        </w:trPr>
        <w:tc>
          <w:tcPr>
            <w:tcW w:w="1265" w:type="pct"/>
            <w:noWrap/>
          </w:tcPr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6D3FDB" w:rsidRPr="00C7695D" w:rsidRDefault="006D3FDB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7695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6D3FDB" w:rsidRPr="00C7695D" w:rsidRDefault="006D3F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6D3FDB" w:rsidRPr="00C7695D" w:rsidRDefault="006D3FDB" w:rsidP="0024237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English type errors</w:t>
            </w:r>
          </w:p>
          <w:p w:rsidR="006D3FDB" w:rsidRPr="00C7695D" w:rsidRDefault="006D3FDB" w:rsidP="002423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3FDB" w:rsidRPr="00C7695D" w:rsidRDefault="006D3FDB" w:rsidP="002423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6D3FDB" w:rsidRPr="00C7695D" w:rsidRDefault="006D3FDB" w:rsidP="0024237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D3FDB" w:rsidRPr="00C7695D" w:rsidRDefault="006D3F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6D3FDB" w:rsidRPr="00C7695D" w:rsidTr="00C7695D">
        <w:trPr>
          <w:trHeight w:val="70"/>
        </w:trPr>
        <w:tc>
          <w:tcPr>
            <w:tcW w:w="1265" w:type="pct"/>
            <w:noWrap/>
          </w:tcPr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695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7695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6D3FDB" w:rsidRPr="00C7695D" w:rsidRDefault="006D3FDB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6D3FDB" w:rsidRPr="00C7695D" w:rsidRDefault="006D3F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6D3FDB" w:rsidRPr="00C7695D" w:rsidRDefault="006D3FD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C769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65688" w:rsidRPr="00C7695D" w:rsidTr="006F08C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B65688" w:rsidP="00B656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7695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7695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65688" w:rsidRPr="00C7695D" w:rsidRDefault="00B65688" w:rsidP="00B6568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5688" w:rsidRPr="00C7695D" w:rsidTr="006F08C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B65688" w:rsidP="00B656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5688" w:rsidRPr="00C7695D" w:rsidRDefault="00B65688" w:rsidP="00B6568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B65688" w:rsidRPr="00C7695D" w:rsidRDefault="00B65688" w:rsidP="00B6568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7695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7695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65688" w:rsidRPr="00C7695D" w:rsidTr="006F08C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B65688" w:rsidP="00B6568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7695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65688" w:rsidRPr="00C7695D" w:rsidRDefault="00B65688" w:rsidP="00B656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B65688" w:rsidP="00B6568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7695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B65688" w:rsidRPr="00C7695D" w:rsidRDefault="00B65688" w:rsidP="00B656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65688" w:rsidRPr="00C7695D" w:rsidRDefault="00B65688" w:rsidP="00B656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B65688" w:rsidRPr="00C7695D" w:rsidRDefault="00B65688" w:rsidP="00B656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65688" w:rsidRPr="00C7695D" w:rsidRDefault="00B65688" w:rsidP="00B656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65688" w:rsidRPr="00C7695D" w:rsidRDefault="00B65688" w:rsidP="00B6568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B65688" w:rsidRPr="00C7695D" w:rsidRDefault="00B65688" w:rsidP="00B6568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65688" w:rsidRPr="00C7695D" w:rsidTr="006F08C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B65688" w:rsidP="00B6568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7695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B65688" w:rsidRPr="00C7695D" w:rsidRDefault="00B65688" w:rsidP="00B6568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65688" w:rsidRPr="00C7695D" w:rsidTr="006F08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B65688" w:rsidP="00B656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C7695D" w:rsidP="00B656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</w:rPr>
              <w:t>Ilanthalir S</w:t>
            </w:r>
          </w:p>
        </w:tc>
      </w:tr>
      <w:tr w:rsidR="00B65688" w:rsidRPr="00C7695D" w:rsidTr="006F08C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B65688" w:rsidP="00B6568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5688" w:rsidRPr="00C7695D" w:rsidRDefault="00C7695D" w:rsidP="00C7695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Pgp College Of Pharmaceutical Science A</w:t>
            </w: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 Research Institute, </w:t>
            </w:r>
            <w:r w:rsidRPr="00C7695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B65688" w:rsidRPr="00C7695D" w:rsidRDefault="00B65688" w:rsidP="00B65688">
      <w:pPr>
        <w:rPr>
          <w:rFonts w:ascii="Arial" w:hAnsi="Arial" w:cs="Arial"/>
          <w:sz w:val="20"/>
          <w:szCs w:val="20"/>
        </w:rPr>
      </w:pPr>
    </w:p>
    <w:bookmarkEnd w:id="0"/>
    <w:p w:rsidR="00F1171E" w:rsidRPr="00C7695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C7695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9E" w:rsidRPr="0000007A" w:rsidRDefault="00872E9E" w:rsidP="0099583E">
      <w:r>
        <w:separator/>
      </w:r>
    </w:p>
  </w:endnote>
  <w:endnote w:type="continuationSeparator" w:id="0">
    <w:p w:rsidR="00872E9E" w:rsidRPr="0000007A" w:rsidRDefault="00872E9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9E" w:rsidRPr="0000007A" w:rsidRDefault="00872E9E" w:rsidP="0099583E">
      <w:r>
        <w:separator/>
      </w:r>
    </w:p>
  </w:footnote>
  <w:footnote w:type="continuationSeparator" w:id="0">
    <w:p w:rsidR="00872E9E" w:rsidRPr="0000007A" w:rsidRDefault="00872E9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0B3F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0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47F9A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FDB"/>
    <w:rsid w:val="006D467C"/>
    <w:rsid w:val="006E01EE"/>
    <w:rsid w:val="006E6014"/>
    <w:rsid w:val="006E7D6E"/>
    <w:rsid w:val="006F2995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6241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2E9E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42EC"/>
    <w:rsid w:val="008E5067"/>
    <w:rsid w:val="008F036B"/>
    <w:rsid w:val="008F36E4"/>
    <w:rsid w:val="0090720F"/>
    <w:rsid w:val="0091410B"/>
    <w:rsid w:val="0091612D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5688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2992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695D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550E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6696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25ED9"/>
  <w15:docId w15:val="{9083B34F-517D-4EE4-8267-2A450CB9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F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47F9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108</cp:revision>
  <dcterms:created xsi:type="dcterms:W3CDTF">2023-08-30T09:21:00Z</dcterms:created>
  <dcterms:modified xsi:type="dcterms:W3CDTF">2025-03-25T08:48:00Z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