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DD19DA" w14:paraId="1643A4CA" w14:textId="77777777" w:rsidTr="00DD19DA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D19D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D19DA" w14:paraId="127EAD7E" w14:textId="77777777" w:rsidTr="00DD19DA">
        <w:trPr>
          <w:trHeight w:val="413"/>
        </w:trPr>
        <w:tc>
          <w:tcPr>
            <w:tcW w:w="1250" w:type="pct"/>
          </w:tcPr>
          <w:p w14:paraId="3C159AA5" w14:textId="77777777" w:rsidR="0000007A" w:rsidRPr="00DD19D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D19D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D19D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8A545E0" w:rsidR="0000007A" w:rsidRPr="00DD19DA" w:rsidRDefault="006D5A4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5E2597" w:rsidRPr="00DD19D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Geography, Earth Science and Environment: Research Highlights</w:t>
              </w:r>
            </w:hyperlink>
          </w:p>
        </w:tc>
      </w:tr>
      <w:tr w:rsidR="0000007A" w:rsidRPr="00DD19DA" w14:paraId="73C90375" w14:textId="77777777" w:rsidTr="00DD19DA">
        <w:trPr>
          <w:trHeight w:val="290"/>
        </w:trPr>
        <w:tc>
          <w:tcPr>
            <w:tcW w:w="1250" w:type="pct"/>
          </w:tcPr>
          <w:p w14:paraId="20D28135" w14:textId="77777777" w:rsidR="0000007A" w:rsidRPr="00DD19D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D19D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5EC8A4F" w:rsidR="0000007A" w:rsidRPr="00DD19D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D19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D19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D19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E2597" w:rsidRPr="00DD19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4632</w:t>
            </w:r>
          </w:p>
        </w:tc>
      </w:tr>
      <w:tr w:rsidR="0000007A" w:rsidRPr="00DD19DA" w14:paraId="05B60576" w14:textId="77777777" w:rsidTr="00DD19DA">
        <w:trPr>
          <w:trHeight w:val="331"/>
        </w:trPr>
        <w:tc>
          <w:tcPr>
            <w:tcW w:w="1250" w:type="pct"/>
          </w:tcPr>
          <w:p w14:paraId="0196A627" w14:textId="77777777" w:rsidR="0000007A" w:rsidRPr="00DD19D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D19D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985F216" w:rsidR="0000007A" w:rsidRPr="00DD19DA" w:rsidRDefault="005E259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D19DA">
              <w:rPr>
                <w:rFonts w:ascii="Arial" w:hAnsi="Arial" w:cs="Arial"/>
                <w:b/>
                <w:sz w:val="20"/>
                <w:szCs w:val="20"/>
                <w:lang w:val="en-GB"/>
              </w:rPr>
              <w:t>Forecasting Installation Capacity for the Top 10 Countries Utilizing Geothermal Energy by 2030</w:t>
            </w:r>
          </w:p>
        </w:tc>
      </w:tr>
      <w:tr w:rsidR="00CF0BBB" w:rsidRPr="00DD19DA" w14:paraId="6D508B1C" w14:textId="77777777" w:rsidTr="00DD19DA">
        <w:trPr>
          <w:trHeight w:val="332"/>
        </w:trPr>
        <w:tc>
          <w:tcPr>
            <w:tcW w:w="1250" w:type="pct"/>
          </w:tcPr>
          <w:p w14:paraId="32FC28F7" w14:textId="77777777" w:rsidR="00CF0BBB" w:rsidRPr="00DD19D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D19D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977832F" w:rsidR="00CF0BBB" w:rsidRPr="00DD19DA" w:rsidRDefault="005E259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D19D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DD19D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DD19DA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DD19DA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DD19DA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DD19DA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DD19D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D19D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DD19D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DD19D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DD19D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DD19DA" w:rsidRDefault="006D5A4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D19D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5A554837" w:rsidR="00E03C32" w:rsidRDefault="005E2597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5E259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Thermo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5E259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334–351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2022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503FF238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5E2597" w:rsidRPr="005E259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="005E2597" w:rsidRPr="00D76385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https://doi.org/10.3390/thermo2040023</w:t>
                    </w:r>
                  </w:hyperlink>
                  <w:r w:rsidR="005E259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DD19DA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DD19D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D19D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D19D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D19DA">
              <w:rPr>
                <w:rFonts w:ascii="Arial" w:hAnsi="Arial" w:cs="Arial"/>
                <w:highlight w:val="yellow"/>
                <w:lang w:val="en-GB"/>
              </w:rPr>
              <w:lastRenderedPageBreak/>
              <w:t>PART  1:</w:t>
            </w:r>
            <w:r w:rsidRPr="00DD19D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D19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D19D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DD19D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DD19D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D19D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DD19D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9D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DD19D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DD19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D19DA">
              <w:rPr>
                <w:rFonts w:ascii="Arial" w:hAnsi="Arial" w:cs="Arial"/>
                <w:lang w:val="en-GB"/>
              </w:rPr>
              <w:t>Author’s Feedback</w:t>
            </w:r>
            <w:r w:rsidRPr="00DD19D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D19D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D19DA" w14:paraId="5C0AB4EC" w14:textId="77777777" w:rsidTr="0024471D">
        <w:trPr>
          <w:trHeight w:val="916"/>
        </w:trPr>
        <w:tc>
          <w:tcPr>
            <w:tcW w:w="1265" w:type="pct"/>
            <w:noWrap/>
          </w:tcPr>
          <w:p w14:paraId="3373D4EF" w14:textId="3BFB29CF" w:rsidR="00F1171E" w:rsidRPr="00DD19DA" w:rsidRDefault="00F1171E" w:rsidP="0024471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19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12" w:type="pct"/>
          </w:tcPr>
          <w:p w14:paraId="7DBC9196" w14:textId="5DA23D64" w:rsidR="00F1171E" w:rsidRPr="00DD19DA" w:rsidRDefault="00815823" w:rsidP="0081582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D19DA">
              <w:rPr>
                <w:rFonts w:ascii="Arial" w:hAnsi="Arial" w:cs="Arial"/>
                <w:color w:val="FF0000"/>
                <w:sz w:val="20"/>
                <w:szCs w:val="20"/>
              </w:rPr>
              <w:t xml:space="preserve">This work is essential for the scientific community, as it provides decision-makers with a solid analytical basis for guiding energy policies and optimizing the development of geothermal energy worldwide. It is also a valuable reference for researchers wishing to delve deeper into methods for forecasting installation capacities and their impact on the energy transition. </w:t>
            </w:r>
          </w:p>
        </w:tc>
        <w:tc>
          <w:tcPr>
            <w:tcW w:w="1523" w:type="pct"/>
          </w:tcPr>
          <w:p w14:paraId="462A339C" w14:textId="77777777" w:rsidR="00F1171E" w:rsidRPr="00DD19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US"/>
              </w:rPr>
            </w:pPr>
          </w:p>
        </w:tc>
      </w:tr>
      <w:tr w:rsidR="00F1171E" w:rsidRPr="00DD19DA" w14:paraId="0D8B5B2C" w14:textId="77777777" w:rsidTr="0024471D">
        <w:trPr>
          <w:trHeight w:val="338"/>
        </w:trPr>
        <w:tc>
          <w:tcPr>
            <w:tcW w:w="1265" w:type="pct"/>
            <w:noWrap/>
          </w:tcPr>
          <w:p w14:paraId="21CBA5FE" w14:textId="77777777" w:rsidR="00F1171E" w:rsidRPr="00DD19D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19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56F2CEFA" w:rsidR="00F1171E" w:rsidRPr="00DD19DA" w:rsidRDefault="00F1171E" w:rsidP="0024471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19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2" w:type="pct"/>
          </w:tcPr>
          <w:p w14:paraId="4B22B29C" w14:textId="77777777" w:rsidR="00A51152" w:rsidRPr="00DD19DA" w:rsidRDefault="00A51152" w:rsidP="003E61F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D19DA">
              <w:rPr>
                <w:rFonts w:ascii="Arial" w:hAnsi="Arial" w:cs="Arial"/>
                <w:color w:val="FF0000"/>
                <w:sz w:val="20"/>
                <w:szCs w:val="20"/>
              </w:rPr>
              <w:t>The study's title can be rephrased as follows:</w:t>
            </w:r>
          </w:p>
          <w:p w14:paraId="794AA9A7" w14:textId="0B9AC275" w:rsidR="00DE4A5D" w:rsidRPr="00DD19DA" w:rsidRDefault="00CC3CAE" w:rsidP="003E61F3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D19DA">
              <w:rPr>
                <w:rFonts w:ascii="Arial" w:hAnsi="Arial" w:cs="Arial"/>
                <w:color w:val="FF0000"/>
                <w:sz w:val="20"/>
                <w:szCs w:val="20"/>
              </w:rPr>
              <w:t xml:space="preserve">Forecasting geothermal installation capacity worldwide to 2030: </w:t>
            </w:r>
            <w:r w:rsidR="0024471D" w:rsidRPr="00DD19DA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DD19DA">
              <w:rPr>
                <w:rFonts w:ascii="Arial" w:hAnsi="Arial" w:cs="Arial"/>
                <w:color w:val="FF0000"/>
                <w:sz w:val="20"/>
                <w:szCs w:val="20"/>
              </w:rPr>
              <w:t>pplication of an improved grey prediction model to the top 10 user countries.</w:t>
            </w:r>
          </w:p>
        </w:tc>
        <w:tc>
          <w:tcPr>
            <w:tcW w:w="1523" w:type="pct"/>
          </w:tcPr>
          <w:p w14:paraId="405B6701" w14:textId="77777777" w:rsidR="00F1171E" w:rsidRPr="00DD19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US"/>
              </w:rPr>
            </w:pPr>
          </w:p>
        </w:tc>
      </w:tr>
      <w:tr w:rsidR="00F1171E" w:rsidRPr="00DD19DA" w14:paraId="5604762A" w14:textId="77777777" w:rsidTr="0024471D">
        <w:trPr>
          <w:trHeight w:val="641"/>
        </w:trPr>
        <w:tc>
          <w:tcPr>
            <w:tcW w:w="1265" w:type="pct"/>
            <w:noWrap/>
          </w:tcPr>
          <w:p w14:paraId="3760981A" w14:textId="4AE159B1" w:rsidR="00F1171E" w:rsidRPr="00DD19DA" w:rsidRDefault="00F1171E" w:rsidP="0024471D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D19D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2" w:type="pct"/>
          </w:tcPr>
          <w:p w14:paraId="0FB7E83A" w14:textId="1B42A254" w:rsidR="00637B12" w:rsidRPr="00DD19DA" w:rsidRDefault="00637B12" w:rsidP="00A5115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D19DA">
              <w:rPr>
                <w:rFonts w:ascii="Arial" w:hAnsi="Arial" w:cs="Arial"/>
                <w:color w:val="FF0000"/>
                <w:sz w:val="20"/>
                <w:szCs w:val="20"/>
              </w:rPr>
              <w:t xml:space="preserve">The authors are encouraged to include meaningful quantitative results, such as the mean error between the </w:t>
            </w:r>
            <w:proofErr w:type="gramStart"/>
            <w:r w:rsidRPr="00DD19DA">
              <w:rPr>
                <w:rFonts w:ascii="Arial" w:hAnsi="Arial" w:cs="Arial"/>
                <w:color w:val="FF0000"/>
                <w:sz w:val="20"/>
                <w:szCs w:val="20"/>
              </w:rPr>
              <w:t>IGM(</w:t>
            </w:r>
            <w:proofErr w:type="gramEnd"/>
            <w:r w:rsidRPr="00DD19DA">
              <w:rPr>
                <w:rFonts w:ascii="Arial" w:hAnsi="Arial" w:cs="Arial"/>
                <w:color w:val="FF0000"/>
                <w:sz w:val="20"/>
                <w:szCs w:val="20"/>
              </w:rPr>
              <w:t>1,1) and GM(1,1) models compared with actual data from 2022 and 2023, rather than a simple qualitative analysis. In addition, they should present predictions for the year 2030, as mentioned in the conclusion.</w:t>
            </w:r>
          </w:p>
        </w:tc>
        <w:tc>
          <w:tcPr>
            <w:tcW w:w="1523" w:type="pct"/>
          </w:tcPr>
          <w:p w14:paraId="1D54B730" w14:textId="77777777" w:rsidR="00F1171E" w:rsidRPr="00DD19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US"/>
              </w:rPr>
            </w:pPr>
          </w:p>
        </w:tc>
      </w:tr>
      <w:tr w:rsidR="00F1171E" w:rsidRPr="00DD19DA" w14:paraId="2F579F54" w14:textId="77777777" w:rsidTr="0024471D">
        <w:trPr>
          <w:trHeight w:val="503"/>
        </w:trPr>
        <w:tc>
          <w:tcPr>
            <w:tcW w:w="1265" w:type="pct"/>
            <w:noWrap/>
          </w:tcPr>
          <w:p w14:paraId="04361F46" w14:textId="368783AB" w:rsidR="00F1171E" w:rsidRPr="00DD19D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D19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03C51B1" w:rsidR="00F1171E" w:rsidRPr="00DD19DA" w:rsidRDefault="00637B12" w:rsidP="007222C8">
            <w:pPr>
              <w:pStyle w:val="ListParagraph"/>
              <w:ind w:left="0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DD19DA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Is correct</w:t>
            </w:r>
          </w:p>
        </w:tc>
        <w:tc>
          <w:tcPr>
            <w:tcW w:w="1523" w:type="pct"/>
          </w:tcPr>
          <w:p w14:paraId="4898F764" w14:textId="77777777" w:rsidR="00F1171E" w:rsidRPr="00DD19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D19D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2F87C0B4" w:rsidR="00F1171E" w:rsidRPr="00DD19DA" w:rsidRDefault="00F1171E" w:rsidP="00CC3CA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D19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32C5EB0A" w14:textId="2F51CF5A" w:rsidR="008016F4" w:rsidRPr="00DD19DA" w:rsidRDefault="006D5A4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hyperlink r:id="rId9" w:history="1">
              <w:r w:rsidR="008016F4" w:rsidRPr="00DD19D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en-GB"/>
                </w:rPr>
                <w:t>https://doi.org/10.1016/j.geothermics.2015.11.003</w:t>
              </w:r>
            </w:hyperlink>
          </w:p>
          <w:p w14:paraId="28EB1DE3" w14:textId="3AD3E517" w:rsidR="008016F4" w:rsidRPr="00DD19DA" w:rsidRDefault="006D5A4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hyperlink r:id="rId10" w:history="1">
              <w:r w:rsidR="008016F4" w:rsidRPr="00DD19D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en-GB"/>
                </w:rPr>
                <w:t>https://doi.org/10.1016/j.geothermics.2019.06.008</w:t>
              </w:r>
            </w:hyperlink>
          </w:p>
          <w:p w14:paraId="1029C7CB" w14:textId="0920B742" w:rsidR="008016F4" w:rsidRPr="00DD19DA" w:rsidRDefault="006D5A4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hyperlink r:id="rId11" w:history="1">
              <w:r w:rsidR="008016F4" w:rsidRPr="00DD19D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en-GB"/>
                </w:rPr>
                <w:t>https://doi.org/10.1016/j.jclepro.2020.121874</w:t>
              </w:r>
            </w:hyperlink>
          </w:p>
          <w:p w14:paraId="2FC7C710" w14:textId="0E3C40DE" w:rsidR="008016F4" w:rsidRPr="00DD19DA" w:rsidRDefault="006D5A4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hyperlink r:id="rId12" w:history="1">
              <w:r w:rsidR="008016F4" w:rsidRPr="00DD19D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en-GB"/>
                </w:rPr>
                <w:t>https://doi.org/10.1016/j.geothermics.2011.10.001</w:t>
              </w:r>
            </w:hyperlink>
          </w:p>
          <w:p w14:paraId="7E4D274F" w14:textId="224A7849" w:rsidR="008016F4" w:rsidRPr="00DD19DA" w:rsidRDefault="006D5A4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hyperlink r:id="rId13" w:history="1">
              <w:r w:rsidR="008016F4" w:rsidRPr="00DD19D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en-GB"/>
                </w:rPr>
                <w:t>https://doi.org/10.1016/j.geothermics.2024.102924</w:t>
              </w:r>
            </w:hyperlink>
          </w:p>
          <w:p w14:paraId="24FE0567" w14:textId="3D0508C2" w:rsidR="008016F4" w:rsidRPr="00DD19DA" w:rsidRDefault="006D5A44" w:rsidP="008016F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hyperlink r:id="rId14" w:history="1">
              <w:r w:rsidR="008016F4" w:rsidRPr="00DD19D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en-GB"/>
                </w:rPr>
                <w:t>https://doi.org/10.3390/su16124964</w:t>
              </w:r>
            </w:hyperlink>
          </w:p>
        </w:tc>
        <w:tc>
          <w:tcPr>
            <w:tcW w:w="1523" w:type="pct"/>
          </w:tcPr>
          <w:p w14:paraId="40220055" w14:textId="77777777" w:rsidR="00F1171E" w:rsidRPr="00DD19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D19D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7722B85E" w14:textId="58B5E7F1" w:rsidR="00F1171E" w:rsidRPr="00DD19DA" w:rsidRDefault="00F1171E" w:rsidP="0024471D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D19D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2" w:type="pct"/>
          </w:tcPr>
          <w:p w14:paraId="149A6CEF" w14:textId="558FEC21" w:rsidR="00F1171E" w:rsidRPr="00DD19DA" w:rsidRDefault="00CC3CAE" w:rsidP="007222C8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DD19DA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Good</w:t>
            </w:r>
          </w:p>
        </w:tc>
        <w:tc>
          <w:tcPr>
            <w:tcW w:w="1523" w:type="pct"/>
          </w:tcPr>
          <w:p w14:paraId="0351CA58" w14:textId="77777777" w:rsidR="00F1171E" w:rsidRPr="00DD19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D19D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DD19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D19D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D19D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D19D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D19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D1FFE8D" w14:textId="37D695EB" w:rsidR="007B0E22" w:rsidRPr="00DD19DA" w:rsidRDefault="007B0E22" w:rsidP="007B0E22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D19DA">
              <w:rPr>
                <w:rFonts w:ascii="Arial" w:hAnsi="Arial" w:cs="Arial"/>
                <w:bCs/>
                <w:color w:val="FF0000"/>
                <w:sz w:val="20"/>
                <w:szCs w:val="20"/>
              </w:rPr>
              <w:t>1.</w:t>
            </w:r>
            <w:r w:rsidR="00E151C2" w:rsidRPr="00DD19DA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 w:rsidRPr="00DD19DA">
              <w:rPr>
                <w:rFonts w:ascii="Arial" w:hAnsi="Arial" w:cs="Arial"/>
                <w:bCs/>
                <w:color w:val="FF0000"/>
                <w:sz w:val="20"/>
                <w:szCs w:val="20"/>
              </w:rPr>
              <w:t>Abstract. It is suggested to add important quantitative data.</w:t>
            </w:r>
          </w:p>
          <w:p w14:paraId="1E347C61" w14:textId="709FEAD2" w:rsidR="00F1171E" w:rsidRPr="00DD19DA" w:rsidRDefault="007B0E22" w:rsidP="007B0E22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D19DA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2. Introduction. Some references in the text (such as [1-5]; </w:t>
            </w:r>
            <w:r w:rsidR="00E151C2" w:rsidRPr="00DD19DA">
              <w:rPr>
                <w:rFonts w:ascii="Arial" w:hAnsi="Arial" w:cs="Arial"/>
                <w:bCs/>
                <w:color w:val="FF0000"/>
                <w:sz w:val="20"/>
                <w:szCs w:val="20"/>
              </w:rPr>
              <w:t>[6-10]; [17,18]; and [19-23]</w:t>
            </w:r>
            <w:r w:rsidRPr="00DD19DA">
              <w:rPr>
                <w:rFonts w:ascii="Arial" w:hAnsi="Arial" w:cs="Arial"/>
                <w:bCs/>
                <w:color w:val="FF0000"/>
                <w:sz w:val="20"/>
                <w:szCs w:val="20"/>
              </w:rPr>
              <w:t>) are too brief. Please introduce the main contributions of these references, rather than simply citing them in such a straightforward manner.</w:t>
            </w:r>
          </w:p>
          <w:p w14:paraId="69A0CF9B" w14:textId="038E338C" w:rsidR="00E151C2" w:rsidRPr="00DD19DA" w:rsidRDefault="00E151C2" w:rsidP="007B0E22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D19DA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3. </w:t>
            </w:r>
            <w:r w:rsidR="00C95622" w:rsidRPr="00DD19DA">
              <w:rPr>
                <w:rFonts w:ascii="Arial" w:hAnsi="Arial" w:cs="Arial"/>
                <w:bCs/>
                <w:color w:val="FF0000"/>
                <w:sz w:val="20"/>
                <w:szCs w:val="20"/>
              </w:rPr>
              <w:t>In the state of the art (section 3 of the introduction), specify the prediction methods used by the authors of the latter.</w:t>
            </w:r>
          </w:p>
          <w:p w14:paraId="133A59BC" w14:textId="594903B0" w:rsidR="00C95622" w:rsidRPr="00DD19DA" w:rsidRDefault="007F2FEF" w:rsidP="00C95622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D19DA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4. </w:t>
            </w:r>
            <w:r w:rsidR="00C95622" w:rsidRPr="00DD19DA">
              <w:rPr>
                <w:rFonts w:ascii="Arial" w:hAnsi="Arial" w:cs="Arial"/>
                <w:bCs/>
                <w:color w:val="FF0000"/>
                <w:sz w:val="20"/>
                <w:szCs w:val="20"/>
              </w:rPr>
              <w:t>Results and discussions. Commented on figures 3(a)-(j); what explains the peaks observed on the IGM(1,1) model between 2000 and 2002 in figures 3(a), (b), (d)-(g), (</w:t>
            </w:r>
            <w:proofErr w:type="spellStart"/>
            <w:r w:rsidR="00C95622" w:rsidRPr="00DD19DA">
              <w:rPr>
                <w:rFonts w:ascii="Arial" w:hAnsi="Arial" w:cs="Arial"/>
                <w:bCs/>
                <w:color w:val="FF0000"/>
                <w:sz w:val="20"/>
                <w:szCs w:val="20"/>
              </w:rPr>
              <w:t>i</w:t>
            </w:r>
            <w:proofErr w:type="spellEnd"/>
            <w:r w:rsidR="00C95622" w:rsidRPr="00DD19DA">
              <w:rPr>
                <w:rFonts w:ascii="Arial" w:hAnsi="Arial" w:cs="Arial"/>
                <w:bCs/>
                <w:color w:val="FF0000"/>
                <w:sz w:val="20"/>
                <w:szCs w:val="20"/>
              </w:rPr>
              <w:t>), and (j); the authors should include the results of the GM(1,1) model on the same graphs as those of the IGM(1,1) model in order to facilitate a better comparison; the authors should validate the prediction results of the IGM(1,1) model for the years 2022 and 2023 by comparing them with the actual data available in reference [10], in order to reinforce the reliability of their model.</w:t>
            </w:r>
          </w:p>
          <w:p w14:paraId="45F35644" w14:textId="3338710E" w:rsidR="00801B70" w:rsidRPr="00DD19DA" w:rsidRDefault="00C3429B" w:rsidP="007B0E22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D19DA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5. </w:t>
            </w:r>
            <w:r w:rsidR="008016F4" w:rsidRPr="00DD19DA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It is recommended that the authors extend the predictions to 2040, or even 2050, in order to broaden the scope of the </w:t>
            </w:r>
            <w:proofErr w:type="gramStart"/>
            <w:r w:rsidR="008016F4" w:rsidRPr="00DD19DA">
              <w:rPr>
                <w:rFonts w:ascii="Arial" w:hAnsi="Arial" w:cs="Arial"/>
                <w:bCs/>
                <w:color w:val="FF0000"/>
                <w:sz w:val="20"/>
                <w:szCs w:val="20"/>
              </w:rPr>
              <w:t>study.</w:t>
            </w:r>
            <w:r w:rsidRPr="00DD19DA">
              <w:rPr>
                <w:rFonts w:ascii="Arial" w:hAnsi="Arial" w:cs="Arial"/>
                <w:bCs/>
                <w:color w:val="FF0000"/>
                <w:sz w:val="20"/>
                <w:szCs w:val="20"/>
              </w:rPr>
              <w:t>.</w:t>
            </w:r>
            <w:proofErr w:type="gramEnd"/>
          </w:p>
          <w:p w14:paraId="15DFD0E8" w14:textId="2CFF7E14" w:rsidR="00E151C2" w:rsidRPr="00DD19DA" w:rsidRDefault="00C3429B" w:rsidP="007222C8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DD19DA">
              <w:rPr>
                <w:rFonts w:ascii="Arial" w:hAnsi="Arial" w:cs="Arial"/>
                <w:bCs/>
                <w:color w:val="FF0000"/>
                <w:sz w:val="20"/>
                <w:szCs w:val="20"/>
              </w:rPr>
              <w:t>6</w:t>
            </w:r>
            <w:r w:rsidR="00E151C2" w:rsidRPr="00DD19DA">
              <w:rPr>
                <w:rFonts w:ascii="Arial" w:hAnsi="Arial" w:cs="Arial"/>
                <w:bCs/>
                <w:color w:val="FF0000"/>
                <w:sz w:val="20"/>
                <w:szCs w:val="20"/>
              </w:rPr>
              <w:t>. The authors should discuss the shortcomings and limitations of this paper.</w:t>
            </w:r>
          </w:p>
        </w:tc>
        <w:tc>
          <w:tcPr>
            <w:tcW w:w="1523" w:type="pct"/>
          </w:tcPr>
          <w:p w14:paraId="465E098E" w14:textId="77777777" w:rsidR="00F1171E" w:rsidRPr="00DD19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DDFB0AF" w14:textId="77777777" w:rsidR="00A90D89" w:rsidRPr="00DD19DA" w:rsidRDefault="00A90D89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937150" w:rsidRPr="00DD19DA" w14:paraId="3F98F86F" w14:textId="77777777" w:rsidTr="00F45F2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BF56A" w14:textId="77777777" w:rsidR="00937150" w:rsidRPr="00DD19DA" w:rsidRDefault="00937150" w:rsidP="0093715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DD19D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D19D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992CB95" w14:textId="77777777" w:rsidR="00937150" w:rsidRPr="00DD19DA" w:rsidRDefault="00937150" w:rsidP="0093715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37150" w:rsidRPr="00DD19DA" w14:paraId="64A6449F" w14:textId="77777777" w:rsidTr="00F45F2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F83FA" w14:textId="77777777" w:rsidR="00937150" w:rsidRPr="00DD19DA" w:rsidRDefault="00937150" w:rsidP="0093715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6FCDD" w14:textId="77777777" w:rsidR="00937150" w:rsidRPr="00DD19DA" w:rsidRDefault="00937150" w:rsidP="0093715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D19D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764F8B77" w14:textId="77777777" w:rsidR="00937150" w:rsidRPr="00DD19DA" w:rsidRDefault="00937150" w:rsidP="0093715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D19D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D19D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D19D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37150" w:rsidRPr="00DD19DA" w14:paraId="7ABEF135" w14:textId="77777777" w:rsidTr="00F45F2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37348" w14:textId="77777777" w:rsidR="00937150" w:rsidRPr="00DD19DA" w:rsidRDefault="00937150" w:rsidP="0093715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D19D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E8A8418" w14:textId="77777777" w:rsidR="00937150" w:rsidRPr="00DD19DA" w:rsidRDefault="00937150" w:rsidP="0093715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A7EFC" w14:textId="77777777" w:rsidR="00937150" w:rsidRPr="00DD19DA" w:rsidRDefault="00937150" w:rsidP="0093715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D19D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D19D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D19D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EE66389" w14:textId="77777777" w:rsidR="00937150" w:rsidRPr="00DD19DA" w:rsidRDefault="00937150" w:rsidP="0093715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7855E61" w14:textId="77777777" w:rsidR="00937150" w:rsidRPr="00DD19DA" w:rsidRDefault="00937150" w:rsidP="0093715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2828062" w14:textId="77777777" w:rsidR="00937150" w:rsidRPr="00DD19DA" w:rsidRDefault="00937150" w:rsidP="0093715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38424F1" w14:textId="77777777" w:rsidR="00937150" w:rsidRPr="00DD19DA" w:rsidRDefault="00937150" w:rsidP="0093715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F89F669" w14:textId="77777777" w:rsidR="00937150" w:rsidRPr="00DD19DA" w:rsidRDefault="00937150" w:rsidP="0093715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0A388102" w14:textId="77777777" w:rsidR="00937150" w:rsidRPr="00DD19DA" w:rsidRDefault="00937150" w:rsidP="00937150">
      <w:pPr>
        <w:rPr>
          <w:rFonts w:ascii="Arial" w:hAnsi="Arial" w:cs="Arial"/>
          <w:sz w:val="20"/>
          <w:szCs w:val="20"/>
        </w:rPr>
      </w:pPr>
    </w:p>
    <w:p w14:paraId="34B9DBDB" w14:textId="77777777" w:rsidR="00937150" w:rsidRPr="00DD19DA" w:rsidRDefault="00937150" w:rsidP="00937150">
      <w:pPr>
        <w:rPr>
          <w:rFonts w:ascii="Arial" w:hAnsi="Arial" w:cs="Arial"/>
          <w:sz w:val="20"/>
          <w:szCs w:val="20"/>
        </w:rPr>
      </w:pPr>
    </w:p>
    <w:p w14:paraId="593427E4" w14:textId="77777777" w:rsidR="00937150" w:rsidRPr="00DD19DA" w:rsidRDefault="00937150" w:rsidP="00937150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1985B9FA" w14:textId="77777777" w:rsidR="00B9563B" w:rsidRDefault="00B9563B" w:rsidP="00B9563B">
      <w:pPr>
        <w:rPr>
          <w:rFonts w:ascii="Arial" w:hAnsi="Arial" w:cs="Arial"/>
          <w:b/>
          <w:sz w:val="20"/>
          <w:szCs w:val="20"/>
          <w:u w:val="single"/>
        </w:rPr>
      </w:pPr>
    </w:p>
    <w:p w14:paraId="49B77DE5" w14:textId="0DEB5E1A" w:rsidR="00B9563B" w:rsidRPr="00B9563B" w:rsidRDefault="00B9563B" w:rsidP="00B9563B">
      <w:pPr>
        <w:rPr>
          <w:rFonts w:ascii="Arial" w:hAnsi="Arial" w:cs="Arial"/>
          <w:b/>
          <w:sz w:val="20"/>
          <w:szCs w:val="20"/>
          <w:u w:val="single"/>
        </w:rPr>
      </w:pPr>
      <w:bookmarkStart w:id="2" w:name="_GoBack"/>
      <w:bookmarkEnd w:id="2"/>
      <w:r w:rsidRPr="00B9563B">
        <w:rPr>
          <w:rFonts w:ascii="Arial" w:hAnsi="Arial" w:cs="Arial"/>
          <w:b/>
          <w:sz w:val="20"/>
          <w:szCs w:val="20"/>
          <w:u w:val="single"/>
        </w:rPr>
        <w:lastRenderedPageBreak/>
        <w:t>Reviewer details:</w:t>
      </w:r>
    </w:p>
    <w:p w14:paraId="1F658798" w14:textId="77777777" w:rsidR="00B9563B" w:rsidRPr="00B9563B" w:rsidRDefault="00B9563B" w:rsidP="00B9563B">
      <w:pPr>
        <w:rPr>
          <w:rFonts w:ascii="Arial" w:hAnsi="Arial" w:cs="Arial"/>
          <w:b/>
          <w:sz w:val="20"/>
          <w:szCs w:val="20"/>
        </w:rPr>
      </w:pPr>
      <w:r w:rsidRPr="00B9563B">
        <w:rPr>
          <w:rFonts w:ascii="Arial" w:hAnsi="Arial" w:cs="Arial"/>
          <w:b/>
          <w:sz w:val="20"/>
          <w:szCs w:val="20"/>
        </w:rPr>
        <w:t xml:space="preserve">Nelson NGUEFACK LEKANE, </w:t>
      </w:r>
      <w:proofErr w:type="spellStart"/>
      <w:r w:rsidRPr="00B9563B">
        <w:rPr>
          <w:rFonts w:ascii="Arial" w:hAnsi="Arial" w:cs="Arial"/>
          <w:b/>
          <w:sz w:val="20"/>
          <w:szCs w:val="20"/>
        </w:rPr>
        <w:t>Uniserty</w:t>
      </w:r>
      <w:proofErr w:type="spellEnd"/>
      <w:r w:rsidRPr="00B9563B">
        <w:rPr>
          <w:rFonts w:ascii="Arial" w:hAnsi="Arial" w:cs="Arial"/>
          <w:b/>
          <w:sz w:val="20"/>
          <w:szCs w:val="20"/>
        </w:rPr>
        <w:t xml:space="preserve"> of Douala, Cameroon</w:t>
      </w:r>
    </w:p>
    <w:p w14:paraId="40EB2CAC" w14:textId="77777777" w:rsidR="00937150" w:rsidRPr="00DD19DA" w:rsidRDefault="00937150" w:rsidP="00937150">
      <w:pPr>
        <w:rPr>
          <w:rFonts w:ascii="Arial" w:hAnsi="Arial" w:cs="Arial"/>
          <w:sz w:val="20"/>
          <w:szCs w:val="20"/>
        </w:rPr>
      </w:pPr>
    </w:p>
    <w:p w14:paraId="618DE16F" w14:textId="77777777" w:rsidR="00F1171E" w:rsidRPr="00DD19D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DD19DA" w:rsidSect="0017545C">
      <w:headerReference w:type="default" r:id="rId15"/>
      <w:footerReference w:type="default" r:id="rId16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4C6E9" w14:textId="77777777" w:rsidR="006D5A44" w:rsidRPr="0000007A" w:rsidRDefault="006D5A44" w:rsidP="0099583E">
      <w:r>
        <w:separator/>
      </w:r>
    </w:p>
  </w:endnote>
  <w:endnote w:type="continuationSeparator" w:id="0">
    <w:p w14:paraId="29380D81" w14:textId="77777777" w:rsidR="006D5A44" w:rsidRPr="0000007A" w:rsidRDefault="006D5A4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915D8" w14:textId="77777777" w:rsidR="006D5A44" w:rsidRPr="0000007A" w:rsidRDefault="006D5A44" w:rsidP="0099583E">
      <w:r>
        <w:separator/>
      </w:r>
    </w:p>
  </w:footnote>
  <w:footnote w:type="continuationSeparator" w:id="0">
    <w:p w14:paraId="4041F689" w14:textId="77777777" w:rsidR="006D5A44" w:rsidRPr="0000007A" w:rsidRDefault="006D5A4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24A1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345D"/>
    <w:rsid w:val="000F6EA8"/>
    <w:rsid w:val="00101322"/>
    <w:rsid w:val="001153FD"/>
    <w:rsid w:val="00115767"/>
    <w:rsid w:val="00121FFA"/>
    <w:rsid w:val="0012616A"/>
    <w:rsid w:val="00136984"/>
    <w:rsid w:val="001425F1"/>
    <w:rsid w:val="00142A9C"/>
    <w:rsid w:val="00143F6F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B7B94"/>
    <w:rsid w:val="001C7F92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471D"/>
    <w:rsid w:val="00245E23"/>
    <w:rsid w:val="00246BB9"/>
    <w:rsid w:val="0025366D"/>
    <w:rsid w:val="0025366F"/>
    <w:rsid w:val="00256735"/>
    <w:rsid w:val="00257F9E"/>
    <w:rsid w:val="002607D2"/>
    <w:rsid w:val="00262634"/>
    <w:rsid w:val="002650C5"/>
    <w:rsid w:val="00275984"/>
    <w:rsid w:val="00280EC9"/>
    <w:rsid w:val="00282BEE"/>
    <w:rsid w:val="002859CC"/>
    <w:rsid w:val="00291D08"/>
    <w:rsid w:val="00293482"/>
    <w:rsid w:val="00293DA9"/>
    <w:rsid w:val="002A3D7C"/>
    <w:rsid w:val="002B0E4B"/>
    <w:rsid w:val="002B6F25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570DB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61F3"/>
    <w:rsid w:val="003E746A"/>
    <w:rsid w:val="00401C12"/>
    <w:rsid w:val="00421DBF"/>
    <w:rsid w:val="0042465A"/>
    <w:rsid w:val="00435B36"/>
    <w:rsid w:val="00442B24"/>
    <w:rsid w:val="004430CD"/>
    <w:rsid w:val="0044519B"/>
    <w:rsid w:val="00450FF7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E68DF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597"/>
    <w:rsid w:val="005E29CE"/>
    <w:rsid w:val="005E3241"/>
    <w:rsid w:val="005E7FB0"/>
    <w:rsid w:val="005F184C"/>
    <w:rsid w:val="00602F7D"/>
    <w:rsid w:val="00605952"/>
    <w:rsid w:val="00620677"/>
    <w:rsid w:val="00624032"/>
    <w:rsid w:val="00625936"/>
    <w:rsid w:val="00626025"/>
    <w:rsid w:val="006311A1"/>
    <w:rsid w:val="00637B12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3857"/>
    <w:rsid w:val="006C3797"/>
    <w:rsid w:val="006D467C"/>
    <w:rsid w:val="006D5A44"/>
    <w:rsid w:val="006E01EE"/>
    <w:rsid w:val="006E6014"/>
    <w:rsid w:val="006E7D6E"/>
    <w:rsid w:val="00700A1D"/>
    <w:rsid w:val="00700EF2"/>
    <w:rsid w:val="00701186"/>
    <w:rsid w:val="00707BE1"/>
    <w:rsid w:val="0071393F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0E6D"/>
    <w:rsid w:val="007A62F8"/>
    <w:rsid w:val="007B0E22"/>
    <w:rsid w:val="007B1099"/>
    <w:rsid w:val="007B54A4"/>
    <w:rsid w:val="007C6CDF"/>
    <w:rsid w:val="007D0246"/>
    <w:rsid w:val="007F2FEF"/>
    <w:rsid w:val="007F5873"/>
    <w:rsid w:val="008016F4"/>
    <w:rsid w:val="00801B70"/>
    <w:rsid w:val="008126B7"/>
    <w:rsid w:val="00815823"/>
    <w:rsid w:val="00815F94"/>
    <w:rsid w:val="008224E2"/>
    <w:rsid w:val="00825DC9"/>
    <w:rsid w:val="0082676D"/>
    <w:rsid w:val="008324FC"/>
    <w:rsid w:val="00844293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7150"/>
    <w:rsid w:val="00942DEE"/>
    <w:rsid w:val="00944F67"/>
    <w:rsid w:val="009553EC"/>
    <w:rsid w:val="00955E45"/>
    <w:rsid w:val="00962B70"/>
    <w:rsid w:val="009645C1"/>
    <w:rsid w:val="00967C62"/>
    <w:rsid w:val="00982766"/>
    <w:rsid w:val="009852C4"/>
    <w:rsid w:val="00991976"/>
    <w:rsid w:val="0099583E"/>
    <w:rsid w:val="009A0242"/>
    <w:rsid w:val="009A59ED"/>
    <w:rsid w:val="009B101F"/>
    <w:rsid w:val="009B239B"/>
    <w:rsid w:val="009C5642"/>
    <w:rsid w:val="009D068F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6B8C"/>
    <w:rsid w:val="00A31AAC"/>
    <w:rsid w:val="00A32905"/>
    <w:rsid w:val="00A36C95"/>
    <w:rsid w:val="00A37DE3"/>
    <w:rsid w:val="00A40B00"/>
    <w:rsid w:val="00A4787C"/>
    <w:rsid w:val="00A51152"/>
    <w:rsid w:val="00A51369"/>
    <w:rsid w:val="00A519D1"/>
    <w:rsid w:val="00A5303B"/>
    <w:rsid w:val="00A65C50"/>
    <w:rsid w:val="00A8290F"/>
    <w:rsid w:val="00A90D89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0DE9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563B"/>
    <w:rsid w:val="00BA1AB3"/>
    <w:rsid w:val="00BA55B7"/>
    <w:rsid w:val="00BA6421"/>
    <w:rsid w:val="00BB21AB"/>
    <w:rsid w:val="00BB4FEC"/>
    <w:rsid w:val="00BC402F"/>
    <w:rsid w:val="00BC5646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667"/>
    <w:rsid w:val="00C25C8F"/>
    <w:rsid w:val="00C263C6"/>
    <w:rsid w:val="00C268B8"/>
    <w:rsid w:val="00C3429B"/>
    <w:rsid w:val="00C435C6"/>
    <w:rsid w:val="00C635B6"/>
    <w:rsid w:val="00C70DFC"/>
    <w:rsid w:val="00C82466"/>
    <w:rsid w:val="00C84097"/>
    <w:rsid w:val="00C95622"/>
    <w:rsid w:val="00CA4B20"/>
    <w:rsid w:val="00CA7853"/>
    <w:rsid w:val="00CB429B"/>
    <w:rsid w:val="00CC2753"/>
    <w:rsid w:val="00CC3CAE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19DA"/>
    <w:rsid w:val="00DD274C"/>
    <w:rsid w:val="00DE4A5D"/>
    <w:rsid w:val="00DE7D30"/>
    <w:rsid w:val="00DF04E3"/>
    <w:rsid w:val="00E03349"/>
    <w:rsid w:val="00E03C32"/>
    <w:rsid w:val="00E151C2"/>
    <w:rsid w:val="00E3111A"/>
    <w:rsid w:val="00E451EA"/>
    <w:rsid w:val="00E55755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095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276C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5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E25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fontstyle01">
    <w:name w:val="fontstyle01"/>
    <w:basedOn w:val="DefaultParagraphFont"/>
    <w:rsid w:val="007B0E22"/>
    <w:rPr>
      <w:rFonts w:ascii="CIDFont+F2" w:hAnsi="CIDFont+F2" w:hint="default"/>
      <w:b w:val="0"/>
      <w:bCs w:val="0"/>
      <w:i w:val="0"/>
      <w:iCs w:val="0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thermo2040023" TargetMode="External"/><Relationship Id="rId13" Type="http://schemas.openxmlformats.org/officeDocument/2006/relationships/hyperlink" Target="https://doi.org/10.1016/j.geothermics.2024.10292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12" Type="http://schemas.openxmlformats.org/officeDocument/2006/relationships/hyperlink" Target="https://doi.org/10.1016/j.geothermics.2011.10.00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jclepro.2020.12187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i.org/10.1016/j.geothermics.2019.06.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geothermics.2015.11.003" TargetMode="External"/><Relationship Id="rId14" Type="http://schemas.openxmlformats.org/officeDocument/2006/relationships/hyperlink" Target="https://doi.org/10.3390/su161249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3</Pages>
  <Words>706</Words>
  <Characters>4027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4724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113</cp:revision>
  <dcterms:created xsi:type="dcterms:W3CDTF">2023-08-30T09:21:00Z</dcterms:created>
  <dcterms:modified xsi:type="dcterms:W3CDTF">2025-02-27T10:02:00Z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