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03AD6" w14:textId="77777777" w:rsidR="00251C8D" w:rsidRDefault="00251C8D">
      <w:pPr>
        <w:pStyle w:val="BodyText"/>
        <w:spacing w:before="5"/>
        <w:rPr>
          <w:sz w:val="13"/>
        </w:rPr>
      </w:pPr>
    </w:p>
    <w:p w14:paraId="43DDE41B" w14:textId="77777777" w:rsidR="00251C8D" w:rsidRDefault="00251C8D">
      <w:pPr>
        <w:pStyle w:val="BodyText"/>
        <w:spacing w:before="1"/>
        <w:rPr>
          <w:sz w:val="6"/>
        </w:rPr>
      </w:pPr>
    </w:p>
    <w:p w14:paraId="3284BAC6" w14:textId="77777777" w:rsidR="00251C8D" w:rsidRDefault="00251C8D">
      <w:pPr>
        <w:pStyle w:val="BodyText"/>
        <w:rPr>
          <w:sz w:val="6"/>
        </w:rPr>
        <w:sectPr w:rsidR="00251C8D">
          <w:headerReference w:type="even" r:id="rId7"/>
          <w:headerReference w:type="default" r:id="rId8"/>
          <w:footerReference w:type="even" r:id="rId9"/>
          <w:footerReference w:type="default" r:id="rId10"/>
          <w:headerReference w:type="first" r:id="rId11"/>
          <w:footerReference w:type="first" r:id="rId12"/>
          <w:type w:val="continuous"/>
          <w:pgSz w:w="11910" w:h="16840"/>
          <w:pgMar w:top="560" w:right="992" w:bottom="900" w:left="850" w:header="0" w:footer="712" w:gutter="0"/>
          <w:pgNumType w:start="1236"/>
          <w:cols w:space="720"/>
        </w:sectPr>
      </w:pPr>
    </w:p>
    <w:p w14:paraId="28FE050A" w14:textId="77777777" w:rsidR="00251C8D" w:rsidRDefault="00CA55ED">
      <w:pPr>
        <w:spacing w:before="161"/>
        <w:ind w:left="170"/>
        <w:rPr>
          <w:b/>
          <w:sz w:val="28"/>
        </w:rPr>
      </w:pPr>
      <w:r>
        <w:rPr>
          <w:b/>
          <w:color w:val="003195"/>
          <w:sz w:val="28"/>
        </w:rPr>
        <w:t>Original</w:t>
      </w:r>
      <w:r>
        <w:rPr>
          <w:b/>
          <w:color w:val="003195"/>
          <w:spacing w:val="-5"/>
          <w:sz w:val="28"/>
        </w:rPr>
        <w:t xml:space="preserve"> </w:t>
      </w:r>
      <w:r>
        <w:rPr>
          <w:b/>
          <w:color w:val="003195"/>
          <w:sz w:val="28"/>
        </w:rPr>
        <w:t>Research</w:t>
      </w:r>
      <w:r>
        <w:rPr>
          <w:b/>
          <w:color w:val="003195"/>
          <w:spacing w:val="-8"/>
          <w:sz w:val="28"/>
        </w:rPr>
        <w:t xml:space="preserve"> </w:t>
      </w:r>
      <w:r>
        <w:rPr>
          <w:b/>
          <w:color w:val="003195"/>
          <w:spacing w:val="-2"/>
          <w:sz w:val="28"/>
        </w:rPr>
        <w:t>Article</w:t>
      </w:r>
    </w:p>
    <w:p w14:paraId="34141292" w14:textId="77777777" w:rsidR="00251C8D" w:rsidRDefault="00CA55ED">
      <w:pPr>
        <w:pStyle w:val="BodyText"/>
        <w:spacing w:before="48"/>
        <w:ind w:left="170"/>
      </w:pPr>
      <w:r>
        <w:br w:type="column"/>
      </w:r>
    </w:p>
    <w:p w14:paraId="01193EE3" w14:textId="77777777" w:rsidR="00251C8D" w:rsidRDefault="00251C8D">
      <w:pPr>
        <w:pStyle w:val="BodyText"/>
        <w:sectPr w:rsidR="00251C8D">
          <w:type w:val="continuous"/>
          <w:pgSz w:w="11910" w:h="16840"/>
          <w:pgMar w:top="560" w:right="992" w:bottom="900" w:left="850" w:header="0" w:footer="712" w:gutter="0"/>
          <w:cols w:num="2" w:space="720" w:equalWidth="0">
            <w:col w:w="3292" w:space="1672"/>
            <w:col w:w="5104"/>
          </w:cols>
        </w:sectPr>
      </w:pPr>
    </w:p>
    <w:p w14:paraId="408E47C2" w14:textId="77777777" w:rsidR="00251C8D" w:rsidRDefault="00CA55ED">
      <w:pPr>
        <w:pStyle w:val="Title"/>
      </w:pPr>
      <w:r>
        <w:rPr>
          <w:color w:val="003195"/>
        </w:rPr>
        <w:t>Evaluation</w:t>
      </w:r>
      <w:r>
        <w:rPr>
          <w:color w:val="003195"/>
          <w:spacing w:val="-5"/>
        </w:rPr>
        <w:t xml:space="preserve"> </w:t>
      </w:r>
      <w:r>
        <w:rPr>
          <w:color w:val="003195"/>
        </w:rPr>
        <w:t>of</w:t>
      </w:r>
      <w:r>
        <w:rPr>
          <w:color w:val="003195"/>
          <w:spacing w:val="-6"/>
        </w:rPr>
        <w:t xml:space="preserve"> </w:t>
      </w:r>
      <w:r>
        <w:rPr>
          <w:color w:val="003195"/>
        </w:rPr>
        <w:t>outcome</w:t>
      </w:r>
      <w:r>
        <w:rPr>
          <w:color w:val="003195"/>
          <w:spacing w:val="-5"/>
        </w:rPr>
        <w:t xml:space="preserve"> </w:t>
      </w:r>
      <w:r>
        <w:rPr>
          <w:color w:val="003195"/>
        </w:rPr>
        <w:t>in</w:t>
      </w:r>
      <w:r>
        <w:rPr>
          <w:color w:val="003195"/>
          <w:spacing w:val="-5"/>
        </w:rPr>
        <w:t xml:space="preserve"> </w:t>
      </w:r>
      <w:r>
        <w:rPr>
          <w:color w:val="003195"/>
        </w:rPr>
        <w:t>laparoscopic</w:t>
      </w:r>
      <w:r>
        <w:rPr>
          <w:color w:val="003195"/>
          <w:spacing w:val="-1"/>
        </w:rPr>
        <w:t xml:space="preserve"> </w:t>
      </w:r>
      <w:r>
        <w:rPr>
          <w:color w:val="003195"/>
        </w:rPr>
        <w:t>and</w:t>
      </w:r>
      <w:r>
        <w:rPr>
          <w:color w:val="003195"/>
          <w:spacing w:val="-5"/>
        </w:rPr>
        <w:t xml:space="preserve"> </w:t>
      </w:r>
      <w:r>
        <w:rPr>
          <w:color w:val="003195"/>
        </w:rPr>
        <w:t>open</w:t>
      </w:r>
      <w:r>
        <w:rPr>
          <w:color w:val="003195"/>
          <w:spacing w:val="-2"/>
        </w:rPr>
        <w:t xml:space="preserve"> </w:t>
      </w:r>
      <w:r>
        <w:rPr>
          <w:color w:val="003195"/>
        </w:rPr>
        <w:t>ventral</w:t>
      </w:r>
      <w:r>
        <w:rPr>
          <w:color w:val="003195"/>
          <w:spacing w:val="-5"/>
        </w:rPr>
        <w:t xml:space="preserve"> </w:t>
      </w:r>
      <w:r>
        <w:rPr>
          <w:color w:val="003195"/>
        </w:rPr>
        <w:t>hernia</w:t>
      </w:r>
      <w:r>
        <w:rPr>
          <w:color w:val="003195"/>
          <w:spacing w:val="-5"/>
        </w:rPr>
        <w:t xml:space="preserve"> </w:t>
      </w:r>
      <w:r>
        <w:rPr>
          <w:color w:val="003195"/>
        </w:rPr>
        <w:t>repair: a prospective study</w:t>
      </w:r>
    </w:p>
    <w:p w14:paraId="2D63A749" w14:textId="77777777" w:rsidR="000B00CA" w:rsidRDefault="000B00CA">
      <w:pPr>
        <w:pStyle w:val="BodyText"/>
        <w:spacing w:before="11"/>
        <w:rPr>
          <w:sz w:val="14"/>
        </w:rPr>
      </w:pPr>
    </w:p>
    <w:p w14:paraId="6315573C" w14:textId="77777777" w:rsidR="000B00CA" w:rsidRDefault="000B00CA">
      <w:pPr>
        <w:pStyle w:val="BodyText"/>
        <w:spacing w:before="11"/>
        <w:rPr>
          <w:sz w:val="14"/>
        </w:rPr>
      </w:pPr>
    </w:p>
    <w:p w14:paraId="44C09015" w14:textId="77777777" w:rsidR="000B00CA" w:rsidRDefault="000B00CA">
      <w:pPr>
        <w:pStyle w:val="BodyText"/>
        <w:spacing w:before="11"/>
        <w:rPr>
          <w:sz w:val="14"/>
        </w:rPr>
      </w:pPr>
    </w:p>
    <w:p w14:paraId="2A645610" w14:textId="77777777" w:rsidR="000B00CA" w:rsidRDefault="000B00CA">
      <w:pPr>
        <w:pStyle w:val="BodyText"/>
        <w:spacing w:before="11"/>
        <w:rPr>
          <w:sz w:val="14"/>
        </w:rPr>
      </w:pPr>
    </w:p>
    <w:p w14:paraId="664674E2" w14:textId="77777777" w:rsidR="00251C8D" w:rsidRDefault="00CA55ED">
      <w:pPr>
        <w:pStyle w:val="BodyText"/>
        <w:spacing w:before="11"/>
        <w:rPr>
          <w:sz w:val="14"/>
        </w:rPr>
      </w:pPr>
      <w:r>
        <w:rPr>
          <w:noProof/>
          <w:sz w:val="14"/>
        </w:rPr>
        <mc:AlternateContent>
          <mc:Choice Requires="wps">
            <w:drawing>
              <wp:anchor distT="0" distB="0" distL="0" distR="0" simplePos="0" relativeHeight="487588864" behindDoc="1" locked="0" layoutInCell="1" allowOverlap="1" wp14:anchorId="01E380D8" wp14:editId="0FD2A07C">
                <wp:simplePos x="0" y="0"/>
                <wp:positionH relativeFrom="page">
                  <wp:posOffset>662940</wp:posOffset>
                </wp:positionH>
                <wp:positionV relativeFrom="paragraph">
                  <wp:posOffset>130946</wp:posOffset>
                </wp:positionV>
                <wp:extent cx="6215380" cy="290068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5380" cy="2900680"/>
                        </a:xfrm>
                        <a:prstGeom prst="rect">
                          <a:avLst/>
                        </a:prstGeom>
                        <a:ln w="12192">
                          <a:solidFill>
                            <a:srgbClr val="4F81BC"/>
                          </a:solidFill>
                          <a:prstDash val="solid"/>
                        </a:ln>
                      </wps:spPr>
                      <wps:txbx>
                        <w:txbxContent>
                          <w:p w14:paraId="1C43E17D" w14:textId="77777777" w:rsidR="00251C8D" w:rsidRDefault="00CA55ED">
                            <w:pPr>
                              <w:spacing w:before="71"/>
                              <w:ind w:left="143"/>
                              <w:rPr>
                                <w:b/>
                                <w:sz w:val="20"/>
                              </w:rPr>
                            </w:pPr>
                            <w:r>
                              <w:rPr>
                                <w:b/>
                                <w:color w:val="003195"/>
                                <w:spacing w:val="-2"/>
                                <w:sz w:val="20"/>
                              </w:rPr>
                              <w:t>ABSTRACT</w:t>
                            </w:r>
                          </w:p>
                          <w:p w14:paraId="732E4462" w14:textId="77777777" w:rsidR="00251C8D" w:rsidRDefault="00CA55ED">
                            <w:pPr>
                              <w:pStyle w:val="BodyText"/>
                              <w:spacing w:before="226"/>
                              <w:ind w:left="143" w:right="140"/>
                              <w:jc w:val="both"/>
                            </w:pPr>
                            <w:r>
                              <w:rPr>
                                <w:b/>
                              </w:rPr>
                              <w:t xml:space="preserve">Background: </w:t>
                            </w:r>
                            <w:r>
                              <w:t>Ventral hernias are categorized as epigastric, umbilical, spigelian, parastomal, and incisional hernias. Hernias occurring in epigastrium and umbilical region are considered as primary ventral hernias. There are various ways of hernia repair, in which the tension free repair remains the most important one. For doing a repair by laparoscopy, first of all the contents of the hernia are reposited back in the abdomen, followed by placement of mesh transabdominally which should be of optimum size and type</w:t>
                            </w:r>
                          </w:p>
                          <w:p w14:paraId="51026AD9" w14:textId="77777777" w:rsidR="00251C8D" w:rsidRDefault="00CA55ED">
                            <w:pPr>
                              <w:pStyle w:val="BodyText"/>
                              <w:ind w:left="143"/>
                            </w:pPr>
                            <w:r>
                              <w:rPr>
                                <w:b/>
                              </w:rPr>
                              <w:t xml:space="preserve">Methods: </w:t>
                            </w:r>
                            <w:r>
                              <w:t xml:space="preserve">The present study is a prospective observational study that emphasizes to </w:t>
                            </w:r>
                            <w:proofErr w:type="spellStart"/>
                            <w:r>
                              <w:t>analyse</w:t>
                            </w:r>
                            <w:proofErr w:type="spellEnd"/>
                            <w:r>
                              <w:t xml:space="preserve"> and evaluate outcome in open and laparoscopic mesh repair of ventral hernia that presented to the Himalayan hospital over a period of 1 year. </w:t>
                            </w:r>
                            <w:r>
                              <w:rPr>
                                <w:b/>
                              </w:rPr>
                              <w:t xml:space="preserve">Results: </w:t>
                            </w:r>
                            <w:r>
                              <w:t>Study</w:t>
                            </w:r>
                            <w:r>
                              <w:rPr>
                                <w:spacing w:val="-1"/>
                              </w:rPr>
                              <w:t xml:space="preserve"> </w:t>
                            </w:r>
                            <w:r>
                              <w:t>shows that more than 50% of the cases were recorded in the age group between 26-50 years (mean 47 years) with majority being females.</w:t>
                            </w:r>
                            <w:r>
                              <w:rPr>
                                <w:spacing w:val="23"/>
                              </w:rPr>
                              <w:t xml:space="preserve"> </w:t>
                            </w:r>
                            <w:r>
                              <w:t>Umbilical hernia (45.1%) was the most common</w:t>
                            </w:r>
                            <w:r>
                              <w:rPr>
                                <w:spacing w:val="22"/>
                              </w:rPr>
                              <w:t xml:space="preserve"> </w:t>
                            </w:r>
                            <w:r>
                              <w:t>followed by incisional hernia</w:t>
                            </w:r>
                            <w:r>
                              <w:rPr>
                                <w:spacing w:val="40"/>
                              </w:rPr>
                              <w:t xml:space="preserve"> </w:t>
                            </w:r>
                            <w:r>
                              <w:t>(28.2%),</w:t>
                            </w:r>
                            <w:r>
                              <w:rPr>
                                <w:spacing w:val="40"/>
                              </w:rPr>
                              <w:t xml:space="preserve"> </w:t>
                            </w:r>
                            <w:r>
                              <w:t>paraumbilical</w:t>
                            </w:r>
                            <w:r>
                              <w:rPr>
                                <w:spacing w:val="40"/>
                              </w:rPr>
                              <w:t xml:space="preserve"> </w:t>
                            </w:r>
                            <w:r>
                              <w:t>hernia</w:t>
                            </w:r>
                            <w:r>
                              <w:rPr>
                                <w:spacing w:val="40"/>
                              </w:rPr>
                              <w:t xml:space="preserve"> </w:t>
                            </w:r>
                            <w:r>
                              <w:t>(22.5%)</w:t>
                            </w:r>
                            <w:r>
                              <w:rPr>
                                <w:spacing w:val="40"/>
                              </w:rPr>
                              <w:t xml:space="preserve"> </w:t>
                            </w:r>
                            <w:r>
                              <w:t>and</w:t>
                            </w:r>
                            <w:r>
                              <w:rPr>
                                <w:spacing w:val="40"/>
                              </w:rPr>
                              <w:t xml:space="preserve"> </w:t>
                            </w:r>
                            <w:r>
                              <w:t>epigastric</w:t>
                            </w:r>
                            <w:r>
                              <w:rPr>
                                <w:spacing w:val="40"/>
                              </w:rPr>
                              <w:t xml:space="preserve"> </w:t>
                            </w:r>
                            <w:r>
                              <w:t>hernia</w:t>
                            </w:r>
                            <w:r>
                              <w:rPr>
                                <w:spacing w:val="40"/>
                              </w:rPr>
                              <w:t xml:space="preserve"> </w:t>
                            </w:r>
                            <w:r>
                              <w:t>(4.2%).</w:t>
                            </w:r>
                            <w:r>
                              <w:rPr>
                                <w:spacing w:val="40"/>
                              </w:rPr>
                              <w:t xml:space="preserve"> </w:t>
                            </w:r>
                            <w:r>
                              <w:t>Diabetes</w:t>
                            </w:r>
                            <w:r>
                              <w:rPr>
                                <w:spacing w:val="40"/>
                              </w:rPr>
                              <w:t xml:space="preserve"> </w:t>
                            </w:r>
                            <w:r>
                              <w:t>mellitus</w:t>
                            </w:r>
                            <w:r>
                              <w:rPr>
                                <w:spacing w:val="40"/>
                              </w:rPr>
                              <w:t xml:space="preserve"> </w:t>
                            </w:r>
                            <w:r>
                              <w:t>was</w:t>
                            </w:r>
                            <w:r>
                              <w:rPr>
                                <w:spacing w:val="40"/>
                              </w:rPr>
                              <w:t xml:space="preserve"> </w:t>
                            </w:r>
                            <w:r>
                              <w:t>the</w:t>
                            </w:r>
                            <w:r>
                              <w:rPr>
                                <w:spacing w:val="40"/>
                              </w:rPr>
                              <w:t xml:space="preserve"> </w:t>
                            </w:r>
                            <w:r>
                              <w:t>most</w:t>
                            </w:r>
                            <w:r>
                              <w:rPr>
                                <w:spacing w:val="40"/>
                              </w:rPr>
                              <w:t xml:space="preserve"> </w:t>
                            </w:r>
                            <w:r>
                              <w:t>common comorbidity (88.7%) followed by hypertension (64.8%). VAS score was statistically significant between individuals who</w:t>
                            </w:r>
                            <w:r>
                              <w:rPr>
                                <w:spacing w:val="29"/>
                              </w:rPr>
                              <w:t xml:space="preserve"> </w:t>
                            </w:r>
                            <w:r>
                              <w:t>got</w:t>
                            </w:r>
                            <w:r>
                              <w:rPr>
                                <w:spacing w:val="28"/>
                              </w:rPr>
                              <w:t xml:space="preserve"> </w:t>
                            </w:r>
                            <w:r>
                              <w:t>surgery</w:t>
                            </w:r>
                            <w:r>
                              <w:rPr>
                                <w:spacing w:val="24"/>
                              </w:rPr>
                              <w:t xml:space="preserve"> </w:t>
                            </w:r>
                            <w:r>
                              <w:t>by</w:t>
                            </w:r>
                            <w:r>
                              <w:rPr>
                                <w:spacing w:val="24"/>
                              </w:rPr>
                              <w:t xml:space="preserve"> </w:t>
                            </w:r>
                            <w:r>
                              <w:t>laparoscopy</w:t>
                            </w:r>
                            <w:r>
                              <w:rPr>
                                <w:spacing w:val="27"/>
                              </w:rPr>
                              <w:t xml:space="preserve"> </w:t>
                            </w:r>
                            <w:r>
                              <w:t>when</w:t>
                            </w:r>
                            <w:r>
                              <w:rPr>
                                <w:spacing w:val="27"/>
                              </w:rPr>
                              <w:t xml:space="preserve"> </w:t>
                            </w:r>
                            <w:r>
                              <w:t>compared</w:t>
                            </w:r>
                            <w:r>
                              <w:rPr>
                                <w:spacing w:val="32"/>
                              </w:rPr>
                              <w:t xml:space="preserve"> </w:t>
                            </w:r>
                            <w:r>
                              <w:t>with</w:t>
                            </w:r>
                            <w:r>
                              <w:rPr>
                                <w:spacing w:val="27"/>
                              </w:rPr>
                              <w:t xml:space="preserve"> </w:t>
                            </w:r>
                            <w:r>
                              <w:t>open</w:t>
                            </w:r>
                            <w:r>
                              <w:rPr>
                                <w:spacing w:val="27"/>
                              </w:rPr>
                              <w:t xml:space="preserve"> </w:t>
                            </w:r>
                            <w:r>
                              <w:t>approach.</w:t>
                            </w:r>
                            <w:r>
                              <w:rPr>
                                <w:spacing w:val="28"/>
                              </w:rPr>
                              <w:t xml:space="preserve"> </w:t>
                            </w:r>
                            <w:r>
                              <w:t>A</w:t>
                            </w:r>
                            <w:r>
                              <w:rPr>
                                <w:spacing w:val="26"/>
                              </w:rPr>
                              <w:t xml:space="preserve"> </w:t>
                            </w:r>
                            <w:r>
                              <w:t>significant</w:t>
                            </w:r>
                            <w:r>
                              <w:rPr>
                                <w:spacing w:val="28"/>
                              </w:rPr>
                              <w:t xml:space="preserve"> </w:t>
                            </w:r>
                            <w:r>
                              <w:t>difference</w:t>
                            </w:r>
                            <w:r>
                              <w:rPr>
                                <w:spacing w:val="31"/>
                              </w:rPr>
                              <w:t xml:space="preserve"> </w:t>
                            </w:r>
                            <w:r>
                              <w:t>was</w:t>
                            </w:r>
                            <w:r>
                              <w:rPr>
                                <w:spacing w:val="28"/>
                              </w:rPr>
                              <w:t xml:space="preserve"> </w:t>
                            </w:r>
                            <w:r>
                              <w:t>also</w:t>
                            </w:r>
                            <w:r>
                              <w:rPr>
                                <w:spacing w:val="28"/>
                              </w:rPr>
                              <w:t xml:space="preserve"> </w:t>
                            </w:r>
                            <w:r>
                              <w:t>observed between period of mobilization and surgical procedure.</w:t>
                            </w:r>
                          </w:p>
                          <w:p w14:paraId="64C9DB6D" w14:textId="77777777" w:rsidR="00251C8D" w:rsidRDefault="00CA55ED">
                            <w:pPr>
                              <w:pStyle w:val="BodyText"/>
                              <w:ind w:left="143"/>
                            </w:pPr>
                            <w:r>
                              <w:rPr>
                                <w:b/>
                              </w:rPr>
                              <w:t>Conclusions:</w:t>
                            </w:r>
                            <w:r>
                              <w:rPr>
                                <w:b/>
                                <w:spacing w:val="38"/>
                              </w:rPr>
                              <w:t xml:space="preserve"> </w:t>
                            </w:r>
                            <w:r>
                              <w:t>Surgery</w:t>
                            </w:r>
                            <w:r>
                              <w:rPr>
                                <w:spacing w:val="35"/>
                              </w:rPr>
                              <w:t xml:space="preserve"> </w:t>
                            </w:r>
                            <w:r>
                              <w:t>of</w:t>
                            </w:r>
                            <w:r>
                              <w:rPr>
                                <w:spacing w:val="37"/>
                              </w:rPr>
                              <w:t xml:space="preserve"> </w:t>
                            </w:r>
                            <w:r>
                              <w:t>ventral</w:t>
                            </w:r>
                            <w:r>
                              <w:rPr>
                                <w:spacing w:val="39"/>
                              </w:rPr>
                              <w:t xml:space="preserve"> </w:t>
                            </w:r>
                            <w:r>
                              <w:t>hernia</w:t>
                            </w:r>
                            <w:r>
                              <w:rPr>
                                <w:spacing w:val="36"/>
                              </w:rPr>
                              <w:t xml:space="preserve"> </w:t>
                            </w:r>
                            <w:r>
                              <w:t>by</w:t>
                            </w:r>
                            <w:r>
                              <w:rPr>
                                <w:spacing w:val="35"/>
                              </w:rPr>
                              <w:t xml:space="preserve"> </w:t>
                            </w:r>
                            <w:r>
                              <w:t>laparoscopy</w:t>
                            </w:r>
                            <w:r>
                              <w:rPr>
                                <w:spacing w:val="37"/>
                              </w:rPr>
                              <w:t xml:space="preserve"> </w:t>
                            </w:r>
                            <w:r>
                              <w:t>has</w:t>
                            </w:r>
                            <w:r>
                              <w:rPr>
                                <w:spacing w:val="36"/>
                              </w:rPr>
                              <w:t xml:space="preserve"> </w:t>
                            </w:r>
                            <w:r>
                              <w:t>less</w:t>
                            </w:r>
                            <w:r>
                              <w:rPr>
                                <w:spacing w:val="36"/>
                              </w:rPr>
                              <w:t xml:space="preserve"> </w:t>
                            </w:r>
                            <w:r>
                              <w:t>post-surgical</w:t>
                            </w:r>
                            <w:r>
                              <w:rPr>
                                <w:spacing w:val="37"/>
                              </w:rPr>
                              <w:t xml:space="preserve"> </w:t>
                            </w:r>
                            <w:r>
                              <w:t>pain,</w:t>
                            </w:r>
                            <w:r>
                              <w:rPr>
                                <w:spacing w:val="37"/>
                              </w:rPr>
                              <w:t xml:space="preserve"> </w:t>
                            </w:r>
                            <w:r>
                              <w:t>less</w:t>
                            </w:r>
                            <w:r>
                              <w:rPr>
                                <w:spacing w:val="35"/>
                              </w:rPr>
                              <w:t xml:space="preserve"> </w:t>
                            </w:r>
                            <w:r>
                              <w:t>problems,</w:t>
                            </w:r>
                            <w:r>
                              <w:rPr>
                                <w:spacing w:val="40"/>
                              </w:rPr>
                              <w:t xml:space="preserve"> </w:t>
                            </w:r>
                            <w:r>
                              <w:t>lesser</w:t>
                            </w:r>
                            <w:r>
                              <w:rPr>
                                <w:spacing w:val="37"/>
                              </w:rPr>
                              <w:t xml:space="preserve"> </w:t>
                            </w:r>
                            <w:r>
                              <w:t>stay</w:t>
                            </w:r>
                            <w:r>
                              <w:rPr>
                                <w:spacing w:val="35"/>
                              </w:rPr>
                              <w:t xml:space="preserve"> </w:t>
                            </w:r>
                            <w:r>
                              <w:t>in hospital and had lesser impact on economy as the individuals returned to their normal routine in lesser time.</w:t>
                            </w:r>
                          </w:p>
                          <w:p w14:paraId="2EF3C136" w14:textId="77777777" w:rsidR="00251C8D" w:rsidRDefault="00251C8D">
                            <w:pPr>
                              <w:pStyle w:val="BodyText"/>
                            </w:pPr>
                          </w:p>
                          <w:p w14:paraId="5847FB93" w14:textId="77777777" w:rsidR="00251C8D" w:rsidRDefault="00CA55ED">
                            <w:pPr>
                              <w:pStyle w:val="BodyText"/>
                              <w:ind w:left="143"/>
                            </w:pPr>
                            <w:r>
                              <w:rPr>
                                <w:b/>
                              </w:rPr>
                              <w:t>Keywords:</w:t>
                            </w:r>
                            <w:r>
                              <w:rPr>
                                <w:b/>
                                <w:spacing w:val="-5"/>
                              </w:rPr>
                              <w:t xml:space="preserve"> </w:t>
                            </w:r>
                            <w:r>
                              <w:t>Ventral</w:t>
                            </w:r>
                            <w:r>
                              <w:rPr>
                                <w:spacing w:val="-6"/>
                              </w:rPr>
                              <w:t xml:space="preserve"> </w:t>
                            </w:r>
                            <w:r>
                              <w:t>hernia,</w:t>
                            </w:r>
                            <w:r>
                              <w:rPr>
                                <w:spacing w:val="-6"/>
                              </w:rPr>
                              <w:t xml:space="preserve"> </w:t>
                            </w:r>
                            <w:r>
                              <w:t>Open</w:t>
                            </w:r>
                            <w:r>
                              <w:rPr>
                                <w:spacing w:val="-7"/>
                              </w:rPr>
                              <w:t xml:space="preserve"> </w:t>
                            </w:r>
                            <w:r>
                              <w:t>hernia,</w:t>
                            </w:r>
                            <w:r>
                              <w:rPr>
                                <w:spacing w:val="-4"/>
                              </w:rPr>
                              <w:t xml:space="preserve"> </w:t>
                            </w:r>
                            <w:r>
                              <w:t>Laparoscopic</w:t>
                            </w:r>
                            <w:r>
                              <w:rPr>
                                <w:spacing w:val="-6"/>
                              </w:rPr>
                              <w:t xml:space="preserve"> </w:t>
                            </w:r>
                            <w:r>
                              <w:t>hernia</w:t>
                            </w:r>
                            <w:r>
                              <w:rPr>
                                <w:spacing w:val="-6"/>
                              </w:rPr>
                              <w:t xml:space="preserve"> </w:t>
                            </w:r>
                            <w:r>
                              <w:t>repair,</w:t>
                            </w:r>
                            <w:r>
                              <w:rPr>
                                <w:spacing w:val="-6"/>
                              </w:rPr>
                              <w:t xml:space="preserve"> </w:t>
                            </w:r>
                            <w:r>
                              <w:rPr>
                                <w:spacing w:val="-4"/>
                              </w:rPr>
                              <w:t>IPOM</w:t>
                            </w:r>
                          </w:p>
                        </w:txbxContent>
                      </wps:txbx>
                      <wps:bodyPr wrap="square" lIns="0" tIns="0" rIns="0" bIns="0" rtlCol="0">
                        <a:noAutofit/>
                      </wps:bodyPr>
                    </wps:wsp>
                  </a:graphicData>
                </a:graphic>
              </wp:anchor>
            </w:drawing>
          </mc:Choice>
          <mc:Fallback>
            <w:pict>
              <v:shapetype w14:anchorId="01E380D8" id="_x0000_t202" coordsize="21600,21600" o:spt="202" path="m,l,21600r21600,l21600,xe">
                <v:stroke joinstyle="miter"/>
                <v:path gradientshapeok="t" o:connecttype="rect"/>
              </v:shapetype>
              <v:shape id="Textbox 4" o:spid="_x0000_s1026" type="#_x0000_t202" style="position:absolute;margin-left:52.2pt;margin-top:10.3pt;width:489.4pt;height:228.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" filled="f" strokecolor="#4f81bc" strokeweight=".96pt">
                <v:path arrowok="t"/>
                <v:textbox inset="0,0,0,0">
                  <w:txbxContent>
                    <w:p w14:paraId="1C43E17D" w14:textId="77777777" w:rsidR="00251C8D" w:rsidRDefault="00CA55ED">
                      <w:pPr>
                        <w:spacing w:before="71"/>
                        <w:ind w:left="143"/>
                        <w:rPr>
                          <w:b/>
                          <w:sz w:val="20"/>
                        </w:rPr>
                      </w:pPr>
                      <w:r>
                        <w:rPr>
                          <w:b/>
                          <w:color w:val="003195"/>
                          <w:spacing w:val="-2"/>
                          <w:sz w:val="20"/>
                        </w:rPr>
                        <w:t>ABSTRACT</w:t>
                      </w:r>
                    </w:p>
                    <w:p w14:paraId="732E4462" w14:textId="77777777" w:rsidR="00251C8D" w:rsidRDefault="00CA55ED">
                      <w:pPr>
                        <w:pStyle w:val="BodyText"/>
                        <w:spacing w:before="226"/>
                        <w:ind w:left="143" w:right="140"/>
                        <w:jc w:val="both"/>
                      </w:pPr>
                      <w:r>
                        <w:rPr>
                          <w:b/>
                        </w:rPr>
                        <w:t xml:space="preserve">Background: </w:t>
                      </w:r>
                      <w:r>
                        <w:t>Ventral hernias are categorized as epigastric, umbilical, spigelian, parastomal, and incisional hernias. Hernias occurring in epigastrium and umbilical region are considered as primary ventral hernias. There are various ways of hernia repair, in which the tension free repair remains the most important one. For doing a repair by laparoscopy, first of all the contents of the hernia are reposited back in the abdomen, followed by placement of mesh transabdominally which should be of optimum size and type</w:t>
                      </w:r>
                    </w:p>
                    <w:p w14:paraId="51026AD9" w14:textId="77777777" w:rsidR="00251C8D" w:rsidRDefault="00CA55ED">
                      <w:pPr>
                        <w:pStyle w:val="BodyText"/>
                        <w:ind w:left="143"/>
                      </w:pPr>
                      <w:r>
                        <w:rPr>
                          <w:b/>
                        </w:rPr>
                        <w:t xml:space="preserve">Methods: </w:t>
                      </w:r>
                      <w:r>
                        <w:t xml:space="preserve">The present study is a prospective observational study that emphasizes to </w:t>
                      </w:r>
                      <w:proofErr w:type="spellStart"/>
                      <w:r>
                        <w:t>analyse</w:t>
                      </w:r>
                      <w:proofErr w:type="spellEnd"/>
                      <w:r>
                        <w:t xml:space="preserve"> and evaluate outcome in open and laparoscopic mesh repair of ventral hernia that presented to the Himalayan hospital over a period of 1 year. </w:t>
                      </w:r>
                      <w:r>
                        <w:rPr>
                          <w:b/>
                        </w:rPr>
                        <w:t xml:space="preserve">Results: </w:t>
                      </w:r>
                      <w:r>
                        <w:t>Study</w:t>
                      </w:r>
                      <w:r>
                        <w:rPr>
                          <w:spacing w:val="-1"/>
                        </w:rPr>
                        <w:t xml:space="preserve"> </w:t>
                      </w:r>
                      <w:r>
                        <w:t>shows that more than 50% of the cases were recorded in the age group between 26-50 years (mean 47 years) with majority being females.</w:t>
                      </w:r>
                      <w:r>
                        <w:rPr>
                          <w:spacing w:val="23"/>
                        </w:rPr>
                        <w:t xml:space="preserve"> </w:t>
                      </w:r>
                      <w:r>
                        <w:t>Umbilical hernia (45.1%) was the most common</w:t>
                      </w:r>
                      <w:r>
                        <w:rPr>
                          <w:spacing w:val="22"/>
                        </w:rPr>
                        <w:t xml:space="preserve"> </w:t>
                      </w:r>
                      <w:r>
                        <w:t>followed by incisional hernia</w:t>
                      </w:r>
                      <w:r>
                        <w:rPr>
                          <w:spacing w:val="40"/>
                        </w:rPr>
                        <w:t xml:space="preserve"> </w:t>
                      </w:r>
                      <w:r>
                        <w:t>(28.2%),</w:t>
                      </w:r>
                      <w:r>
                        <w:rPr>
                          <w:spacing w:val="40"/>
                        </w:rPr>
                        <w:t xml:space="preserve"> </w:t>
                      </w:r>
                      <w:r>
                        <w:t>paraumbilical</w:t>
                      </w:r>
                      <w:r>
                        <w:rPr>
                          <w:spacing w:val="40"/>
                        </w:rPr>
                        <w:t xml:space="preserve"> </w:t>
                      </w:r>
                      <w:r>
                        <w:t>hernia</w:t>
                      </w:r>
                      <w:r>
                        <w:rPr>
                          <w:spacing w:val="40"/>
                        </w:rPr>
                        <w:t xml:space="preserve"> </w:t>
                      </w:r>
                      <w:r>
                        <w:t>(22.5%)</w:t>
                      </w:r>
                      <w:r>
                        <w:rPr>
                          <w:spacing w:val="40"/>
                        </w:rPr>
                        <w:t xml:space="preserve"> </w:t>
                      </w:r>
                      <w:r>
                        <w:t>and</w:t>
                      </w:r>
                      <w:r>
                        <w:rPr>
                          <w:spacing w:val="40"/>
                        </w:rPr>
                        <w:t xml:space="preserve"> </w:t>
                      </w:r>
                      <w:r>
                        <w:t>epigastric</w:t>
                      </w:r>
                      <w:r>
                        <w:rPr>
                          <w:spacing w:val="40"/>
                        </w:rPr>
                        <w:t xml:space="preserve"> </w:t>
                      </w:r>
                      <w:r>
                        <w:t>hernia</w:t>
                      </w:r>
                      <w:r>
                        <w:rPr>
                          <w:spacing w:val="40"/>
                        </w:rPr>
                        <w:t xml:space="preserve"> </w:t>
                      </w:r>
                      <w:r>
                        <w:t>(4.2%).</w:t>
                      </w:r>
                      <w:r>
                        <w:rPr>
                          <w:spacing w:val="40"/>
                        </w:rPr>
                        <w:t xml:space="preserve"> </w:t>
                      </w:r>
                      <w:r>
                        <w:t>Diabetes</w:t>
                      </w:r>
                      <w:r>
                        <w:rPr>
                          <w:spacing w:val="40"/>
                        </w:rPr>
                        <w:t xml:space="preserve"> </w:t>
                      </w:r>
                      <w:r>
                        <w:t>mellitus</w:t>
                      </w:r>
                      <w:r>
                        <w:rPr>
                          <w:spacing w:val="40"/>
                        </w:rPr>
                        <w:t xml:space="preserve"> </w:t>
                      </w:r>
                      <w:r>
                        <w:t>was</w:t>
                      </w:r>
                      <w:r>
                        <w:rPr>
                          <w:spacing w:val="40"/>
                        </w:rPr>
                        <w:t xml:space="preserve"> </w:t>
                      </w:r>
                      <w:r>
                        <w:t>the</w:t>
                      </w:r>
                      <w:r>
                        <w:rPr>
                          <w:spacing w:val="40"/>
                        </w:rPr>
                        <w:t xml:space="preserve"> </w:t>
                      </w:r>
                      <w:r>
                        <w:t>most</w:t>
                      </w:r>
                      <w:r>
                        <w:rPr>
                          <w:spacing w:val="40"/>
                        </w:rPr>
                        <w:t xml:space="preserve"> </w:t>
                      </w:r>
                      <w:r>
                        <w:t>common comorbidity (88.7%) followed by hypertension (64.8%). VAS score was statistically significant between individuals who</w:t>
                      </w:r>
                      <w:r>
                        <w:rPr>
                          <w:spacing w:val="29"/>
                        </w:rPr>
                        <w:t xml:space="preserve"> </w:t>
                      </w:r>
                      <w:r>
                        <w:t>got</w:t>
                      </w:r>
                      <w:r>
                        <w:rPr>
                          <w:spacing w:val="28"/>
                        </w:rPr>
                        <w:t xml:space="preserve"> </w:t>
                      </w:r>
                      <w:r>
                        <w:t>surgery</w:t>
                      </w:r>
                      <w:r>
                        <w:rPr>
                          <w:spacing w:val="24"/>
                        </w:rPr>
                        <w:t xml:space="preserve"> </w:t>
                      </w:r>
                      <w:r>
                        <w:t>by</w:t>
                      </w:r>
                      <w:r>
                        <w:rPr>
                          <w:spacing w:val="24"/>
                        </w:rPr>
                        <w:t xml:space="preserve"> </w:t>
                      </w:r>
                      <w:r>
                        <w:t>laparoscopy</w:t>
                      </w:r>
                      <w:r>
                        <w:rPr>
                          <w:spacing w:val="27"/>
                        </w:rPr>
                        <w:t xml:space="preserve"> </w:t>
                      </w:r>
                      <w:r>
                        <w:t>when</w:t>
                      </w:r>
                      <w:r>
                        <w:rPr>
                          <w:spacing w:val="27"/>
                        </w:rPr>
                        <w:t xml:space="preserve"> </w:t>
                      </w:r>
                      <w:r>
                        <w:t>compared</w:t>
                      </w:r>
                      <w:r>
                        <w:rPr>
                          <w:spacing w:val="32"/>
                        </w:rPr>
                        <w:t xml:space="preserve"> </w:t>
                      </w:r>
                      <w:r>
                        <w:t>with</w:t>
                      </w:r>
                      <w:r>
                        <w:rPr>
                          <w:spacing w:val="27"/>
                        </w:rPr>
                        <w:t xml:space="preserve"> </w:t>
                      </w:r>
                      <w:r>
                        <w:t>open</w:t>
                      </w:r>
                      <w:r>
                        <w:rPr>
                          <w:spacing w:val="27"/>
                        </w:rPr>
                        <w:t xml:space="preserve"> </w:t>
                      </w:r>
                      <w:r>
                        <w:t>approach.</w:t>
                      </w:r>
                      <w:r>
                        <w:rPr>
                          <w:spacing w:val="28"/>
                        </w:rPr>
                        <w:t xml:space="preserve"> </w:t>
                      </w:r>
                      <w:r>
                        <w:t>A</w:t>
                      </w:r>
                      <w:r>
                        <w:rPr>
                          <w:spacing w:val="26"/>
                        </w:rPr>
                        <w:t xml:space="preserve"> </w:t>
                      </w:r>
                      <w:r>
                        <w:t>significant</w:t>
                      </w:r>
                      <w:r>
                        <w:rPr>
                          <w:spacing w:val="28"/>
                        </w:rPr>
                        <w:t xml:space="preserve"> </w:t>
                      </w:r>
                      <w:r>
                        <w:t>difference</w:t>
                      </w:r>
                      <w:r>
                        <w:rPr>
                          <w:spacing w:val="31"/>
                        </w:rPr>
                        <w:t xml:space="preserve"> </w:t>
                      </w:r>
                      <w:r>
                        <w:t>was</w:t>
                      </w:r>
                      <w:r>
                        <w:rPr>
                          <w:spacing w:val="28"/>
                        </w:rPr>
                        <w:t xml:space="preserve"> </w:t>
                      </w:r>
                      <w:r>
                        <w:t>also</w:t>
                      </w:r>
                      <w:r>
                        <w:rPr>
                          <w:spacing w:val="28"/>
                        </w:rPr>
                        <w:t xml:space="preserve"> </w:t>
                      </w:r>
                      <w:r>
                        <w:t>observed between period of mobilization and surgical procedure.</w:t>
                      </w:r>
                    </w:p>
                    <w:p w14:paraId="64C9DB6D" w14:textId="77777777" w:rsidR="00251C8D" w:rsidRDefault="00CA55ED">
                      <w:pPr>
                        <w:pStyle w:val="BodyText"/>
                        <w:ind w:left="143"/>
                      </w:pPr>
                      <w:r>
                        <w:rPr>
                          <w:b/>
                        </w:rPr>
                        <w:t>Conclusions:</w:t>
                      </w:r>
                      <w:r>
                        <w:rPr>
                          <w:b/>
                          <w:spacing w:val="38"/>
                        </w:rPr>
                        <w:t xml:space="preserve"> </w:t>
                      </w:r>
                      <w:r>
                        <w:t>Surgery</w:t>
                      </w:r>
                      <w:r>
                        <w:rPr>
                          <w:spacing w:val="35"/>
                        </w:rPr>
                        <w:t xml:space="preserve"> </w:t>
                      </w:r>
                      <w:r>
                        <w:t>of</w:t>
                      </w:r>
                      <w:r>
                        <w:rPr>
                          <w:spacing w:val="37"/>
                        </w:rPr>
                        <w:t xml:space="preserve"> </w:t>
                      </w:r>
                      <w:r>
                        <w:t>ventral</w:t>
                      </w:r>
                      <w:r>
                        <w:rPr>
                          <w:spacing w:val="39"/>
                        </w:rPr>
                        <w:t xml:space="preserve"> </w:t>
                      </w:r>
                      <w:r>
                        <w:t>hernia</w:t>
                      </w:r>
                      <w:r>
                        <w:rPr>
                          <w:spacing w:val="36"/>
                        </w:rPr>
                        <w:t xml:space="preserve"> </w:t>
                      </w:r>
                      <w:r>
                        <w:t>by</w:t>
                      </w:r>
                      <w:r>
                        <w:rPr>
                          <w:spacing w:val="35"/>
                        </w:rPr>
                        <w:t xml:space="preserve"> </w:t>
                      </w:r>
                      <w:r>
                        <w:t>laparoscopy</w:t>
                      </w:r>
                      <w:r>
                        <w:rPr>
                          <w:spacing w:val="37"/>
                        </w:rPr>
                        <w:t xml:space="preserve"> </w:t>
                      </w:r>
                      <w:r>
                        <w:t>has</w:t>
                      </w:r>
                      <w:r>
                        <w:rPr>
                          <w:spacing w:val="36"/>
                        </w:rPr>
                        <w:t xml:space="preserve"> </w:t>
                      </w:r>
                      <w:r>
                        <w:t>less</w:t>
                      </w:r>
                      <w:r>
                        <w:rPr>
                          <w:spacing w:val="36"/>
                        </w:rPr>
                        <w:t xml:space="preserve"> </w:t>
                      </w:r>
                      <w:r>
                        <w:t>post-surgical</w:t>
                      </w:r>
                      <w:r>
                        <w:rPr>
                          <w:spacing w:val="37"/>
                        </w:rPr>
                        <w:t xml:space="preserve"> </w:t>
                      </w:r>
                      <w:r>
                        <w:t>pain,</w:t>
                      </w:r>
                      <w:r>
                        <w:rPr>
                          <w:spacing w:val="37"/>
                        </w:rPr>
                        <w:t xml:space="preserve"> </w:t>
                      </w:r>
                      <w:r>
                        <w:t>less</w:t>
                      </w:r>
                      <w:r>
                        <w:rPr>
                          <w:spacing w:val="35"/>
                        </w:rPr>
                        <w:t xml:space="preserve"> </w:t>
                      </w:r>
                      <w:r>
                        <w:t>problems,</w:t>
                      </w:r>
                      <w:r>
                        <w:rPr>
                          <w:spacing w:val="40"/>
                        </w:rPr>
                        <w:t xml:space="preserve"> </w:t>
                      </w:r>
                      <w:r>
                        <w:t>lesser</w:t>
                      </w:r>
                      <w:r>
                        <w:rPr>
                          <w:spacing w:val="37"/>
                        </w:rPr>
                        <w:t xml:space="preserve"> </w:t>
                      </w:r>
                      <w:r>
                        <w:t>stay</w:t>
                      </w:r>
                      <w:r>
                        <w:rPr>
                          <w:spacing w:val="35"/>
                        </w:rPr>
                        <w:t xml:space="preserve"> </w:t>
                      </w:r>
                      <w:r>
                        <w:t>in hospital and had lesser impact on economy as the individuals returned to their normal routine in lesser time.</w:t>
                      </w:r>
                    </w:p>
                    <w:p w14:paraId="2EF3C136" w14:textId="77777777" w:rsidR="00251C8D" w:rsidRDefault="00251C8D">
                      <w:pPr>
                        <w:pStyle w:val="BodyText"/>
                      </w:pPr>
                    </w:p>
                    <w:p w14:paraId="5847FB93" w14:textId="77777777" w:rsidR="00251C8D" w:rsidRDefault="00CA55ED">
                      <w:pPr>
                        <w:pStyle w:val="BodyText"/>
                        <w:ind w:left="143"/>
                      </w:pPr>
                      <w:r>
                        <w:rPr>
                          <w:b/>
                        </w:rPr>
                        <w:t>Keywords:</w:t>
                      </w:r>
                      <w:r>
                        <w:rPr>
                          <w:b/>
                          <w:spacing w:val="-5"/>
                        </w:rPr>
                        <w:t xml:space="preserve"> </w:t>
                      </w:r>
                      <w:r>
                        <w:t>Ventral</w:t>
                      </w:r>
                      <w:r>
                        <w:rPr>
                          <w:spacing w:val="-6"/>
                        </w:rPr>
                        <w:t xml:space="preserve"> </w:t>
                      </w:r>
                      <w:r>
                        <w:t>hernia,</w:t>
                      </w:r>
                      <w:r>
                        <w:rPr>
                          <w:spacing w:val="-6"/>
                        </w:rPr>
                        <w:t xml:space="preserve"> </w:t>
                      </w:r>
                      <w:r>
                        <w:t>Open</w:t>
                      </w:r>
                      <w:r>
                        <w:rPr>
                          <w:spacing w:val="-7"/>
                        </w:rPr>
                        <w:t xml:space="preserve"> </w:t>
                      </w:r>
                      <w:r>
                        <w:t>hernia,</w:t>
                      </w:r>
                      <w:r>
                        <w:rPr>
                          <w:spacing w:val="-4"/>
                        </w:rPr>
                        <w:t xml:space="preserve"> </w:t>
                      </w:r>
                      <w:r>
                        <w:t>Laparoscopic</w:t>
                      </w:r>
                      <w:r>
                        <w:rPr>
                          <w:spacing w:val="-6"/>
                        </w:rPr>
                        <w:t xml:space="preserve"> </w:t>
                      </w:r>
                      <w:r>
                        <w:t>hernia</w:t>
                      </w:r>
                      <w:r>
                        <w:rPr>
                          <w:spacing w:val="-6"/>
                        </w:rPr>
                        <w:t xml:space="preserve"> </w:t>
                      </w:r>
                      <w:r>
                        <w:t>repair,</w:t>
                      </w:r>
                      <w:r>
                        <w:rPr>
                          <w:spacing w:val="-6"/>
                        </w:rPr>
                        <w:t xml:space="preserve"> </w:t>
                      </w:r>
                      <w:r>
                        <w:rPr>
                          <w:spacing w:val="-4"/>
                        </w:rPr>
                        <w:t>IPOM</w:t>
                      </w:r>
                    </w:p>
                  </w:txbxContent>
                </v:textbox>
                <w10:wrap type="topAndBottom" anchorx="page"/>
              </v:shape>
            </w:pict>
          </mc:Fallback>
        </mc:AlternateContent>
      </w:r>
    </w:p>
    <w:p w14:paraId="37FEF079" w14:textId="77777777" w:rsidR="00251C8D" w:rsidRDefault="00251C8D">
      <w:pPr>
        <w:pStyle w:val="BodyText"/>
        <w:spacing w:before="1"/>
        <w:rPr>
          <w:sz w:val="18"/>
        </w:rPr>
      </w:pPr>
    </w:p>
    <w:p w14:paraId="4A5C1AC9" w14:textId="77777777" w:rsidR="00251C8D" w:rsidRDefault="00251C8D">
      <w:pPr>
        <w:pStyle w:val="BodyText"/>
        <w:rPr>
          <w:sz w:val="18"/>
        </w:rPr>
        <w:sectPr w:rsidR="00251C8D">
          <w:type w:val="continuous"/>
          <w:pgSz w:w="11910" w:h="16840"/>
          <w:pgMar w:top="560" w:right="992" w:bottom="900" w:left="850" w:header="0" w:footer="712" w:gutter="0"/>
          <w:cols w:space="720"/>
        </w:sectPr>
      </w:pPr>
    </w:p>
    <w:p w14:paraId="4A7C8023" w14:textId="77777777" w:rsidR="00251C8D" w:rsidRDefault="00CA55ED">
      <w:pPr>
        <w:pStyle w:val="Heading1"/>
        <w:spacing w:before="137"/>
      </w:pPr>
      <w:r>
        <w:rPr>
          <w:color w:val="003195"/>
          <w:spacing w:val="-2"/>
        </w:rPr>
        <w:t>INTRODUCTION</w:t>
      </w:r>
    </w:p>
    <w:p w14:paraId="254CA6DE" w14:textId="77777777" w:rsidR="00251C8D" w:rsidRDefault="00251C8D">
      <w:pPr>
        <w:pStyle w:val="BodyText"/>
        <w:spacing w:before="5"/>
        <w:rPr>
          <w:b/>
        </w:rPr>
      </w:pPr>
    </w:p>
    <w:p w14:paraId="08AA588F" w14:textId="77777777" w:rsidR="00251C8D" w:rsidRDefault="00CA55ED">
      <w:pPr>
        <w:pStyle w:val="BodyText"/>
        <w:ind w:left="170" w:right="38"/>
        <w:jc w:val="both"/>
      </w:pPr>
      <w:r>
        <w:t>Ventral hernias are categorized as epigastric, umbilical, spigelian, parastomal, and incisional hernias. Hernias occurring in epigastrium and umbilical region are considered as primary ventral hernias.</w:t>
      </w:r>
      <w:r>
        <w:rPr>
          <w:vertAlign w:val="superscript"/>
        </w:rPr>
        <w:t>1</w:t>
      </w:r>
      <w:r>
        <w:t xml:space="preserve"> There are various ways of hernia repair, in which the tension free repair remains the most important one. As the techniques evolved, mesh placement came into action and need for overlapping it around the defect was also studied which showed a good result with a 3-5 cm overlap. In today’s era repair of the abdominal wall hernia has been standardized by the laparoscopic approach.</w:t>
      </w:r>
      <w:r>
        <w:rPr>
          <w:vertAlign w:val="superscript"/>
        </w:rPr>
        <w:t>2</w:t>
      </w:r>
      <w:r>
        <w:t xml:space="preserve"> For doing a repair by laparoscopy, first of all the contents of the hernia</w:t>
      </w:r>
      <w:r>
        <w:rPr>
          <w:spacing w:val="32"/>
        </w:rPr>
        <w:t xml:space="preserve"> </w:t>
      </w:r>
      <w:r>
        <w:t>are</w:t>
      </w:r>
      <w:r>
        <w:rPr>
          <w:spacing w:val="31"/>
        </w:rPr>
        <w:t xml:space="preserve"> </w:t>
      </w:r>
      <w:r>
        <w:t>reposited</w:t>
      </w:r>
      <w:r>
        <w:rPr>
          <w:spacing w:val="32"/>
        </w:rPr>
        <w:t xml:space="preserve"> </w:t>
      </w:r>
      <w:r>
        <w:t>back</w:t>
      </w:r>
      <w:r>
        <w:rPr>
          <w:spacing w:val="32"/>
        </w:rPr>
        <w:t xml:space="preserve"> </w:t>
      </w:r>
      <w:r>
        <w:t>in</w:t>
      </w:r>
      <w:r>
        <w:rPr>
          <w:spacing w:val="34"/>
        </w:rPr>
        <w:t xml:space="preserve"> </w:t>
      </w:r>
      <w:r>
        <w:t>the</w:t>
      </w:r>
      <w:r>
        <w:rPr>
          <w:spacing w:val="31"/>
        </w:rPr>
        <w:t xml:space="preserve"> </w:t>
      </w:r>
      <w:r>
        <w:t>abdomen,</w:t>
      </w:r>
      <w:r>
        <w:rPr>
          <w:spacing w:val="34"/>
        </w:rPr>
        <w:t xml:space="preserve"> </w:t>
      </w:r>
      <w:r>
        <w:t>followed</w:t>
      </w:r>
      <w:r>
        <w:rPr>
          <w:spacing w:val="32"/>
        </w:rPr>
        <w:t xml:space="preserve"> </w:t>
      </w:r>
      <w:r>
        <w:rPr>
          <w:spacing w:val="-5"/>
        </w:rPr>
        <w:t>by</w:t>
      </w:r>
    </w:p>
    <w:p w14:paraId="0A142B7C" w14:textId="77777777" w:rsidR="00251C8D" w:rsidRDefault="00CA55ED">
      <w:pPr>
        <w:pStyle w:val="BodyText"/>
        <w:spacing w:before="91"/>
        <w:ind w:left="170" w:right="28"/>
        <w:jc w:val="both"/>
      </w:pPr>
      <w:r>
        <w:br w:type="column"/>
      </w:r>
      <w:r>
        <w:t>there is placement of mesh transabdominally which should be of optimum size and type. The prosthesis then should open in the intra peritoneal region. This mesh is then fixed over posterior aspect of the anterior wall of abdomen in a double crowning method. These are common step wise approach in repair by laparoscopy.</w:t>
      </w:r>
      <w:r>
        <w:rPr>
          <w:vertAlign w:val="superscript"/>
        </w:rPr>
        <w:t>3</w:t>
      </w:r>
      <w:r>
        <w:t xml:space="preserve"> The present study is planned to compare the outcome between open and laparoscopic repair of the ventral </w:t>
      </w:r>
      <w:r>
        <w:rPr>
          <w:spacing w:val="-2"/>
        </w:rPr>
        <w:t>hernias.</w:t>
      </w:r>
    </w:p>
    <w:p w14:paraId="42D4FD1A" w14:textId="77777777" w:rsidR="00251C8D" w:rsidRDefault="00251C8D">
      <w:pPr>
        <w:pStyle w:val="BodyText"/>
        <w:spacing w:before="17"/>
      </w:pPr>
    </w:p>
    <w:p w14:paraId="7FFEAC1A" w14:textId="77777777" w:rsidR="00251C8D" w:rsidRDefault="00CA55ED">
      <w:pPr>
        <w:pStyle w:val="Heading1"/>
      </w:pPr>
      <w:r>
        <w:rPr>
          <w:color w:val="003195"/>
          <w:spacing w:val="-2"/>
        </w:rPr>
        <w:t>METHODS</w:t>
      </w:r>
    </w:p>
    <w:p w14:paraId="681D6398" w14:textId="77777777" w:rsidR="00251C8D" w:rsidRDefault="00251C8D">
      <w:pPr>
        <w:pStyle w:val="BodyText"/>
        <w:spacing w:before="5"/>
        <w:rPr>
          <w:b/>
        </w:rPr>
      </w:pPr>
    </w:p>
    <w:p w14:paraId="4A82ABB0" w14:textId="77777777" w:rsidR="00251C8D" w:rsidRDefault="00CA55ED">
      <w:pPr>
        <w:pStyle w:val="BodyText"/>
        <w:spacing w:before="1"/>
        <w:ind w:left="170" w:right="31"/>
        <w:jc w:val="both"/>
      </w:pPr>
      <w:r>
        <w:t>The study was conducted in the department of general surgery at the Himalayan institute of medical sciences, Swami</w:t>
      </w:r>
      <w:r>
        <w:rPr>
          <w:spacing w:val="79"/>
        </w:rPr>
        <w:t xml:space="preserve"> </w:t>
      </w:r>
      <w:r>
        <w:t>Ram</w:t>
      </w:r>
      <w:r>
        <w:rPr>
          <w:spacing w:val="76"/>
        </w:rPr>
        <w:t xml:space="preserve"> </w:t>
      </w:r>
      <w:r>
        <w:t>Nagar,</w:t>
      </w:r>
      <w:r>
        <w:rPr>
          <w:spacing w:val="55"/>
          <w:w w:val="150"/>
        </w:rPr>
        <w:t xml:space="preserve"> </w:t>
      </w:r>
      <w:r>
        <w:t>Dehradun</w:t>
      </w:r>
      <w:r>
        <w:rPr>
          <w:spacing w:val="79"/>
        </w:rPr>
        <w:t xml:space="preserve"> </w:t>
      </w:r>
      <w:r>
        <w:t>over</w:t>
      </w:r>
      <w:r>
        <w:rPr>
          <w:spacing w:val="55"/>
          <w:w w:val="150"/>
        </w:rPr>
        <w:t xml:space="preserve"> </w:t>
      </w:r>
      <w:r>
        <w:t>a</w:t>
      </w:r>
      <w:r>
        <w:rPr>
          <w:spacing w:val="55"/>
          <w:w w:val="150"/>
        </w:rPr>
        <w:t xml:space="preserve"> </w:t>
      </w:r>
      <w:r>
        <w:t>period</w:t>
      </w:r>
      <w:r>
        <w:rPr>
          <w:spacing w:val="79"/>
        </w:rPr>
        <w:t xml:space="preserve"> </w:t>
      </w:r>
      <w:r>
        <w:t>of</w:t>
      </w:r>
      <w:r>
        <w:rPr>
          <w:spacing w:val="78"/>
        </w:rPr>
        <w:t xml:space="preserve"> </w:t>
      </w:r>
      <w:r>
        <w:rPr>
          <w:spacing w:val="-5"/>
        </w:rPr>
        <w:t>12</w:t>
      </w:r>
    </w:p>
    <w:p w14:paraId="1201673E" w14:textId="77777777" w:rsidR="00251C8D" w:rsidRDefault="00251C8D">
      <w:pPr>
        <w:pStyle w:val="BodyText"/>
        <w:jc w:val="both"/>
        <w:sectPr w:rsidR="00251C8D">
          <w:type w:val="continuous"/>
          <w:pgSz w:w="11910" w:h="16840"/>
          <w:pgMar w:top="560" w:right="992" w:bottom="900" w:left="850" w:header="0" w:footer="712" w:gutter="0"/>
          <w:cols w:num="2" w:space="720" w:equalWidth="0">
            <w:col w:w="4857" w:space="359"/>
            <w:col w:w="4852"/>
          </w:cols>
        </w:sectPr>
      </w:pPr>
    </w:p>
    <w:p w14:paraId="5AE26301" w14:textId="77777777" w:rsidR="00251C8D" w:rsidRDefault="00251C8D">
      <w:pPr>
        <w:pStyle w:val="BodyText"/>
        <w:spacing w:before="202"/>
      </w:pPr>
    </w:p>
    <w:p w14:paraId="39FD0105" w14:textId="77777777" w:rsidR="00251C8D" w:rsidRDefault="00251C8D">
      <w:pPr>
        <w:pStyle w:val="BodyText"/>
        <w:sectPr w:rsidR="00251C8D">
          <w:headerReference w:type="even" r:id="rId13"/>
          <w:headerReference w:type="default" r:id="rId14"/>
          <w:footerReference w:type="default" r:id="rId15"/>
          <w:headerReference w:type="first" r:id="rId16"/>
          <w:pgSz w:w="11910" w:h="16840"/>
          <w:pgMar w:top="900" w:right="992" w:bottom="900" w:left="850" w:header="710" w:footer="712" w:gutter="0"/>
          <w:cols w:space="720"/>
        </w:sectPr>
      </w:pPr>
    </w:p>
    <w:p w14:paraId="3A1CE69F" w14:textId="77777777" w:rsidR="00251C8D" w:rsidRDefault="00CA55ED">
      <w:pPr>
        <w:pStyle w:val="BodyText"/>
        <w:spacing w:before="91"/>
        <w:ind w:left="170" w:right="43"/>
        <w:jc w:val="both"/>
      </w:pPr>
      <w:r>
        <w:t>months. Patients were recruited as per the inclusion criteria after obtaining informed consents from the study subjects. Ethical clearance for the study was obtained from the institutional ethics committee.</w:t>
      </w:r>
    </w:p>
    <w:p w14:paraId="01C83862" w14:textId="77777777" w:rsidR="00251C8D" w:rsidRDefault="00251C8D">
      <w:pPr>
        <w:pStyle w:val="BodyText"/>
        <w:spacing w:before="17"/>
      </w:pPr>
    </w:p>
    <w:p w14:paraId="7927BA2D" w14:textId="77777777" w:rsidR="00251C8D" w:rsidRDefault="00CA55ED">
      <w:pPr>
        <w:pStyle w:val="Heading3"/>
      </w:pPr>
      <w:r>
        <w:t>Study</w:t>
      </w:r>
      <w:r>
        <w:rPr>
          <w:spacing w:val="-5"/>
        </w:rPr>
        <w:t xml:space="preserve"> </w:t>
      </w:r>
      <w:r>
        <w:rPr>
          <w:spacing w:val="-2"/>
        </w:rPr>
        <w:t>design</w:t>
      </w:r>
    </w:p>
    <w:p w14:paraId="041E417F" w14:textId="77777777" w:rsidR="00251C8D" w:rsidRDefault="00251C8D">
      <w:pPr>
        <w:pStyle w:val="BodyText"/>
        <w:spacing w:before="3"/>
        <w:rPr>
          <w:b/>
          <w:i/>
        </w:rPr>
      </w:pPr>
    </w:p>
    <w:p w14:paraId="17C353F8" w14:textId="77777777" w:rsidR="00251C8D" w:rsidRDefault="00CA55ED">
      <w:pPr>
        <w:ind w:left="170"/>
        <w:jc w:val="both"/>
        <w:rPr>
          <w:i/>
          <w:sz w:val="20"/>
        </w:rPr>
      </w:pPr>
      <w:r>
        <w:rPr>
          <w:i/>
          <w:sz w:val="20"/>
        </w:rPr>
        <w:t>Type</w:t>
      </w:r>
      <w:r>
        <w:rPr>
          <w:i/>
          <w:spacing w:val="-2"/>
          <w:sz w:val="20"/>
        </w:rPr>
        <w:t xml:space="preserve"> </w:t>
      </w:r>
      <w:r>
        <w:rPr>
          <w:i/>
          <w:sz w:val="20"/>
        </w:rPr>
        <w:t>of</w:t>
      </w:r>
      <w:r>
        <w:rPr>
          <w:i/>
          <w:spacing w:val="-3"/>
          <w:sz w:val="20"/>
        </w:rPr>
        <w:t xml:space="preserve"> </w:t>
      </w:r>
      <w:r>
        <w:rPr>
          <w:i/>
          <w:spacing w:val="-2"/>
          <w:sz w:val="20"/>
        </w:rPr>
        <w:t>study</w:t>
      </w:r>
    </w:p>
    <w:p w14:paraId="3B7918BA" w14:textId="77777777" w:rsidR="00251C8D" w:rsidRDefault="00251C8D">
      <w:pPr>
        <w:pStyle w:val="BodyText"/>
        <w:spacing w:before="10"/>
        <w:rPr>
          <w:i/>
        </w:rPr>
      </w:pPr>
    </w:p>
    <w:p w14:paraId="2FB663EC" w14:textId="77777777" w:rsidR="00251C8D" w:rsidRDefault="00CA55ED">
      <w:pPr>
        <w:pStyle w:val="BodyText"/>
        <w:ind w:left="170"/>
        <w:jc w:val="both"/>
      </w:pPr>
      <w:r>
        <w:t>Observational</w:t>
      </w:r>
      <w:r>
        <w:rPr>
          <w:spacing w:val="-3"/>
        </w:rPr>
        <w:t xml:space="preserve"> </w:t>
      </w:r>
      <w:r>
        <w:t>follow</w:t>
      </w:r>
      <w:r>
        <w:rPr>
          <w:spacing w:val="-6"/>
        </w:rPr>
        <w:t xml:space="preserve"> </w:t>
      </w:r>
      <w:r>
        <w:t>up</w:t>
      </w:r>
      <w:r>
        <w:rPr>
          <w:spacing w:val="-4"/>
        </w:rPr>
        <w:t xml:space="preserve"> </w:t>
      </w:r>
      <w:r>
        <w:t>study</w:t>
      </w:r>
      <w:r>
        <w:rPr>
          <w:spacing w:val="-1"/>
        </w:rPr>
        <w:t xml:space="preserve"> </w:t>
      </w:r>
      <w:r>
        <w:t>used</w:t>
      </w:r>
      <w:r>
        <w:rPr>
          <w:spacing w:val="-3"/>
        </w:rPr>
        <w:t xml:space="preserve"> </w:t>
      </w:r>
      <w:r>
        <w:t>as</w:t>
      </w:r>
      <w:r>
        <w:rPr>
          <w:spacing w:val="-5"/>
        </w:rPr>
        <w:t xml:space="preserve"> </w:t>
      </w:r>
      <w:r>
        <w:t>a</w:t>
      </w:r>
      <w:r>
        <w:rPr>
          <w:spacing w:val="-5"/>
        </w:rPr>
        <w:t xml:space="preserve"> </w:t>
      </w:r>
      <w:r>
        <w:t>study</w:t>
      </w:r>
      <w:r>
        <w:rPr>
          <w:spacing w:val="-8"/>
        </w:rPr>
        <w:t xml:space="preserve"> </w:t>
      </w:r>
      <w:r>
        <w:rPr>
          <w:spacing w:val="-2"/>
        </w:rPr>
        <w:t>design.</w:t>
      </w:r>
    </w:p>
    <w:p w14:paraId="03243219" w14:textId="77777777" w:rsidR="00251C8D" w:rsidRDefault="00251C8D">
      <w:pPr>
        <w:pStyle w:val="BodyText"/>
        <w:spacing w:before="11"/>
      </w:pPr>
    </w:p>
    <w:p w14:paraId="1EA2A900" w14:textId="77777777" w:rsidR="00251C8D" w:rsidRDefault="00CA55ED">
      <w:pPr>
        <w:ind w:left="170"/>
        <w:jc w:val="both"/>
        <w:rPr>
          <w:i/>
          <w:sz w:val="20"/>
        </w:rPr>
      </w:pPr>
      <w:r>
        <w:rPr>
          <w:i/>
          <w:sz w:val="20"/>
        </w:rPr>
        <w:t>Sample</w:t>
      </w:r>
      <w:r>
        <w:rPr>
          <w:i/>
          <w:spacing w:val="-3"/>
          <w:sz w:val="20"/>
        </w:rPr>
        <w:t xml:space="preserve"> </w:t>
      </w:r>
      <w:r>
        <w:rPr>
          <w:i/>
          <w:spacing w:val="-4"/>
          <w:sz w:val="20"/>
        </w:rPr>
        <w:t>size</w:t>
      </w:r>
    </w:p>
    <w:p w14:paraId="613A1627" w14:textId="77777777" w:rsidR="00251C8D" w:rsidRDefault="00251C8D">
      <w:pPr>
        <w:pStyle w:val="BodyText"/>
        <w:spacing w:before="10"/>
        <w:rPr>
          <w:i/>
        </w:rPr>
      </w:pPr>
    </w:p>
    <w:p w14:paraId="0C70CD02" w14:textId="77777777" w:rsidR="00251C8D" w:rsidRDefault="00CA55ED">
      <w:pPr>
        <w:pStyle w:val="BodyText"/>
        <w:ind w:left="170"/>
        <w:jc w:val="both"/>
      </w:pPr>
      <w:r>
        <w:t>Total</w:t>
      </w:r>
      <w:r>
        <w:rPr>
          <w:spacing w:val="-6"/>
        </w:rPr>
        <w:t xml:space="preserve"> </w:t>
      </w:r>
      <w:r>
        <w:t>71</w:t>
      </w:r>
      <w:r>
        <w:rPr>
          <w:spacing w:val="-4"/>
        </w:rPr>
        <w:t xml:space="preserve"> </w:t>
      </w:r>
      <w:r>
        <w:t>patients</w:t>
      </w:r>
      <w:r>
        <w:rPr>
          <w:spacing w:val="-3"/>
        </w:rPr>
        <w:t xml:space="preserve"> </w:t>
      </w:r>
      <w:r>
        <w:t>were</w:t>
      </w:r>
      <w:r>
        <w:rPr>
          <w:spacing w:val="-4"/>
        </w:rPr>
        <w:t xml:space="preserve"> </w:t>
      </w:r>
      <w:r>
        <w:t>involved</w:t>
      </w:r>
      <w:r>
        <w:rPr>
          <w:spacing w:val="-3"/>
        </w:rPr>
        <w:t xml:space="preserve"> </w:t>
      </w:r>
      <w:r>
        <w:t>in</w:t>
      </w:r>
      <w:r>
        <w:rPr>
          <w:spacing w:val="-6"/>
        </w:rPr>
        <w:t xml:space="preserve"> </w:t>
      </w:r>
      <w:r>
        <w:t>the</w:t>
      </w:r>
      <w:r>
        <w:rPr>
          <w:spacing w:val="-4"/>
        </w:rPr>
        <w:t xml:space="preserve"> </w:t>
      </w:r>
      <w:r>
        <w:rPr>
          <w:spacing w:val="-2"/>
        </w:rPr>
        <w:t>study.</w:t>
      </w:r>
    </w:p>
    <w:p w14:paraId="5E757C59" w14:textId="77777777" w:rsidR="00251C8D" w:rsidRDefault="00251C8D">
      <w:pPr>
        <w:pStyle w:val="BodyText"/>
        <w:spacing w:before="11"/>
      </w:pPr>
    </w:p>
    <w:p w14:paraId="5C304C21" w14:textId="77777777" w:rsidR="00251C8D" w:rsidRDefault="00CA55ED">
      <w:pPr>
        <w:ind w:left="170"/>
        <w:jc w:val="both"/>
        <w:rPr>
          <w:i/>
          <w:sz w:val="20"/>
        </w:rPr>
      </w:pPr>
      <w:r>
        <w:rPr>
          <w:i/>
          <w:sz w:val="20"/>
        </w:rPr>
        <w:t>Sampling</w:t>
      </w:r>
      <w:r>
        <w:rPr>
          <w:i/>
          <w:spacing w:val="-4"/>
          <w:sz w:val="20"/>
        </w:rPr>
        <w:t xml:space="preserve"> </w:t>
      </w:r>
      <w:r>
        <w:rPr>
          <w:i/>
          <w:spacing w:val="-2"/>
          <w:sz w:val="20"/>
        </w:rPr>
        <w:t>method</w:t>
      </w:r>
    </w:p>
    <w:p w14:paraId="43E57A1C" w14:textId="77777777" w:rsidR="00251C8D" w:rsidRDefault="00251C8D">
      <w:pPr>
        <w:pStyle w:val="BodyText"/>
        <w:spacing w:before="11"/>
        <w:rPr>
          <w:i/>
        </w:rPr>
      </w:pPr>
    </w:p>
    <w:p w14:paraId="558A6222" w14:textId="77777777" w:rsidR="00251C8D" w:rsidRDefault="00CA55ED">
      <w:pPr>
        <w:pStyle w:val="BodyText"/>
        <w:ind w:left="170" w:right="44"/>
        <w:jc w:val="both"/>
      </w:pPr>
      <w:r>
        <w:t>Patients presenting to the surgery OPD as a case of ventral hernia were used as a sampling method.</w:t>
      </w:r>
    </w:p>
    <w:p w14:paraId="38E383A6" w14:textId="77777777" w:rsidR="00251C8D" w:rsidRDefault="00251C8D">
      <w:pPr>
        <w:pStyle w:val="BodyText"/>
        <w:spacing w:before="8"/>
      </w:pPr>
    </w:p>
    <w:p w14:paraId="0B3E5438" w14:textId="77777777" w:rsidR="00251C8D" w:rsidRDefault="00CA55ED">
      <w:pPr>
        <w:ind w:left="170"/>
        <w:jc w:val="both"/>
        <w:rPr>
          <w:i/>
          <w:sz w:val="20"/>
        </w:rPr>
      </w:pPr>
      <w:r>
        <w:rPr>
          <w:i/>
          <w:sz w:val="20"/>
        </w:rPr>
        <w:t>Inclusion</w:t>
      </w:r>
      <w:r>
        <w:rPr>
          <w:i/>
          <w:spacing w:val="-6"/>
          <w:sz w:val="20"/>
        </w:rPr>
        <w:t xml:space="preserve"> </w:t>
      </w:r>
      <w:r>
        <w:rPr>
          <w:i/>
          <w:spacing w:val="-2"/>
          <w:sz w:val="20"/>
        </w:rPr>
        <w:t>criteria</w:t>
      </w:r>
    </w:p>
    <w:p w14:paraId="7131A4CF" w14:textId="77777777" w:rsidR="00251C8D" w:rsidRDefault="00251C8D">
      <w:pPr>
        <w:pStyle w:val="BodyText"/>
        <w:spacing w:before="11"/>
        <w:rPr>
          <w:i/>
        </w:rPr>
      </w:pPr>
    </w:p>
    <w:p w14:paraId="188C8972" w14:textId="77777777" w:rsidR="00251C8D" w:rsidRDefault="00CA55ED">
      <w:pPr>
        <w:pStyle w:val="BodyText"/>
        <w:spacing w:line="242" w:lineRule="auto"/>
        <w:ind w:left="170" w:right="42"/>
        <w:jc w:val="both"/>
      </w:pPr>
      <w:r>
        <w:t>Patients with the age 18-70 years presenting with uncomplicated</w:t>
      </w:r>
      <w:r>
        <w:rPr>
          <w:spacing w:val="-2"/>
        </w:rPr>
        <w:t xml:space="preserve"> </w:t>
      </w:r>
      <w:r>
        <w:t>ventral</w:t>
      </w:r>
      <w:r>
        <w:rPr>
          <w:spacing w:val="-3"/>
        </w:rPr>
        <w:t xml:space="preserve"> </w:t>
      </w:r>
      <w:r>
        <w:t>hernias were</w:t>
      </w:r>
      <w:r>
        <w:rPr>
          <w:spacing w:val="-3"/>
        </w:rPr>
        <w:t xml:space="preserve"> </w:t>
      </w:r>
      <w:r>
        <w:t>included</w:t>
      </w:r>
      <w:r>
        <w:rPr>
          <w:spacing w:val="-2"/>
        </w:rPr>
        <w:t xml:space="preserve"> </w:t>
      </w:r>
      <w:r>
        <w:t>in</w:t>
      </w:r>
      <w:r>
        <w:rPr>
          <w:spacing w:val="-5"/>
        </w:rPr>
        <w:t xml:space="preserve"> </w:t>
      </w:r>
      <w:r>
        <w:t>the</w:t>
      </w:r>
      <w:r>
        <w:rPr>
          <w:spacing w:val="-3"/>
        </w:rPr>
        <w:t xml:space="preserve"> </w:t>
      </w:r>
      <w:r>
        <w:t>study.</w:t>
      </w:r>
    </w:p>
    <w:p w14:paraId="628191C9" w14:textId="77777777" w:rsidR="00251C8D" w:rsidRDefault="00251C8D">
      <w:pPr>
        <w:pStyle w:val="BodyText"/>
        <w:spacing w:before="6"/>
      </w:pPr>
    </w:p>
    <w:p w14:paraId="1FC2AEC7" w14:textId="77777777" w:rsidR="00251C8D" w:rsidRDefault="00CA55ED">
      <w:pPr>
        <w:ind w:left="170"/>
        <w:jc w:val="both"/>
        <w:rPr>
          <w:i/>
          <w:sz w:val="20"/>
        </w:rPr>
      </w:pPr>
      <w:commentRangeStart w:id="0"/>
      <w:r>
        <w:rPr>
          <w:i/>
          <w:sz w:val="20"/>
        </w:rPr>
        <w:t>Exclusion</w:t>
      </w:r>
      <w:r>
        <w:rPr>
          <w:i/>
          <w:spacing w:val="-8"/>
          <w:sz w:val="20"/>
        </w:rPr>
        <w:t xml:space="preserve"> </w:t>
      </w:r>
      <w:r>
        <w:rPr>
          <w:i/>
          <w:spacing w:val="-2"/>
          <w:sz w:val="20"/>
        </w:rPr>
        <w:t>criteria</w:t>
      </w:r>
    </w:p>
    <w:commentRangeEnd w:id="0"/>
    <w:p w14:paraId="0AB7CB35" w14:textId="77777777" w:rsidR="00251C8D" w:rsidRDefault="001B222E">
      <w:pPr>
        <w:pStyle w:val="BodyText"/>
        <w:spacing w:before="10"/>
        <w:rPr>
          <w:i/>
        </w:rPr>
      </w:pPr>
      <w:r>
        <w:rPr>
          <w:rStyle w:val="CommentReference"/>
        </w:rPr>
        <w:commentReference w:id="0"/>
      </w:r>
    </w:p>
    <w:p w14:paraId="47FB6B99" w14:textId="77777777" w:rsidR="00251C8D" w:rsidRDefault="00CA55ED">
      <w:pPr>
        <w:pStyle w:val="BodyText"/>
        <w:ind w:left="170" w:right="41"/>
        <w:jc w:val="both"/>
      </w:pPr>
      <w:r>
        <w:t>Pregnant women, patients with complicated ventral</w:t>
      </w:r>
      <w:r>
        <w:rPr>
          <w:spacing w:val="40"/>
        </w:rPr>
        <w:t xml:space="preserve"> </w:t>
      </w:r>
      <w:r>
        <w:t>hernia (Obstructed, incarcerated, strangulated, recurrent), patients with immunocompromised states and patients with cirrhosis of liver and/or ascites were excluded from the study.</w:t>
      </w:r>
    </w:p>
    <w:p w14:paraId="135BA107" w14:textId="77777777" w:rsidR="00251C8D" w:rsidRDefault="00251C8D">
      <w:pPr>
        <w:pStyle w:val="BodyText"/>
        <w:spacing w:before="15"/>
      </w:pPr>
    </w:p>
    <w:p w14:paraId="3D3D5838" w14:textId="77777777" w:rsidR="00251C8D" w:rsidRDefault="00CA55ED">
      <w:pPr>
        <w:pStyle w:val="Heading3"/>
      </w:pPr>
      <w:r>
        <w:t>Study</w:t>
      </w:r>
      <w:r>
        <w:rPr>
          <w:spacing w:val="-5"/>
        </w:rPr>
        <w:t xml:space="preserve"> </w:t>
      </w:r>
      <w:r>
        <w:rPr>
          <w:spacing w:val="-2"/>
        </w:rPr>
        <w:t>tools</w:t>
      </w:r>
    </w:p>
    <w:p w14:paraId="756E2B8A" w14:textId="77777777" w:rsidR="00251C8D" w:rsidRDefault="00251C8D">
      <w:pPr>
        <w:pStyle w:val="BodyText"/>
        <w:spacing w:before="3"/>
        <w:rPr>
          <w:b/>
          <w:i/>
        </w:rPr>
      </w:pPr>
    </w:p>
    <w:p w14:paraId="1E894D1D" w14:textId="77777777" w:rsidR="00251C8D" w:rsidRDefault="00CA55ED">
      <w:pPr>
        <w:pStyle w:val="BodyText"/>
        <w:spacing w:before="1" w:line="242" w:lineRule="auto"/>
        <w:ind w:left="170" w:right="38"/>
        <w:jc w:val="both"/>
      </w:pPr>
      <w:r>
        <w:t>Study tools used were data collection form, laparoscopic set-Stryker</w:t>
      </w:r>
      <w:r>
        <w:rPr>
          <w:spacing w:val="-2"/>
        </w:rPr>
        <w:t xml:space="preserve"> </w:t>
      </w:r>
      <w:r>
        <w:t>1180</w:t>
      </w:r>
      <w:r>
        <w:rPr>
          <w:spacing w:val="-2"/>
        </w:rPr>
        <w:t xml:space="preserve"> </w:t>
      </w:r>
      <w:r>
        <w:t>HD</w:t>
      </w:r>
      <w:r>
        <w:rPr>
          <w:spacing w:val="-3"/>
        </w:rPr>
        <w:t xml:space="preserve"> </w:t>
      </w:r>
      <w:r>
        <w:t>and</w:t>
      </w:r>
      <w:r>
        <w:rPr>
          <w:spacing w:val="-2"/>
        </w:rPr>
        <w:t xml:space="preserve"> </w:t>
      </w:r>
      <w:r>
        <w:t>type of</w:t>
      </w:r>
      <w:r>
        <w:rPr>
          <w:spacing w:val="-2"/>
        </w:rPr>
        <w:t xml:space="preserve"> </w:t>
      </w:r>
      <w:r>
        <w:t>mesh</w:t>
      </w:r>
      <w:r>
        <w:rPr>
          <w:spacing w:val="-4"/>
        </w:rPr>
        <w:t xml:space="preserve"> </w:t>
      </w:r>
      <w:r>
        <w:t>used:</w:t>
      </w:r>
      <w:r>
        <w:rPr>
          <w:spacing w:val="-3"/>
        </w:rPr>
        <w:t xml:space="preserve"> </w:t>
      </w:r>
      <w:r>
        <w:t>Open</w:t>
      </w:r>
      <w:r>
        <w:rPr>
          <w:spacing w:val="-4"/>
        </w:rPr>
        <w:t xml:space="preserve"> </w:t>
      </w:r>
      <w:r>
        <w:t xml:space="preserve">repair- polypropylene mesh and laparoscopic repair-composite </w:t>
      </w:r>
      <w:r>
        <w:rPr>
          <w:spacing w:val="-2"/>
        </w:rPr>
        <w:t>mesh.</w:t>
      </w:r>
    </w:p>
    <w:p w14:paraId="14600E4E" w14:textId="77777777" w:rsidR="00251C8D" w:rsidRDefault="00251C8D">
      <w:pPr>
        <w:pStyle w:val="BodyText"/>
        <w:spacing w:before="7"/>
      </w:pPr>
    </w:p>
    <w:p w14:paraId="441185BA" w14:textId="77777777" w:rsidR="00251C8D" w:rsidRDefault="00CA55ED">
      <w:pPr>
        <w:pStyle w:val="Heading3"/>
      </w:pPr>
      <w:r>
        <w:t>Study</w:t>
      </w:r>
      <w:r>
        <w:rPr>
          <w:spacing w:val="-5"/>
        </w:rPr>
        <w:t xml:space="preserve"> </w:t>
      </w:r>
      <w:r>
        <w:rPr>
          <w:spacing w:val="-2"/>
        </w:rPr>
        <w:t>protocol</w:t>
      </w:r>
    </w:p>
    <w:p w14:paraId="6F43FDAB" w14:textId="77777777" w:rsidR="00251C8D" w:rsidRDefault="00251C8D">
      <w:pPr>
        <w:pStyle w:val="BodyText"/>
        <w:spacing w:before="5"/>
        <w:rPr>
          <w:b/>
          <w:i/>
        </w:rPr>
      </w:pPr>
    </w:p>
    <w:p w14:paraId="1E6785CE" w14:textId="77777777" w:rsidR="00251C8D" w:rsidRDefault="00CA55ED">
      <w:pPr>
        <w:pStyle w:val="BodyText"/>
        <w:ind w:left="170" w:right="38"/>
        <w:jc w:val="both"/>
      </w:pPr>
      <w:r>
        <w:t>Thorough clinical history</w:t>
      </w:r>
      <w:r>
        <w:rPr>
          <w:spacing w:val="-2"/>
        </w:rPr>
        <w:t xml:space="preserve"> </w:t>
      </w:r>
      <w:r>
        <w:t>and examination of the patients was performed. Allocation of the patients in one of the two groups viz. Open or Laparoscopic surgical approach was done as per the patient’s choice. Investigations were done</w:t>
      </w:r>
      <w:r>
        <w:rPr>
          <w:spacing w:val="-2"/>
        </w:rPr>
        <w:t xml:space="preserve"> </w:t>
      </w:r>
      <w:r>
        <w:t>which</w:t>
      </w:r>
      <w:r>
        <w:rPr>
          <w:spacing w:val="-5"/>
        </w:rPr>
        <w:t xml:space="preserve"> </w:t>
      </w:r>
      <w:r>
        <w:t>included</w:t>
      </w:r>
      <w:r>
        <w:rPr>
          <w:spacing w:val="-3"/>
        </w:rPr>
        <w:t xml:space="preserve"> </w:t>
      </w:r>
      <w:r>
        <w:t>radiological</w:t>
      </w:r>
      <w:r>
        <w:rPr>
          <w:spacing w:val="-4"/>
        </w:rPr>
        <w:t xml:space="preserve"> </w:t>
      </w:r>
      <w:r>
        <w:t>investigations</w:t>
      </w:r>
      <w:r>
        <w:rPr>
          <w:spacing w:val="-4"/>
        </w:rPr>
        <w:t xml:space="preserve"> </w:t>
      </w:r>
      <w:r>
        <w:t>like</w:t>
      </w:r>
      <w:r>
        <w:rPr>
          <w:spacing w:val="-4"/>
        </w:rPr>
        <w:t xml:space="preserve"> </w:t>
      </w:r>
      <w:r>
        <w:t xml:space="preserve">USG and CT (if done). Postoperatively, both the groups were given VAS score card to express the intensity of pain on POD 2 and was recorded. Post-operative day of </w:t>
      </w:r>
      <w:proofErr w:type="spellStart"/>
      <w:r>
        <w:t>mobilisation</w:t>
      </w:r>
      <w:proofErr w:type="spellEnd"/>
      <w:r>
        <w:t xml:space="preserve"> and post-operative day of discharge was noted. The patients were “followed up in the post- operative</w:t>
      </w:r>
      <w:r>
        <w:rPr>
          <w:spacing w:val="-4"/>
        </w:rPr>
        <w:t xml:space="preserve"> </w:t>
      </w:r>
      <w:r>
        <w:t>period</w:t>
      </w:r>
      <w:r>
        <w:rPr>
          <w:spacing w:val="-3"/>
        </w:rPr>
        <w:t xml:space="preserve"> </w:t>
      </w:r>
      <w:r>
        <w:t>after</w:t>
      </w:r>
      <w:r>
        <w:rPr>
          <w:spacing w:val="-4"/>
        </w:rPr>
        <w:t xml:space="preserve"> </w:t>
      </w:r>
      <w:r>
        <w:t>discharge</w:t>
      </w:r>
      <w:r>
        <w:rPr>
          <w:spacing w:val="-4"/>
        </w:rPr>
        <w:t xml:space="preserve"> </w:t>
      </w:r>
      <w:r>
        <w:t>for</w:t>
      </w:r>
      <w:r>
        <w:rPr>
          <w:spacing w:val="-4"/>
        </w:rPr>
        <w:t xml:space="preserve"> </w:t>
      </w:r>
      <w:r>
        <w:t>a</w:t>
      </w:r>
      <w:r>
        <w:rPr>
          <w:spacing w:val="-4"/>
        </w:rPr>
        <w:t xml:space="preserve"> </w:t>
      </w:r>
      <w:r>
        <w:t>period</w:t>
      </w:r>
      <w:r>
        <w:rPr>
          <w:spacing w:val="-3"/>
        </w:rPr>
        <w:t xml:space="preserve"> </w:t>
      </w:r>
      <w:r>
        <w:t>of</w:t>
      </w:r>
      <w:r>
        <w:rPr>
          <w:spacing w:val="-6"/>
        </w:rPr>
        <w:t xml:space="preserve"> </w:t>
      </w:r>
      <w:r>
        <w:t>one month to look for the outcomes of the treatment done. Patients were assessed again at 2 weeks using the VAS score card for pain intensity and SF-8 score card for QOL. Quality</w:t>
      </w:r>
      <w:r>
        <w:rPr>
          <w:spacing w:val="40"/>
        </w:rPr>
        <w:t xml:space="preserve"> </w:t>
      </w:r>
      <w:r>
        <w:t>of Life index was assessed using a score card SF-8 again on follow up at 1 month, day of return to work and complications (if any) were also recorded.</w:t>
      </w:r>
    </w:p>
    <w:p w14:paraId="0484ECE8" w14:textId="77777777" w:rsidR="00251C8D" w:rsidRDefault="00CA55ED">
      <w:pPr>
        <w:pStyle w:val="Heading3"/>
        <w:spacing w:before="96"/>
        <w:ind w:left="171"/>
      </w:pPr>
      <w:r>
        <w:rPr>
          <w:b w:val="0"/>
          <w:i w:val="0"/>
        </w:rPr>
        <w:br w:type="column"/>
      </w:r>
      <w:r>
        <w:t>Data</w:t>
      </w:r>
      <w:r>
        <w:rPr>
          <w:spacing w:val="-7"/>
        </w:rPr>
        <w:t xml:space="preserve"> </w:t>
      </w:r>
      <w:r>
        <w:t>management</w:t>
      </w:r>
      <w:r>
        <w:rPr>
          <w:spacing w:val="-5"/>
        </w:rPr>
        <w:t xml:space="preserve"> </w:t>
      </w:r>
      <w:r>
        <w:t>and</w:t>
      </w:r>
      <w:r>
        <w:rPr>
          <w:spacing w:val="-6"/>
        </w:rPr>
        <w:t xml:space="preserve"> </w:t>
      </w:r>
      <w:r>
        <w:t>statistical</w:t>
      </w:r>
      <w:r>
        <w:rPr>
          <w:spacing w:val="-5"/>
        </w:rPr>
        <w:t xml:space="preserve"> </w:t>
      </w:r>
      <w:r>
        <w:rPr>
          <w:spacing w:val="-2"/>
        </w:rPr>
        <w:t>analysis</w:t>
      </w:r>
    </w:p>
    <w:p w14:paraId="7A81352D" w14:textId="77777777" w:rsidR="00251C8D" w:rsidRDefault="00251C8D">
      <w:pPr>
        <w:pStyle w:val="BodyText"/>
        <w:spacing w:before="6"/>
        <w:rPr>
          <w:b/>
          <w:i/>
        </w:rPr>
      </w:pPr>
    </w:p>
    <w:p w14:paraId="49E208B1" w14:textId="77777777" w:rsidR="00251C8D" w:rsidRDefault="00CA55ED">
      <w:pPr>
        <w:pStyle w:val="BodyText"/>
        <w:ind w:left="171" w:right="33"/>
        <w:jc w:val="both"/>
      </w:pPr>
      <w:r>
        <w:t>Interpretation and analysis of obtained results will be carried</w:t>
      </w:r>
      <w:r>
        <w:rPr>
          <w:spacing w:val="-1"/>
        </w:rPr>
        <w:t xml:space="preserve"> </w:t>
      </w:r>
      <w:r>
        <w:t>out</w:t>
      </w:r>
      <w:r>
        <w:rPr>
          <w:spacing w:val="-2"/>
        </w:rPr>
        <w:t xml:space="preserve"> </w:t>
      </w:r>
      <w:r>
        <w:t>using</w:t>
      </w:r>
      <w:r>
        <w:rPr>
          <w:spacing w:val="-1"/>
        </w:rPr>
        <w:t xml:space="preserve"> </w:t>
      </w:r>
      <w:r>
        <w:t>software</w:t>
      </w:r>
      <w:r>
        <w:rPr>
          <w:spacing w:val="-2"/>
        </w:rPr>
        <w:t xml:space="preserve"> </w:t>
      </w:r>
      <w:r>
        <w:t>SPSS version</w:t>
      </w:r>
      <w:r>
        <w:rPr>
          <w:spacing w:val="-1"/>
        </w:rPr>
        <w:t xml:space="preserve"> </w:t>
      </w:r>
      <w:r>
        <w:t>22</w:t>
      </w:r>
      <w:r>
        <w:rPr>
          <w:spacing w:val="-1"/>
        </w:rPr>
        <w:t xml:space="preserve"> </w:t>
      </w:r>
      <w:r>
        <w:t>and</w:t>
      </w:r>
      <w:r>
        <w:rPr>
          <w:spacing w:val="-1"/>
        </w:rPr>
        <w:t xml:space="preserve"> </w:t>
      </w:r>
      <w:r>
        <w:t>MS excel by application of descriptive methods (significance).</w:t>
      </w:r>
    </w:p>
    <w:p w14:paraId="7F744630" w14:textId="77777777" w:rsidR="00251C8D" w:rsidRDefault="00251C8D">
      <w:pPr>
        <w:pStyle w:val="BodyText"/>
        <w:spacing w:before="11"/>
      </w:pPr>
    </w:p>
    <w:p w14:paraId="2AB5A21D" w14:textId="77777777" w:rsidR="00251C8D" w:rsidRDefault="00CA55ED">
      <w:pPr>
        <w:pStyle w:val="BodyText"/>
        <w:ind w:left="171" w:right="35"/>
        <w:jc w:val="both"/>
      </w:pPr>
      <w:r>
        <w:t xml:space="preserve">Data thus collected will be </w:t>
      </w:r>
      <w:proofErr w:type="spellStart"/>
      <w:r>
        <w:t>analysed</w:t>
      </w:r>
      <w:proofErr w:type="spellEnd"/>
      <w:r>
        <w:t xml:space="preserve"> (p value, Chi square test/ Fischer test, unpaired t test) and presented in the form of tables/ charts.</w:t>
      </w:r>
    </w:p>
    <w:p w14:paraId="151903FC" w14:textId="77777777" w:rsidR="00251C8D" w:rsidRDefault="00251C8D">
      <w:pPr>
        <w:pStyle w:val="BodyText"/>
        <w:spacing w:before="13"/>
      </w:pPr>
    </w:p>
    <w:p w14:paraId="7BBA9F07" w14:textId="77777777" w:rsidR="00251C8D" w:rsidRDefault="00CA55ED">
      <w:pPr>
        <w:pStyle w:val="Heading1"/>
        <w:spacing w:before="1"/>
        <w:ind w:left="171"/>
      </w:pPr>
      <w:r>
        <w:rPr>
          <w:color w:val="003195"/>
          <w:spacing w:val="-2"/>
        </w:rPr>
        <w:t>RESULT</w:t>
      </w:r>
    </w:p>
    <w:p w14:paraId="4173D07F" w14:textId="77777777" w:rsidR="00251C8D" w:rsidRDefault="00251C8D">
      <w:pPr>
        <w:pStyle w:val="BodyText"/>
        <w:spacing w:before="5"/>
        <w:rPr>
          <w:b/>
        </w:rPr>
      </w:pPr>
    </w:p>
    <w:p w14:paraId="131262D8" w14:textId="77777777" w:rsidR="00251C8D" w:rsidRDefault="00CA55ED">
      <w:pPr>
        <w:pStyle w:val="BodyText"/>
        <w:ind w:left="171" w:right="32"/>
        <w:jc w:val="both"/>
      </w:pPr>
      <w:r>
        <w:t>This study was done to evaluate the outcome between</w:t>
      </w:r>
      <w:r>
        <w:rPr>
          <w:spacing w:val="-1"/>
        </w:rPr>
        <w:t xml:space="preserve"> </w:t>
      </w:r>
      <w:r>
        <w:t>the laparoscopic and open ventral hernia repair based on the following parameters.</w:t>
      </w:r>
    </w:p>
    <w:p w14:paraId="4366AF9E" w14:textId="77777777" w:rsidR="00251C8D" w:rsidRDefault="00251C8D">
      <w:pPr>
        <w:pStyle w:val="BodyText"/>
        <w:spacing w:before="10"/>
      </w:pPr>
    </w:p>
    <w:p w14:paraId="556C0E3F" w14:textId="77777777" w:rsidR="00251C8D" w:rsidRDefault="00CA55ED">
      <w:pPr>
        <w:pStyle w:val="BodyText"/>
        <w:ind w:left="171" w:right="32"/>
        <w:jc w:val="both"/>
      </w:pPr>
      <w:r>
        <w:t>Figure 1 shows that more than 50% of the cases were recorded in the age group between 26-50 years followed by</w:t>
      </w:r>
      <w:r>
        <w:rPr>
          <w:spacing w:val="23"/>
        </w:rPr>
        <w:t xml:space="preserve"> </w:t>
      </w:r>
      <w:r>
        <w:t>the</w:t>
      </w:r>
      <w:r>
        <w:rPr>
          <w:spacing w:val="26"/>
        </w:rPr>
        <w:t xml:space="preserve"> </w:t>
      </w:r>
      <w:r>
        <w:t>age</w:t>
      </w:r>
      <w:r>
        <w:rPr>
          <w:spacing w:val="27"/>
        </w:rPr>
        <w:t xml:space="preserve"> </w:t>
      </w:r>
      <w:r>
        <w:t>group</w:t>
      </w:r>
      <w:r>
        <w:rPr>
          <w:spacing w:val="26"/>
        </w:rPr>
        <w:t xml:space="preserve"> </w:t>
      </w:r>
      <w:r>
        <w:t>&gt;50</w:t>
      </w:r>
      <w:r>
        <w:rPr>
          <w:spacing w:val="28"/>
        </w:rPr>
        <w:t xml:space="preserve"> </w:t>
      </w:r>
      <w:r>
        <w:t>years</w:t>
      </w:r>
      <w:r>
        <w:rPr>
          <w:spacing w:val="26"/>
        </w:rPr>
        <w:t xml:space="preserve"> </w:t>
      </w:r>
      <w:r>
        <w:t>(42.3%)</w:t>
      </w:r>
      <w:r>
        <w:rPr>
          <w:spacing w:val="25"/>
        </w:rPr>
        <w:t xml:space="preserve"> </w:t>
      </w:r>
      <w:r>
        <w:t>and</w:t>
      </w:r>
      <w:r>
        <w:rPr>
          <w:spacing w:val="26"/>
        </w:rPr>
        <w:t xml:space="preserve"> </w:t>
      </w:r>
      <w:r>
        <w:t>the</w:t>
      </w:r>
      <w:r>
        <w:rPr>
          <w:spacing w:val="25"/>
        </w:rPr>
        <w:t xml:space="preserve"> </w:t>
      </w:r>
      <w:r>
        <w:t>age</w:t>
      </w:r>
      <w:r>
        <w:rPr>
          <w:spacing w:val="27"/>
        </w:rPr>
        <w:t xml:space="preserve"> </w:t>
      </w:r>
      <w:r>
        <w:rPr>
          <w:spacing w:val="-4"/>
        </w:rPr>
        <w:t>group</w:t>
      </w:r>
    </w:p>
    <w:p w14:paraId="2D6B7C87" w14:textId="77777777" w:rsidR="00251C8D" w:rsidRDefault="00CA55ED">
      <w:pPr>
        <w:pStyle w:val="BodyText"/>
        <w:spacing w:before="1"/>
        <w:ind w:left="171" w:right="28"/>
        <w:jc w:val="both"/>
      </w:pPr>
      <w:r>
        <w:t>&lt;25</w:t>
      </w:r>
      <w:r>
        <w:rPr>
          <w:spacing w:val="-2"/>
        </w:rPr>
        <w:t xml:space="preserve"> </w:t>
      </w:r>
      <w:r>
        <w:t>years</w:t>
      </w:r>
      <w:r>
        <w:rPr>
          <w:spacing w:val="-3"/>
        </w:rPr>
        <w:t xml:space="preserve"> </w:t>
      </w:r>
      <w:r>
        <w:t>(2.8%).</w:t>
      </w:r>
      <w:r>
        <w:rPr>
          <w:spacing w:val="-2"/>
        </w:rPr>
        <w:t xml:space="preserve"> </w:t>
      </w:r>
      <w:r>
        <w:t>Moreover,</w:t>
      </w:r>
      <w:r>
        <w:rPr>
          <w:spacing w:val="-5"/>
        </w:rPr>
        <w:t xml:space="preserve"> </w:t>
      </w:r>
      <w:r>
        <w:t>number</w:t>
      </w:r>
      <w:r>
        <w:rPr>
          <w:spacing w:val="-2"/>
        </w:rPr>
        <w:t xml:space="preserve"> </w:t>
      </w:r>
      <w:r>
        <w:t>of</w:t>
      </w:r>
      <w:r>
        <w:rPr>
          <w:spacing w:val="-2"/>
        </w:rPr>
        <w:t xml:space="preserve"> </w:t>
      </w:r>
      <w:r>
        <w:t>female</w:t>
      </w:r>
      <w:r>
        <w:rPr>
          <w:spacing w:val="-2"/>
        </w:rPr>
        <w:t xml:space="preserve"> </w:t>
      </w:r>
      <w:r>
        <w:t>cases</w:t>
      </w:r>
      <w:r>
        <w:rPr>
          <w:spacing w:val="-1"/>
        </w:rPr>
        <w:t xml:space="preserve"> </w:t>
      </w:r>
      <w:r>
        <w:t>was slightly higher than male cases (Figure 2).</w:t>
      </w:r>
    </w:p>
    <w:p w14:paraId="0F950144" w14:textId="77777777" w:rsidR="00251C8D" w:rsidRDefault="00CA55ED">
      <w:pPr>
        <w:pStyle w:val="BodyText"/>
        <w:spacing w:before="2"/>
        <w:rPr>
          <w:sz w:val="19"/>
        </w:rPr>
      </w:pPr>
      <w:r>
        <w:rPr>
          <w:noProof/>
          <w:sz w:val="19"/>
        </w:rPr>
        <w:drawing>
          <wp:anchor distT="0" distB="0" distL="0" distR="0" simplePos="0" relativeHeight="487589376" behindDoc="1" locked="0" layoutInCell="1" allowOverlap="1" wp14:anchorId="1E636980" wp14:editId="66D323AC">
            <wp:simplePos x="0" y="0"/>
            <wp:positionH relativeFrom="page">
              <wp:posOffset>3959352</wp:posOffset>
            </wp:positionH>
            <wp:positionV relativeFrom="paragraph">
              <wp:posOffset>155253</wp:posOffset>
            </wp:positionV>
            <wp:extent cx="2959480" cy="220970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1" cstate="print"/>
                    <a:stretch>
                      <a:fillRect/>
                    </a:stretch>
                  </pic:blipFill>
                  <pic:spPr>
                    <a:xfrm>
                      <a:off x="0" y="0"/>
                      <a:ext cx="2959480" cy="2209704"/>
                    </a:xfrm>
                    <a:prstGeom prst="rect">
                      <a:avLst/>
                    </a:prstGeom>
                  </pic:spPr>
                </pic:pic>
              </a:graphicData>
            </a:graphic>
          </wp:anchor>
        </w:drawing>
      </w:r>
    </w:p>
    <w:p w14:paraId="625E4659" w14:textId="77777777" w:rsidR="00251C8D" w:rsidRDefault="00251C8D">
      <w:pPr>
        <w:pStyle w:val="BodyText"/>
        <w:spacing w:before="12"/>
      </w:pPr>
    </w:p>
    <w:p w14:paraId="55BDAA75" w14:textId="77777777" w:rsidR="00251C8D" w:rsidRDefault="00CA55ED">
      <w:pPr>
        <w:pStyle w:val="Heading2"/>
      </w:pPr>
      <w:r>
        <w:rPr>
          <w:color w:val="003195"/>
        </w:rPr>
        <w:t>Figure</w:t>
      </w:r>
      <w:r>
        <w:rPr>
          <w:color w:val="003195"/>
          <w:spacing w:val="-3"/>
        </w:rPr>
        <w:t xml:space="preserve"> </w:t>
      </w:r>
      <w:r>
        <w:rPr>
          <w:color w:val="003195"/>
        </w:rPr>
        <w:t>1:</w:t>
      </w:r>
      <w:r>
        <w:rPr>
          <w:color w:val="003195"/>
          <w:spacing w:val="-3"/>
        </w:rPr>
        <w:t xml:space="preserve"> </w:t>
      </w:r>
      <w:r>
        <w:rPr>
          <w:color w:val="003195"/>
        </w:rPr>
        <w:t>Age</w:t>
      </w:r>
      <w:r>
        <w:rPr>
          <w:color w:val="003195"/>
          <w:spacing w:val="-3"/>
        </w:rPr>
        <w:t xml:space="preserve"> </w:t>
      </w:r>
      <w:r>
        <w:rPr>
          <w:color w:val="003195"/>
          <w:spacing w:val="-2"/>
        </w:rPr>
        <w:t>distribution.</w:t>
      </w:r>
    </w:p>
    <w:p w14:paraId="68413A72" w14:textId="77777777" w:rsidR="00251C8D" w:rsidRDefault="00CA55ED">
      <w:pPr>
        <w:pStyle w:val="BodyText"/>
        <w:spacing w:before="7"/>
        <w:rPr>
          <w:b/>
          <w:sz w:val="18"/>
        </w:rPr>
      </w:pPr>
      <w:r>
        <w:rPr>
          <w:b/>
          <w:noProof/>
          <w:sz w:val="18"/>
        </w:rPr>
        <w:drawing>
          <wp:anchor distT="0" distB="0" distL="0" distR="0" simplePos="0" relativeHeight="487589888" behindDoc="1" locked="0" layoutInCell="1" allowOverlap="1" wp14:anchorId="4D0C64F6" wp14:editId="6F8A0549">
            <wp:simplePos x="0" y="0"/>
            <wp:positionH relativeFrom="page">
              <wp:posOffset>3959352</wp:posOffset>
            </wp:positionH>
            <wp:positionV relativeFrom="paragraph">
              <wp:posOffset>151504</wp:posOffset>
            </wp:positionV>
            <wp:extent cx="2936935" cy="2023491"/>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2" cstate="print"/>
                    <a:stretch>
                      <a:fillRect/>
                    </a:stretch>
                  </pic:blipFill>
                  <pic:spPr>
                    <a:xfrm>
                      <a:off x="0" y="0"/>
                      <a:ext cx="2936935" cy="2023491"/>
                    </a:xfrm>
                    <a:prstGeom prst="rect">
                      <a:avLst/>
                    </a:prstGeom>
                  </pic:spPr>
                </pic:pic>
              </a:graphicData>
            </a:graphic>
          </wp:anchor>
        </w:drawing>
      </w:r>
    </w:p>
    <w:p w14:paraId="296C0F7E" w14:textId="77777777" w:rsidR="00251C8D" w:rsidRDefault="00251C8D">
      <w:pPr>
        <w:pStyle w:val="BodyText"/>
        <w:spacing w:before="37"/>
        <w:rPr>
          <w:b/>
        </w:rPr>
      </w:pPr>
    </w:p>
    <w:p w14:paraId="319B13B7" w14:textId="77777777" w:rsidR="00251C8D" w:rsidRDefault="00CA55ED">
      <w:pPr>
        <w:ind w:left="139"/>
        <w:jc w:val="center"/>
        <w:rPr>
          <w:b/>
          <w:sz w:val="20"/>
        </w:rPr>
      </w:pPr>
      <w:r>
        <w:rPr>
          <w:b/>
          <w:color w:val="003195"/>
          <w:sz w:val="20"/>
        </w:rPr>
        <w:t>Figure</w:t>
      </w:r>
      <w:r>
        <w:rPr>
          <w:b/>
          <w:color w:val="003195"/>
          <w:spacing w:val="-5"/>
          <w:sz w:val="20"/>
        </w:rPr>
        <w:t xml:space="preserve"> </w:t>
      </w:r>
      <w:r>
        <w:rPr>
          <w:b/>
          <w:color w:val="003195"/>
          <w:sz w:val="20"/>
        </w:rPr>
        <w:t>2:</w:t>
      </w:r>
      <w:r>
        <w:rPr>
          <w:b/>
          <w:color w:val="003195"/>
          <w:spacing w:val="-5"/>
          <w:sz w:val="20"/>
        </w:rPr>
        <w:t xml:space="preserve"> </w:t>
      </w:r>
      <w:r>
        <w:rPr>
          <w:b/>
          <w:color w:val="003195"/>
          <w:sz w:val="20"/>
        </w:rPr>
        <w:t>Gender</w:t>
      </w:r>
      <w:r>
        <w:rPr>
          <w:b/>
          <w:color w:val="003195"/>
          <w:spacing w:val="-5"/>
          <w:sz w:val="20"/>
        </w:rPr>
        <w:t xml:space="preserve"> </w:t>
      </w:r>
      <w:r>
        <w:rPr>
          <w:b/>
          <w:color w:val="003195"/>
          <w:spacing w:val="-2"/>
          <w:sz w:val="20"/>
        </w:rPr>
        <w:t>distribution.</w:t>
      </w:r>
    </w:p>
    <w:p w14:paraId="25501D23" w14:textId="77777777" w:rsidR="00251C8D" w:rsidRDefault="00251C8D">
      <w:pPr>
        <w:pStyle w:val="BodyText"/>
        <w:spacing w:before="5"/>
        <w:rPr>
          <w:b/>
        </w:rPr>
      </w:pPr>
    </w:p>
    <w:p w14:paraId="0D7A9066" w14:textId="77777777" w:rsidR="00251C8D" w:rsidRDefault="00CA55ED">
      <w:pPr>
        <w:pStyle w:val="BodyText"/>
        <w:ind w:left="171" w:right="33"/>
        <w:jc w:val="both"/>
      </w:pPr>
      <w:r>
        <w:t>The mean age of the cases was 47 years, mean height of the cases was 1.61, mean weight of the cases was 61 kgs and mean BMI of the cases was 23.57.</w:t>
      </w:r>
    </w:p>
    <w:p w14:paraId="320253E0" w14:textId="77777777" w:rsidR="00251C8D" w:rsidRDefault="00251C8D">
      <w:pPr>
        <w:pStyle w:val="BodyText"/>
        <w:jc w:val="both"/>
        <w:sectPr w:rsidR="00251C8D">
          <w:type w:val="continuous"/>
          <w:pgSz w:w="11910" w:h="16840"/>
          <w:pgMar w:top="560" w:right="992" w:bottom="900" w:left="850" w:header="710" w:footer="712" w:gutter="0"/>
          <w:cols w:num="2" w:space="720" w:equalWidth="0">
            <w:col w:w="4860" w:space="355"/>
            <w:col w:w="4853"/>
          </w:cols>
        </w:sectPr>
      </w:pPr>
    </w:p>
    <w:p w14:paraId="1E588268" w14:textId="77777777" w:rsidR="00251C8D" w:rsidRDefault="00251C8D">
      <w:pPr>
        <w:pStyle w:val="BodyText"/>
        <w:spacing w:before="202"/>
      </w:pPr>
    </w:p>
    <w:p w14:paraId="448F94F1" w14:textId="77777777" w:rsidR="00251C8D" w:rsidRDefault="00251C8D">
      <w:pPr>
        <w:pStyle w:val="BodyText"/>
        <w:sectPr w:rsidR="00251C8D">
          <w:pgSz w:w="11910" w:h="16840"/>
          <w:pgMar w:top="900" w:right="992" w:bottom="900" w:left="850" w:header="710" w:footer="712" w:gutter="0"/>
          <w:cols w:space="720"/>
        </w:sectPr>
      </w:pPr>
    </w:p>
    <w:p w14:paraId="5351AE20" w14:textId="77777777" w:rsidR="00251C8D" w:rsidRDefault="00CA55ED">
      <w:pPr>
        <w:pStyle w:val="BodyText"/>
        <w:spacing w:before="91" w:line="242" w:lineRule="auto"/>
        <w:ind w:left="170" w:right="90"/>
        <w:jc w:val="both"/>
      </w:pPr>
      <w:r>
        <w:t>As</w:t>
      </w:r>
      <w:r>
        <w:rPr>
          <w:spacing w:val="-4"/>
        </w:rPr>
        <w:t xml:space="preserve"> </w:t>
      </w:r>
      <w:r>
        <w:t>shown</w:t>
      </w:r>
      <w:r>
        <w:rPr>
          <w:spacing w:val="-2"/>
        </w:rPr>
        <w:t xml:space="preserve"> </w:t>
      </w:r>
      <w:r>
        <w:t>in</w:t>
      </w:r>
      <w:r>
        <w:rPr>
          <w:spacing w:val="-2"/>
        </w:rPr>
        <w:t xml:space="preserve"> </w:t>
      </w:r>
      <w:r>
        <w:t>Figure</w:t>
      </w:r>
      <w:r>
        <w:rPr>
          <w:spacing w:val="-3"/>
        </w:rPr>
        <w:t xml:space="preserve"> </w:t>
      </w:r>
      <w:r>
        <w:t>3,</w:t>
      </w:r>
      <w:r>
        <w:rPr>
          <w:spacing w:val="-3"/>
        </w:rPr>
        <w:t xml:space="preserve"> </w:t>
      </w:r>
      <w:r>
        <w:t>of</w:t>
      </w:r>
      <w:r>
        <w:rPr>
          <w:spacing w:val="-5"/>
        </w:rPr>
        <w:t xml:space="preserve"> </w:t>
      </w:r>
      <w:r>
        <w:t>the</w:t>
      </w:r>
      <w:r>
        <w:rPr>
          <w:spacing w:val="-3"/>
        </w:rPr>
        <w:t xml:space="preserve"> </w:t>
      </w:r>
      <w:r>
        <w:t>total</w:t>
      </w:r>
      <w:r>
        <w:rPr>
          <w:spacing w:val="-3"/>
        </w:rPr>
        <w:t xml:space="preserve"> </w:t>
      </w:r>
      <w:r>
        <w:t>study</w:t>
      </w:r>
      <w:r>
        <w:rPr>
          <w:spacing w:val="-4"/>
        </w:rPr>
        <w:t xml:space="preserve"> </w:t>
      </w:r>
      <w:r>
        <w:t>subjects,</w:t>
      </w:r>
      <w:r>
        <w:rPr>
          <w:spacing w:val="-3"/>
        </w:rPr>
        <w:t xml:space="preserve"> </w:t>
      </w:r>
      <w:r>
        <w:t>44</w:t>
      </w:r>
      <w:r>
        <w:rPr>
          <w:spacing w:val="-2"/>
        </w:rPr>
        <w:t xml:space="preserve"> </w:t>
      </w:r>
      <w:r>
        <w:t>cases underwent open surgery while there were 27 of the cases who underwent laparoscopic surgery.</w:t>
      </w:r>
    </w:p>
    <w:p w14:paraId="7F91F3E3" w14:textId="77777777" w:rsidR="00251C8D" w:rsidRDefault="00CA55ED">
      <w:pPr>
        <w:pStyle w:val="BodyText"/>
        <w:spacing w:before="7"/>
        <w:rPr>
          <w:sz w:val="18"/>
        </w:rPr>
      </w:pPr>
      <w:r>
        <w:rPr>
          <w:noProof/>
          <w:sz w:val="18"/>
        </w:rPr>
        <w:drawing>
          <wp:anchor distT="0" distB="0" distL="0" distR="0" simplePos="0" relativeHeight="487590400" behindDoc="1" locked="0" layoutInCell="1" allowOverlap="1" wp14:anchorId="1CF9AC25" wp14:editId="314DCD33">
            <wp:simplePos x="0" y="0"/>
            <wp:positionH relativeFrom="page">
              <wp:posOffset>647700</wp:posOffset>
            </wp:positionH>
            <wp:positionV relativeFrom="paragraph">
              <wp:posOffset>151665</wp:posOffset>
            </wp:positionV>
            <wp:extent cx="2963556" cy="181165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3" cstate="print"/>
                    <a:stretch>
                      <a:fillRect/>
                    </a:stretch>
                  </pic:blipFill>
                  <pic:spPr>
                    <a:xfrm>
                      <a:off x="0" y="0"/>
                      <a:ext cx="2963556" cy="1811654"/>
                    </a:xfrm>
                    <a:prstGeom prst="rect">
                      <a:avLst/>
                    </a:prstGeom>
                  </pic:spPr>
                </pic:pic>
              </a:graphicData>
            </a:graphic>
          </wp:anchor>
        </w:drawing>
      </w:r>
    </w:p>
    <w:p w14:paraId="1D464BBF" w14:textId="77777777" w:rsidR="00251C8D" w:rsidRDefault="00CA55ED">
      <w:pPr>
        <w:pStyle w:val="Heading2"/>
        <w:spacing w:line="470" w:lineRule="atLeast"/>
        <w:ind w:left="1464" w:right="1385" w:hanging="1"/>
      </w:pPr>
      <w:r>
        <w:rPr>
          <w:color w:val="003195"/>
        </w:rPr>
        <w:t>Figure 3: Procedure. Table</w:t>
      </w:r>
      <w:r>
        <w:rPr>
          <w:color w:val="003195"/>
          <w:spacing w:val="-11"/>
        </w:rPr>
        <w:t xml:space="preserve"> </w:t>
      </w:r>
      <w:r>
        <w:rPr>
          <w:color w:val="003195"/>
        </w:rPr>
        <w:t>1:</w:t>
      </w:r>
      <w:r>
        <w:rPr>
          <w:color w:val="003195"/>
          <w:spacing w:val="-10"/>
        </w:rPr>
        <w:t xml:space="preserve"> </w:t>
      </w:r>
      <w:r>
        <w:rPr>
          <w:color w:val="003195"/>
        </w:rPr>
        <w:t>Type</w:t>
      </w:r>
      <w:r>
        <w:rPr>
          <w:color w:val="003195"/>
          <w:spacing w:val="-10"/>
        </w:rPr>
        <w:t xml:space="preserve"> </w:t>
      </w:r>
      <w:r>
        <w:rPr>
          <w:color w:val="003195"/>
        </w:rPr>
        <w:t>of</w:t>
      </w:r>
      <w:r>
        <w:rPr>
          <w:color w:val="003195"/>
          <w:spacing w:val="-10"/>
        </w:rPr>
        <w:t xml:space="preserve"> </w:t>
      </w:r>
      <w:r>
        <w:rPr>
          <w:color w:val="003195"/>
        </w:rPr>
        <w:t>hernia.</w:t>
      </w:r>
    </w:p>
    <w:p w14:paraId="2CD490AA" w14:textId="77777777" w:rsidR="00251C8D" w:rsidRDefault="00251C8D">
      <w:pPr>
        <w:pStyle w:val="BodyText"/>
        <w:spacing w:before="1"/>
        <w:rPr>
          <w:b/>
          <w:sz w:val="17"/>
        </w:rPr>
      </w:pPr>
    </w:p>
    <w:tbl>
      <w:tblPr>
        <w:tblW w:w="0" w:type="auto"/>
        <w:tblInd w:w="69"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47"/>
        <w:gridCol w:w="1462"/>
        <w:gridCol w:w="1777"/>
      </w:tblGrid>
      <w:tr w:rsidR="00251C8D" w14:paraId="38A4B917" w14:textId="77777777">
        <w:trPr>
          <w:trHeight w:val="249"/>
        </w:trPr>
        <w:tc>
          <w:tcPr>
            <w:tcW w:w="1547" w:type="dxa"/>
            <w:tcBorders>
              <w:top w:val="nil"/>
              <w:left w:val="nil"/>
              <w:bottom w:val="nil"/>
              <w:right w:val="nil"/>
            </w:tcBorders>
            <w:shd w:val="clear" w:color="auto" w:fill="4F81BC"/>
          </w:tcPr>
          <w:p w14:paraId="71BE9F06" w14:textId="77777777" w:rsidR="00251C8D" w:rsidRDefault="00CA55ED">
            <w:pPr>
              <w:pStyle w:val="TableParagraph"/>
              <w:spacing w:before="7" w:line="222" w:lineRule="exact"/>
              <w:ind w:left="112"/>
              <w:rPr>
                <w:b/>
                <w:sz w:val="20"/>
              </w:rPr>
            </w:pPr>
            <w:r>
              <w:rPr>
                <w:b/>
                <w:color w:val="FFFFFF"/>
                <w:sz w:val="20"/>
              </w:rPr>
              <w:t>Type</w:t>
            </w:r>
            <w:r>
              <w:rPr>
                <w:b/>
                <w:color w:val="FFFFFF"/>
                <w:spacing w:val="-3"/>
                <w:sz w:val="20"/>
              </w:rPr>
              <w:t xml:space="preserve"> </w:t>
            </w:r>
            <w:r>
              <w:rPr>
                <w:b/>
                <w:color w:val="FFFFFF"/>
                <w:sz w:val="20"/>
              </w:rPr>
              <w:t>of</w:t>
            </w:r>
            <w:r>
              <w:rPr>
                <w:b/>
                <w:color w:val="FFFFFF"/>
                <w:spacing w:val="-2"/>
                <w:sz w:val="20"/>
              </w:rPr>
              <w:t xml:space="preserve"> hernia</w:t>
            </w:r>
          </w:p>
        </w:tc>
        <w:tc>
          <w:tcPr>
            <w:tcW w:w="1462" w:type="dxa"/>
            <w:tcBorders>
              <w:top w:val="nil"/>
              <w:left w:val="nil"/>
              <w:bottom w:val="nil"/>
              <w:right w:val="nil"/>
            </w:tcBorders>
            <w:shd w:val="clear" w:color="auto" w:fill="4F81BC"/>
          </w:tcPr>
          <w:p w14:paraId="38E79E25" w14:textId="77777777" w:rsidR="00251C8D" w:rsidRDefault="00CA55ED">
            <w:pPr>
              <w:pStyle w:val="TableParagraph"/>
              <w:spacing w:before="7" w:line="222" w:lineRule="exact"/>
              <w:ind w:left="191"/>
              <w:rPr>
                <w:b/>
                <w:sz w:val="20"/>
              </w:rPr>
            </w:pPr>
            <w:r>
              <w:rPr>
                <w:b/>
                <w:color w:val="FFFFFF"/>
                <w:spacing w:val="-2"/>
                <w:sz w:val="20"/>
              </w:rPr>
              <w:t>Frequency</w:t>
            </w:r>
          </w:p>
        </w:tc>
        <w:tc>
          <w:tcPr>
            <w:tcW w:w="1777" w:type="dxa"/>
            <w:tcBorders>
              <w:top w:val="nil"/>
              <w:left w:val="nil"/>
              <w:bottom w:val="nil"/>
              <w:right w:val="nil"/>
            </w:tcBorders>
            <w:shd w:val="clear" w:color="auto" w:fill="4F81BC"/>
          </w:tcPr>
          <w:p w14:paraId="28AAB9C0" w14:textId="77777777" w:rsidR="00251C8D" w:rsidRDefault="00CA55ED">
            <w:pPr>
              <w:pStyle w:val="TableParagraph"/>
              <w:spacing w:before="7" w:line="222" w:lineRule="exact"/>
              <w:ind w:left="373"/>
              <w:rPr>
                <w:b/>
                <w:sz w:val="20"/>
              </w:rPr>
            </w:pPr>
            <w:r>
              <w:rPr>
                <w:b/>
                <w:color w:val="FFFFFF"/>
                <w:sz w:val="20"/>
              </w:rPr>
              <w:t>Percent</w:t>
            </w:r>
            <w:r>
              <w:rPr>
                <w:b/>
                <w:color w:val="FFFFFF"/>
                <w:spacing w:val="-7"/>
                <w:sz w:val="20"/>
              </w:rPr>
              <w:t xml:space="preserve"> </w:t>
            </w:r>
            <w:r>
              <w:rPr>
                <w:b/>
                <w:color w:val="FFFFFF"/>
                <w:spacing w:val="-5"/>
                <w:sz w:val="20"/>
              </w:rPr>
              <w:t>(%)</w:t>
            </w:r>
          </w:p>
        </w:tc>
      </w:tr>
      <w:tr w:rsidR="00251C8D" w14:paraId="3639DEA1" w14:textId="77777777">
        <w:trPr>
          <w:trHeight w:val="230"/>
        </w:trPr>
        <w:tc>
          <w:tcPr>
            <w:tcW w:w="1547" w:type="dxa"/>
            <w:tcBorders>
              <w:top w:val="nil"/>
              <w:right w:val="nil"/>
            </w:tcBorders>
            <w:shd w:val="clear" w:color="auto" w:fill="DBE4F0"/>
          </w:tcPr>
          <w:p w14:paraId="225D85FE" w14:textId="77777777" w:rsidR="00251C8D" w:rsidRDefault="00CA55ED">
            <w:pPr>
              <w:pStyle w:val="TableParagraph"/>
              <w:rPr>
                <w:b/>
                <w:sz w:val="20"/>
              </w:rPr>
            </w:pPr>
            <w:r>
              <w:rPr>
                <w:b/>
                <w:spacing w:val="-5"/>
                <w:sz w:val="20"/>
              </w:rPr>
              <w:t>UH</w:t>
            </w:r>
          </w:p>
        </w:tc>
        <w:tc>
          <w:tcPr>
            <w:tcW w:w="1462" w:type="dxa"/>
            <w:tcBorders>
              <w:top w:val="nil"/>
              <w:left w:val="nil"/>
              <w:right w:val="nil"/>
            </w:tcBorders>
            <w:shd w:val="clear" w:color="auto" w:fill="DBE4F0"/>
          </w:tcPr>
          <w:p w14:paraId="78EA248E" w14:textId="77777777" w:rsidR="00251C8D" w:rsidRDefault="00CA55ED">
            <w:pPr>
              <w:pStyle w:val="TableParagraph"/>
              <w:ind w:left="191"/>
              <w:rPr>
                <w:sz w:val="20"/>
              </w:rPr>
            </w:pPr>
            <w:r>
              <w:rPr>
                <w:spacing w:val="-5"/>
                <w:sz w:val="20"/>
              </w:rPr>
              <w:t>32</w:t>
            </w:r>
          </w:p>
        </w:tc>
        <w:tc>
          <w:tcPr>
            <w:tcW w:w="1777" w:type="dxa"/>
            <w:tcBorders>
              <w:top w:val="nil"/>
              <w:left w:val="nil"/>
            </w:tcBorders>
            <w:shd w:val="clear" w:color="auto" w:fill="DBE4F0"/>
          </w:tcPr>
          <w:p w14:paraId="49896022" w14:textId="77777777" w:rsidR="00251C8D" w:rsidRDefault="00CA55ED">
            <w:pPr>
              <w:pStyle w:val="TableParagraph"/>
              <w:ind w:left="373"/>
              <w:rPr>
                <w:sz w:val="20"/>
              </w:rPr>
            </w:pPr>
            <w:r>
              <w:rPr>
                <w:spacing w:val="-4"/>
                <w:sz w:val="20"/>
              </w:rPr>
              <w:t>45.1</w:t>
            </w:r>
          </w:p>
        </w:tc>
      </w:tr>
      <w:tr w:rsidR="00251C8D" w14:paraId="6C0646F4" w14:textId="77777777">
        <w:trPr>
          <w:trHeight w:val="230"/>
        </w:trPr>
        <w:tc>
          <w:tcPr>
            <w:tcW w:w="1547" w:type="dxa"/>
            <w:tcBorders>
              <w:right w:val="nil"/>
            </w:tcBorders>
          </w:tcPr>
          <w:p w14:paraId="651E9E01" w14:textId="77777777" w:rsidR="00251C8D" w:rsidRDefault="00CA55ED">
            <w:pPr>
              <w:pStyle w:val="TableParagraph"/>
              <w:rPr>
                <w:b/>
                <w:sz w:val="20"/>
              </w:rPr>
            </w:pPr>
            <w:r>
              <w:rPr>
                <w:b/>
                <w:spacing w:val="-5"/>
                <w:sz w:val="20"/>
              </w:rPr>
              <w:t>PUH</w:t>
            </w:r>
          </w:p>
        </w:tc>
        <w:tc>
          <w:tcPr>
            <w:tcW w:w="1462" w:type="dxa"/>
            <w:tcBorders>
              <w:left w:val="nil"/>
              <w:right w:val="nil"/>
            </w:tcBorders>
          </w:tcPr>
          <w:p w14:paraId="62A06C32" w14:textId="77777777" w:rsidR="00251C8D" w:rsidRDefault="00CA55ED">
            <w:pPr>
              <w:pStyle w:val="TableParagraph"/>
              <w:ind w:left="191"/>
              <w:rPr>
                <w:sz w:val="20"/>
              </w:rPr>
            </w:pPr>
            <w:r>
              <w:rPr>
                <w:spacing w:val="-5"/>
                <w:sz w:val="20"/>
              </w:rPr>
              <w:t>16</w:t>
            </w:r>
          </w:p>
        </w:tc>
        <w:tc>
          <w:tcPr>
            <w:tcW w:w="1777" w:type="dxa"/>
            <w:tcBorders>
              <w:left w:val="nil"/>
            </w:tcBorders>
          </w:tcPr>
          <w:p w14:paraId="3F63A037" w14:textId="77777777" w:rsidR="00251C8D" w:rsidRDefault="00CA55ED">
            <w:pPr>
              <w:pStyle w:val="TableParagraph"/>
              <w:ind w:left="373"/>
              <w:rPr>
                <w:sz w:val="20"/>
              </w:rPr>
            </w:pPr>
            <w:r>
              <w:rPr>
                <w:spacing w:val="-4"/>
                <w:sz w:val="20"/>
              </w:rPr>
              <w:t>22.5</w:t>
            </w:r>
          </w:p>
        </w:tc>
      </w:tr>
      <w:tr w:rsidR="00251C8D" w14:paraId="20074FAF" w14:textId="77777777">
        <w:trPr>
          <w:trHeight w:val="230"/>
        </w:trPr>
        <w:tc>
          <w:tcPr>
            <w:tcW w:w="1547" w:type="dxa"/>
            <w:tcBorders>
              <w:right w:val="nil"/>
            </w:tcBorders>
            <w:shd w:val="clear" w:color="auto" w:fill="DBE4F0"/>
          </w:tcPr>
          <w:p w14:paraId="47DCEAD6" w14:textId="77777777" w:rsidR="00251C8D" w:rsidRDefault="00CA55ED">
            <w:pPr>
              <w:pStyle w:val="TableParagraph"/>
              <w:rPr>
                <w:b/>
                <w:sz w:val="20"/>
              </w:rPr>
            </w:pPr>
            <w:r>
              <w:rPr>
                <w:b/>
                <w:spacing w:val="-5"/>
                <w:sz w:val="20"/>
              </w:rPr>
              <w:t>IH</w:t>
            </w:r>
          </w:p>
        </w:tc>
        <w:tc>
          <w:tcPr>
            <w:tcW w:w="1462" w:type="dxa"/>
            <w:tcBorders>
              <w:left w:val="nil"/>
              <w:right w:val="nil"/>
            </w:tcBorders>
            <w:shd w:val="clear" w:color="auto" w:fill="DBE4F0"/>
          </w:tcPr>
          <w:p w14:paraId="0129F8AD" w14:textId="77777777" w:rsidR="00251C8D" w:rsidRDefault="00CA55ED">
            <w:pPr>
              <w:pStyle w:val="TableParagraph"/>
              <w:ind w:left="191"/>
              <w:rPr>
                <w:sz w:val="20"/>
              </w:rPr>
            </w:pPr>
            <w:r>
              <w:rPr>
                <w:spacing w:val="-5"/>
                <w:sz w:val="20"/>
              </w:rPr>
              <w:t>20</w:t>
            </w:r>
          </w:p>
        </w:tc>
        <w:tc>
          <w:tcPr>
            <w:tcW w:w="1777" w:type="dxa"/>
            <w:tcBorders>
              <w:left w:val="nil"/>
            </w:tcBorders>
            <w:shd w:val="clear" w:color="auto" w:fill="DBE4F0"/>
          </w:tcPr>
          <w:p w14:paraId="4235ABA9" w14:textId="77777777" w:rsidR="00251C8D" w:rsidRDefault="00CA55ED">
            <w:pPr>
              <w:pStyle w:val="TableParagraph"/>
              <w:ind w:left="373"/>
              <w:rPr>
                <w:sz w:val="20"/>
              </w:rPr>
            </w:pPr>
            <w:r>
              <w:rPr>
                <w:spacing w:val="-4"/>
                <w:sz w:val="20"/>
              </w:rPr>
              <w:t>28.2</w:t>
            </w:r>
          </w:p>
        </w:tc>
      </w:tr>
      <w:tr w:rsidR="00251C8D" w14:paraId="24F851AE" w14:textId="77777777">
        <w:trPr>
          <w:trHeight w:val="230"/>
        </w:trPr>
        <w:tc>
          <w:tcPr>
            <w:tcW w:w="1547" w:type="dxa"/>
            <w:tcBorders>
              <w:right w:val="nil"/>
            </w:tcBorders>
          </w:tcPr>
          <w:p w14:paraId="5388B0FC" w14:textId="77777777" w:rsidR="00251C8D" w:rsidRDefault="00CA55ED">
            <w:pPr>
              <w:pStyle w:val="TableParagraph"/>
              <w:rPr>
                <w:b/>
                <w:sz w:val="20"/>
              </w:rPr>
            </w:pPr>
            <w:r>
              <w:rPr>
                <w:b/>
                <w:spacing w:val="-2"/>
                <w:sz w:val="20"/>
              </w:rPr>
              <w:t>Epigastric</w:t>
            </w:r>
          </w:p>
        </w:tc>
        <w:tc>
          <w:tcPr>
            <w:tcW w:w="1462" w:type="dxa"/>
            <w:tcBorders>
              <w:left w:val="nil"/>
              <w:right w:val="nil"/>
            </w:tcBorders>
          </w:tcPr>
          <w:p w14:paraId="3DFA872B" w14:textId="77777777" w:rsidR="00251C8D" w:rsidRDefault="00CA55ED">
            <w:pPr>
              <w:pStyle w:val="TableParagraph"/>
              <w:ind w:left="191"/>
              <w:rPr>
                <w:sz w:val="20"/>
              </w:rPr>
            </w:pPr>
            <w:r>
              <w:rPr>
                <w:spacing w:val="-10"/>
                <w:sz w:val="20"/>
              </w:rPr>
              <w:t>3</w:t>
            </w:r>
          </w:p>
        </w:tc>
        <w:tc>
          <w:tcPr>
            <w:tcW w:w="1777" w:type="dxa"/>
            <w:tcBorders>
              <w:left w:val="nil"/>
            </w:tcBorders>
          </w:tcPr>
          <w:p w14:paraId="4F204B5F" w14:textId="77777777" w:rsidR="00251C8D" w:rsidRDefault="00CA55ED">
            <w:pPr>
              <w:pStyle w:val="TableParagraph"/>
              <w:ind w:left="373"/>
              <w:rPr>
                <w:sz w:val="20"/>
              </w:rPr>
            </w:pPr>
            <w:r>
              <w:rPr>
                <w:spacing w:val="-5"/>
                <w:sz w:val="20"/>
              </w:rPr>
              <w:t>4.2</w:t>
            </w:r>
          </w:p>
        </w:tc>
      </w:tr>
      <w:tr w:rsidR="00251C8D" w14:paraId="3CDFFA18" w14:textId="77777777">
        <w:trPr>
          <w:trHeight w:val="230"/>
        </w:trPr>
        <w:tc>
          <w:tcPr>
            <w:tcW w:w="1547" w:type="dxa"/>
            <w:tcBorders>
              <w:right w:val="nil"/>
            </w:tcBorders>
            <w:shd w:val="clear" w:color="auto" w:fill="DBE4F0"/>
          </w:tcPr>
          <w:p w14:paraId="656255B4" w14:textId="77777777" w:rsidR="00251C8D" w:rsidRDefault="00CA55ED">
            <w:pPr>
              <w:pStyle w:val="TableParagraph"/>
              <w:rPr>
                <w:b/>
                <w:sz w:val="20"/>
              </w:rPr>
            </w:pPr>
            <w:r>
              <w:rPr>
                <w:b/>
                <w:spacing w:val="-2"/>
                <w:sz w:val="20"/>
              </w:rPr>
              <w:t>Total</w:t>
            </w:r>
          </w:p>
        </w:tc>
        <w:tc>
          <w:tcPr>
            <w:tcW w:w="1462" w:type="dxa"/>
            <w:tcBorders>
              <w:left w:val="nil"/>
              <w:right w:val="nil"/>
            </w:tcBorders>
            <w:shd w:val="clear" w:color="auto" w:fill="DBE4F0"/>
          </w:tcPr>
          <w:p w14:paraId="087EBDE6" w14:textId="77777777" w:rsidR="00251C8D" w:rsidRDefault="00CA55ED">
            <w:pPr>
              <w:pStyle w:val="TableParagraph"/>
              <w:ind w:left="191"/>
              <w:rPr>
                <w:sz w:val="20"/>
              </w:rPr>
            </w:pPr>
            <w:r>
              <w:rPr>
                <w:spacing w:val="-5"/>
                <w:sz w:val="20"/>
              </w:rPr>
              <w:t>71</w:t>
            </w:r>
          </w:p>
        </w:tc>
        <w:tc>
          <w:tcPr>
            <w:tcW w:w="1777" w:type="dxa"/>
            <w:tcBorders>
              <w:left w:val="nil"/>
            </w:tcBorders>
            <w:shd w:val="clear" w:color="auto" w:fill="DBE4F0"/>
          </w:tcPr>
          <w:p w14:paraId="0147DC6D" w14:textId="77777777" w:rsidR="00251C8D" w:rsidRDefault="00CA55ED">
            <w:pPr>
              <w:pStyle w:val="TableParagraph"/>
              <w:ind w:left="373"/>
              <w:rPr>
                <w:sz w:val="20"/>
              </w:rPr>
            </w:pPr>
            <w:r>
              <w:rPr>
                <w:spacing w:val="-2"/>
                <w:sz w:val="20"/>
              </w:rPr>
              <w:t>100.0</w:t>
            </w:r>
          </w:p>
        </w:tc>
      </w:tr>
    </w:tbl>
    <w:p w14:paraId="778A42E8" w14:textId="77777777" w:rsidR="00251C8D" w:rsidRDefault="00251C8D">
      <w:pPr>
        <w:pStyle w:val="BodyText"/>
        <w:spacing w:before="8"/>
        <w:rPr>
          <w:b/>
        </w:rPr>
      </w:pPr>
    </w:p>
    <w:p w14:paraId="0E35C1EF" w14:textId="77777777" w:rsidR="00251C8D" w:rsidRDefault="00CA55ED">
      <w:pPr>
        <w:pStyle w:val="BodyText"/>
        <w:ind w:left="170" w:right="92"/>
        <w:jc w:val="both"/>
      </w:pPr>
      <w:r>
        <w:t>Umbilical hernia was the most common presentation among the patients of ventral hernia accounting for</w:t>
      </w:r>
      <w:r>
        <w:rPr>
          <w:spacing w:val="40"/>
        </w:rPr>
        <w:t xml:space="preserve"> </w:t>
      </w:r>
      <w:r>
        <w:t>45.1%</w:t>
      </w:r>
      <w:r>
        <w:rPr>
          <w:spacing w:val="-6"/>
        </w:rPr>
        <w:t xml:space="preserve"> </w:t>
      </w:r>
      <w:r>
        <w:t>of</w:t>
      </w:r>
      <w:r>
        <w:rPr>
          <w:spacing w:val="-6"/>
        </w:rPr>
        <w:t xml:space="preserve"> </w:t>
      </w:r>
      <w:r>
        <w:t>the</w:t>
      </w:r>
      <w:r>
        <w:rPr>
          <w:spacing w:val="-3"/>
        </w:rPr>
        <w:t xml:space="preserve"> </w:t>
      </w:r>
      <w:r>
        <w:t>cases</w:t>
      </w:r>
      <w:r>
        <w:rPr>
          <w:spacing w:val="-1"/>
        </w:rPr>
        <w:t xml:space="preserve"> </w:t>
      </w:r>
      <w:r>
        <w:t>followed</w:t>
      </w:r>
      <w:r>
        <w:rPr>
          <w:spacing w:val="-4"/>
        </w:rPr>
        <w:t xml:space="preserve"> </w:t>
      </w:r>
      <w:r>
        <w:t>by</w:t>
      </w:r>
      <w:r>
        <w:rPr>
          <w:spacing w:val="-6"/>
        </w:rPr>
        <w:t xml:space="preserve"> </w:t>
      </w:r>
      <w:r>
        <w:t>incisional</w:t>
      </w:r>
      <w:r>
        <w:rPr>
          <w:spacing w:val="-3"/>
        </w:rPr>
        <w:t xml:space="preserve"> </w:t>
      </w:r>
      <w:r>
        <w:t>hernia</w:t>
      </w:r>
      <w:r>
        <w:rPr>
          <w:spacing w:val="-5"/>
        </w:rPr>
        <w:t xml:space="preserve"> </w:t>
      </w:r>
      <w:r>
        <w:t>(28.2%), paraumbilical hernia (22.5%) and epigastric hernia</w:t>
      </w:r>
      <w:r>
        <w:rPr>
          <w:spacing w:val="40"/>
        </w:rPr>
        <w:t xml:space="preserve"> </w:t>
      </w:r>
      <w:r>
        <w:t>(4.2%) (Table 1). Diabetes mellitus was the most</w:t>
      </w:r>
      <w:r>
        <w:rPr>
          <w:spacing w:val="40"/>
        </w:rPr>
        <w:t xml:space="preserve"> </w:t>
      </w:r>
      <w:r>
        <w:t>common comorbidity recorded in majority of the cases (88.7%) followed by hypertension (64.8%).</w:t>
      </w:r>
    </w:p>
    <w:p w14:paraId="3F5DA6D8" w14:textId="77777777" w:rsidR="00251C8D" w:rsidRDefault="00251C8D">
      <w:pPr>
        <w:pStyle w:val="BodyText"/>
        <w:spacing w:before="16"/>
      </w:pPr>
    </w:p>
    <w:p w14:paraId="06D68F14" w14:textId="77777777" w:rsidR="00251C8D" w:rsidRDefault="00CA55ED">
      <w:pPr>
        <w:pStyle w:val="Heading2"/>
        <w:spacing w:line="242" w:lineRule="auto"/>
        <w:ind w:left="76"/>
      </w:pPr>
      <w:r>
        <w:rPr>
          <w:color w:val="003195"/>
        </w:rPr>
        <w:t>Table</w:t>
      </w:r>
      <w:r>
        <w:rPr>
          <w:color w:val="003195"/>
          <w:spacing w:val="-7"/>
        </w:rPr>
        <w:t xml:space="preserve"> </w:t>
      </w:r>
      <w:r>
        <w:rPr>
          <w:color w:val="003195"/>
        </w:rPr>
        <w:t>2:</w:t>
      </w:r>
      <w:r>
        <w:rPr>
          <w:color w:val="003195"/>
          <w:spacing w:val="-6"/>
        </w:rPr>
        <w:t xml:space="preserve"> </w:t>
      </w:r>
      <w:r>
        <w:rPr>
          <w:color w:val="003195"/>
        </w:rPr>
        <w:t>Comparison</w:t>
      </w:r>
      <w:r>
        <w:rPr>
          <w:color w:val="003195"/>
          <w:spacing w:val="-7"/>
        </w:rPr>
        <w:t xml:space="preserve"> </w:t>
      </w:r>
      <w:r>
        <w:rPr>
          <w:color w:val="003195"/>
        </w:rPr>
        <w:t>between</w:t>
      </w:r>
      <w:r>
        <w:rPr>
          <w:color w:val="003195"/>
          <w:spacing w:val="-7"/>
        </w:rPr>
        <w:t xml:space="preserve"> </w:t>
      </w:r>
      <w:r>
        <w:rPr>
          <w:color w:val="003195"/>
        </w:rPr>
        <w:t>quality</w:t>
      </w:r>
      <w:r>
        <w:rPr>
          <w:color w:val="003195"/>
          <w:spacing w:val="-5"/>
        </w:rPr>
        <w:t xml:space="preserve"> </w:t>
      </w:r>
      <w:r>
        <w:rPr>
          <w:color w:val="003195"/>
        </w:rPr>
        <w:t>of</w:t>
      </w:r>
      <w:r>
        <w:rPr>
          <w:color w:val="003195"/>
          <w:spacing w:val="-6"/>
        </w:rPr>
        <w:t xml:space="preserve"> </w:t>
      </w:r>
      <w:r>
        <w:rPr>
          <w:color w:val="003195"/>
        </w:rPr>
        <w:t>life</w:t>
      </w:r>
      <w:r>
        <w:rPr>
          <w:color w:val="003195"/>
          <w:spacing w:val="-6"/>
        </w:rPr>
        <w:t xml:space="preserve"> </w:t>
      </w:r>
      <w:r>
        <w:rPr>
          <w:color w:val="003195"/>
        </w:rPr>
        <w:t xml:space="preserve">and </w:t>
      </w:r>
      <w:r>
        <w:rPr>
          <w:color w:val="003195"/>
          <w:spacing w:val="-2"/>
        </w:rPr>
        <w:t>procedure.</w:t>
      </w:r>
    </w:p>
    <w:p w14:paraId="703BA73D" w14:textId="77777777" w:rsidR="00251C8D" w:rsidRDefault="00251C8D">
      <w:pPr>
        <w:pStyle w:val="BodyText"/>
        <w:spacing w:before="9"/>
        <w:rPr>
          <w:b/>
          <w:sz w:val="16"/>
        </w:rPr>
      </w:pPr>
    </w:p>
    <w:tbl>
      <w:tblPr>
        <w:tblW w:w="0" w:type="auto"/>
        <w:tblInd w:w="177"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426"/>
        <w:gridCol w:w="2261"/>
        <w:gridCol w:w="1013"/>
      </w:tblGrid>
      <w:tr w:rsidR="00251C8D" w14:paraId="0893B821" w14:textId="77777777">
        <w:trPr>
          <w:trHeight w:val="249"/>
        </w:trPr>
        <w:tc>
          <w:tcPr>
            <w:tcW w:w="1426" w:type="dxa"/>
            <w:tcBorders>
              <w:top w:val="nil"/>
              <w:left w:val="nil"/>
              <w:bottom w:val="nil"/>
              <w:right w:val="nil"/>
            </w:tcBorders>
            <w:shd w:val="clear" w:color="auto" w:fill="4F81BC"/>
          </w:tcPr>
          <w:p w14:paraId="3B8BB91C" w14:textId="77777777" w:rsidR="00251C8D" w:rsidRDefault="00CA55ED">
            <w:pPr>
              <w:pStyle w:val="TableParagraph"/>
              <w:spacing w:before="7" w:line="222" w:lineRule="exact"/>
              <w:ind w:left="112"/>
              <w:rPr>
                <w:b/>
                <w:sz w:val="20"/>
              </w:rPr>
            </w:pPr>
            <w:r>
              <w:rPr>
                <w:b/>
                <w:color w:val="FFFFFF"/>
                <w:spacing w:val="-2"/>
                <w:sz w:val="20"/>
              </w:rPr>
              <w:t>Procedure</w:t>
            </w:r>
          </w:p>
        </w:tc>
        <w:tc>
          <w:tcPr>
            <w:tcW w:w="2261" w:type="dxa"/>
            <w:tcBorders>
              <w:top w:val="nil"/>
              <w:left w:val="nil"/>
              <w:bottom w:val="nil"/>
              <w:right w:val="nil"/>
            </w:tcBorders>
            <w:shd w:val="clear" w:color="auto" w:fill="4F81BC"/>
          </w:tcPr>
          <w:p w14:paraId="7A493B03" w14:textId="77777777" w:rsidR="00251C8D" w:rsidRDefault="00CA55ED">
            <w:pPr>
              <w:pStyle w:val="TableParagraph"/>
              <w:spacing w:before="7" w:line="222" w:lineRule="exact"/>
              <w:ind w:left="247"/>
              <w:rPr>
                <w:b/>
                <w:sz w:val="20"/>
              </w:rPr>
            </w:pPr>
            <w:proofErr w:type="spellStart"/>
            <w:r>
              <w:rPr>
                <w:b/>
                <w:color w:val="FFFFFF"/>
                <w:spacing w:val="-2"/>
                <w:sz w:val="20"/>
              </w:rPr>
              <w:t>Mean±SD</w:t>
            </w:r>
            <w:proofErr w:type="spellEnd"/>
          </w:p>
        </w:tc>
        <w:tc>
          <w:tcPr>
            <w:tcW w:w="1013" w:type="dxa"/>
            <w:tcBorders>
              <w:top w:val="nil"/>
              <w:left w:val="nil"/>
              <w:bottom w:val="nil"/>
              <w:right w:val="nil"/>
            </w:tcBorders>
            <w:shd w:val="clear" w:color="auto" w:fill="4F81BC"/>
          </w:tcPr>
          <w:p w14:paraId="6669EC1B" w14:textId="77777777" w:rsidR="00251C8D" w:rsidRDefault="00CA55ED">
            <w:pPr>
              <w:pStyle w:val="TableParagraph"/>
              <w:spacing w:before="7" w:line="222" w:lineRule="exact"/>
              <w:ind w:left="113"/>
              <w:rPr>
                <w:b/>
                <w:sz w:val="20"/>
              </w:rPr>
            </w:pPr>
            <w:r>
              <w:rPr>
                <w:b/>
                <w:color w:val="FFFFFF"/>
                <w:sz w:val="20"/>
              </w:rPr>
              <w:t>P</w:t>
            </w:r>
            <w:r>
              <w:rPr>
                <w:b/>
                <w:color w:val="FFFFFF"/>
                <w:spacing w:val="-2"/>
                <w:sz w:val="20"/>
              </w:rPr>
              <w:t xml:space="preserve"> value</w:t>
            </w:r>
          </w:p>
        </w:tc>
      </w:tr>
      <w:tr w:rsidR="00251C8D" w14:paraId="23741D69" w14:textId="77777777">
        <w:trPr>
          <w:trHeight w:val="230"/>
        </w:trPr>
        <w:tc>
          <w:tcPr>
            <w:tcW w:w="4700" w:type="dxa"/>
            <w:gridSpan w:val="3"/>
            <w:tcBorders>
              <w:top w:val="nil"/>
            </w:tcBorders>
            <w:shd w:val="clear" w:color="auto" w:fill="DBE4F0"/>
          </w:tcPr>
          <w:p w14:paraId="260B882E" w14:textId="77777777" w:rsidR="00251C8D" w:rsidRDefault="00CA55ED">
            <w:pPr>
              <w:pStyle w:val="TableParagraph"/>
              <w:rPr>
                <w:b/>
                <w:sz w:val="20"/>
              </w:rPr>
            </w:pPr>
            <w:r>
              <w:rPr>
                <w:b/>
                <w:sz w:val="20"/>
              </w:rPr>
              <w:t>14</w:t>
            </w:r>
            <w:r>
              <w:rPr>
                <w:b/>
                <w:spacing w:val="1"/>
                <w:sz w:val="20"/>
              </w:rPr>
              <w:t xml:space="preserve"> </w:t>
            </w:r>
            <w:r>
              <w:rPr>
                <w:b/>
                <w:spacing w:val="-4"/>
                <w:sz w:val="20"/>
              </w:rPr>
              <w:t>days</w:t>
            </w:r>
          </w:p>
        </w:tc>
      </w:tr>
      <w:tr w:rsidR="00251C8D" w14:paraId="7523DFCA" w14:textId="77777777">
        <w:trPr>
          <w:trHeight w:val="230"/>
        </w:trPr>
        <w:tc>
          <w:tcPr>
            <w:tcW w:w="1426" w:type="dxa"/>
            <w:tcBorders>
              <w:right w:val="nil"/>
            </w:tcBorders>
          </w:tcPr>
          <w:p w14:paraId="389910AC" w14:textId="77777777" w:rsidR="00251C8D" w:rsidRDefault="00CA55ED">
            <w:pPr>
              <w:pStyle w:val="TableParagraph"/>
              <w:rPr>
                <w:sz w:val="20"/>
              </w:rPr>
            </w:pPr>
            <w:r>
              <w:rPr>
                <w:spacing w:val="-4"/>
                <w:sz w:val="20"/>
              </w:rPr>
              <w:t>Open</w:t>
            </w:r>
          </w:p>
        </w:tc>
        <w:tc>
          <w:tcPr>
            <w:tcW w:w="2261" w:type="dxa"/>
            <w:tcBorders>
              <w:left w:val="nil"/>
              <w:right w:val="nil"/>
            </w:tcBorders>
          </w:tcPr>
          <w:p w14:paraId="632173EB" w14:textId="77777777" w:rsidR="00251C8D" w:rsidRDefault="00CA55ED">
            <w:pPr>
              <w:pStyle w:val="TableParagraph"/>
              <w:ind w:left="247"/>
              <w:rPr>
                <w:sz w:val="20"/>
              </w:rPr>
            </w:pPr>
            <w:r>
              <w:rPr>
                <w:spacing w:val="-2"/>
                <w:sz w:val="20"/>
              </w:rPr>
              <w:t>28.52±0.369</w:t>
            </w:r>
          </w:p>
        </w:tc>
        <w:tc>
          <w:tcPr>
            <w:tcW w:w="1013" w:type="dxa"/>
            <w:tcBorders>
              <w:left w:val="nil"/>
              <w:bottom w:val="nil"/>
            </w:tcBorders>
          </w:tcPr>
          <w:p w14:paraId="1568EB9F" w14:textId="77777777" w:rsidR="00251C8D" w:rsidRDefault="00CA55ED">
            <w:pPr>
              <w:pStyle w:val="TableParagraph"/>
              <w:spacing w:before="113" w:line="97" w:lineRule="exact"/>
              <w:ind w:left="113"/>
              <w:rPr>
                <w:sz w:val="20"/>
              </w:rPr>
            </w:pPr>
            <w:r>
              <w:rPr>
                <w:spacing w:val="-2"/>
                <w:sz w:val="20"/>
              </w:rPr>
              <w:t>0.0001</w:t>
            </w:r>
          </w:p>
        </w:tc>
      </w:tr>
      <w:tr w:rsidR="00251C8D" w14:paraId="186057A3" w14:textId="77777777">
        <w:trPr>
          <w:trHeight w:val="230"/>
        </w:trPr>
        <w:tc>
          <w:tcPr>
            <w:tcW w:w="1426" w:type="dxa"/>
            <w:tcBorders>
              <w:right w:val="nil"/>
            </w:tcBorders>
            <w:shd w:val="clear" w:color="auto" w:fill="DBE4F0"/>
          </w:tcPr>
          <w:p w14:paraId="7C4D4EF3" w14:textId="77777777" w:rsidR="00251C8D" w:rsidRDefault="00CA55ED">
            <w:pPr>
              <w:pStyle w:val="TableParagraph"/>
              <w:rPr>
                <w:sz w:val="20"/>
              </w:rPr>
            </w:pPr>
            <w:r>
              <w:rPr>
                <w:spacing w:val="-2"/>
                <w:sz w:val="20"/>
              </w:rPr>
              <w:t>Laparoscopic</w:t>
            </w:r>
          </w:p>
        </w:tc>
        <w:tc>
          <w:tcPr>
            <w:tcW w:w="2261" w:type="dxa"/>
            <w:tcBorders>
              <w:left w:val="nil"/>
              <w:right w:val="nil"/>
            </w:tcBorders>
            <w:shd w:val="clear" w:color="auto" w:fill="DBE4F0"/>
          </w:tcPr>
          <w:p w14:paraId="3CDAC92C" w14:textId="77777777" w:rsidR="00251C8D" w:rsidRDefault="00CA55ED">
            <w:pPr>
              <w:pStyle w:val="TableParagraph"/>
              <w:ind w:left="247"/>
              <w:rPr>
                <w:sz w:val="20"/>
              </w:rPr>
            </w:pPr>
            <w:r>
              <w:rPr>
                <w:spacing w:val="-2"/>
                <w:sz w:val="20"/>
              </w:rPr>
              <w:t>20.74±3.347</w:t>
            </w:r>
          </w:p>
        </w:tc>
        <w:tc>
          <w:tcPr>
            <w:tcW w:w="1013" w:type="dxa"/>
            <w:tcBorders>
              <w:top w:val="nil"/>
              <w:left w:val="nil"/>
            </w:tcBorders>
          </w:tcPr>
          <w:p w14:paraId="3064716E" w14:textId="77777777" w:rsidR="00251C8D" w:rsidRDefault="00251C8D">
            <w:pPr>
              <w:pStyle w:val="TableParagraph"/>
              <w:spacing w:line="240" w:lineRule="auto"/>
              <w:ind w:left="0"/>
              <w:rPr>
                <w:sz w:val="16"/>
              </w:rPr>
            </w:pPr>
          </w:p>
        </w:tc>
      </w:tr>
      <w:tr w:rsidR="00251C8D" w14:paraId="2B6AD720" w14:textId="77777777">
        <w:trPr>
          <w:trHeight w:val="230"/>
        </w:trPr>
        <w:tc>
          <w:tcPr>
            <w:tcW w:w="4700" w:type="dxa"/>
            <w:gridSpan w:val="3"/>
          </w:tcPr>
          <w:p w14:paraId="430ED76A" w14:textId="77777777" w:rsidR="00251C8D" w:rsidRDefault="00CA55ED">
            <w:pPr>
              <w:pStyle w:val="TableParagraph"/>
              <w:rPr>
                <w:b/>
                <w:sz w:val="20"/>
              </w:rPr>
            </w:pPr>
            <w:r>
              <w:rPr>
                <w:b/>
                <w:sz w:val="20"/>
              </w:rPr>
              <w:t xml:space="preserve">28 </w:t>
            </w:r>
            <w:r>
              <w:rPr>
                <w:b/>
                <w:spacing w:val="-4"/>
                <w:sz w:val="20"/>
              </w:rPr>
              <w:t>days</w:t>
            </w:r>
          </w:p>
        </w:tc>
      </w:tr>
      <w:tr w:rsidR="00251C8D" w14:paraId="6AF06753" w14:textId="77777777">
        <w:trPr>
          <w:trHeight w:val="230"/>
        </w:trPr>
        <w:tc>
          <w:tcPr>
            <w:tcW w:w="1426" w:type="dxa"/>
            <w:tcBorders>
              <w:right w:val="nil"/>
            </w:tcBorders>
            <w:shd w:val="clear" w:color="auto" w:fill="DBE4F0"/>
          </w:tcPr>
          <w:p w14:paraId="3CCBA364" w14:textId="77777777" w:rsidR="00251C8D" w:rsidRDefault="00CA55ED">
            <w:pPr>
              <w:pStyle w:val="TableParagraph"/>
              <w:rPr>
                <w:sz w:val="20"/>
              </w:rPr>
            </w:pPr>
            <w:r>
              <w:rPr>
                <w:spacing w:val="-4"/>
                <w:sz w:val="20"/>
              </w:rPr>
              <w:t>Open</w:t>
            </w:r>
          </w:p>
        </w:tc>
        <w:tc>
          <w:tcPr>
            <w:tcW w:w="2261" w:type="dxa"/>
            <w:tcBorders>
              <w:left w:val="nil"/>
              <w:right w:val="nil"/>
            </w:tcBorders>
            <w:shd w:val="clear" w:color="auto" w:fill="DBE4F0"/>
          </w:tcPr>
          <w:p w14:paraId="6B481914" w14:textId="77777777" w:rsidR="00251C8D" w:rsidRDefault="00CA55ED">
            <w:pPr>
              <w:pStyle w:val="TableParagraph"/>
              <w:ind w:left="247"/>
              <w:rPr>
                <w:sz w:val="20"/>
              </w:rPr>
            </w:pPr>
            <w:r>
              <w:rPr>
                <w:spacing w:val="-2"/>
                <w:sz w:val="20"/>
              </w:rPr>
              <w:t>19.57±3.890</w:t>
            </w:r>
          </w:p>
        </w:tc>
        <w:tc>
          <w:tcPr>
            <w:tcW w:w="1013" w:type="dxa"/>
            <w:vMerge w:val="restart"/>
            <w:tcBorders>
              <w:left w:val="nil"/>
            </w:tcBorders>
            <w:shd w:val="clear" w:color="auto" w:fill="DBE4F0"/>
          </w:tcPr>
          <w:p w14:paraId="47F707BB" w14:textId="77777777" w:rsidR="00251C8D" w:rsidRDefault="00CA55ED">
            <w:pPr>
              <w:pStyle w:val="TableParagraph"/>
              <w:spacing w:before="113" w:line="240" w:lineRule="auto"/>
              <w:ind w:left="113"/>
              <w:rPr>
                <w:sz w:val="20"/>
              </w:rPr>
            </w:pPr>
            <w:r>
              <w:rPr>
                <w:spacing w:val="-2"/>
                <w:sz w:val="20"/>
              </w:rPr>
              <w:t>0.0001</w:t>
            </w:r>
          </w:p>
        </w:tc>
      </w:tr>
      <w:tr w:rsidR="00251C8D" w14:paraId="446A7160" w14:textId="77777777">
        <w:trPr>
          <w:trHeight w:val="230"/>
        </w:trPr>
        <w:tc>
          <w:tcPr>
            <w:tcW w:w="1426" w:type="dxa"/>
            <w:tcBorders>
              <w:right w:val="nil"/>
            </w:tcBorders>
          </w:tcPr>
          <w:p w14:paraId="23B8C58D" w14:textId="77777777" w:rsidR="00251C8D" w:rsidRDefault="00CA55ED">
            <w:pPr>
              <w:pStyle w:val="TableParagraph"/>
              <w:rPr>
                <w:sz w:val="20"/>
              </w:rPr>
            </w:pPr>
            <w:r>
              <w:rPr>
                <w:spacing w:val="-2"/>
                <w:sz w:val="20"/>
              </w:rPr>
              <w:t>Laparoscopic</w:t>
            </w:r>
          </w:p>
        </w:tc>
        <w:tc>
          <w:tcPr>
            <w:tcW w:w="2261" w:type="dxa"/>
            <w:tcBorders>
              <w:left w:val="nil"/>
              <w:right w:val="nil"/>
            </w:tcBorders>
          </w:tcPr>
          <w:p w14:paraId="027F895E" w14:textId="77777777" w:rsidR="00251C8D" w:rsidRDefault="00CA55ED">
            <w:pPr>
              <w:pStyle w:val="TableParagraph"/>
              <w:ind w:left="247"/>
              <w:rPr>
                <w:sz w:val="20"/>
              </w:rPr>
            </w:pPr>
            <w:r>
              <w:rPr>
                <w:spacing w:val="-2"/>
                <w:sz w:val="20"/>
              </w:rPr>
              <w:t>11.81±2.403</w:t>
            </w:r>
          </w:p>
        </w:tc>
        <w:tc>
          <w:tcPr>
            <w:tcW w:w="1013" w:type="dxa"/>
            <w:vMerge/>
            <w:tcBorders>
              <w:top w:val="nil"/>
              <w:left w:val="nil"/>
            </w:tcBorders>
            <w:shd w:val="clear" w:color="auto" w:fill="DBE4F0"/>
          </w:tcPr>
          <w:p w14:paraId="71C59823" w14:textId="77777777" w:rsidR="00251C8D" w:rsidRDefault="00251C8D">
            <w:pPr>
              <w:rPr>
                <w:sz w:val="2"/>
                <w:szCs w:val="2"/>
              </w:rPr>
            </w:pPr>
          </w:p>
        </w:tc>
      </w:tr>
    </w:tbl>
    <w:p w14:paraId="428C479E" w14:textId="77777777" w:rsidR="00251C8D" w:rsidRDefault="00251C8D">
      <w:pPr>
        <w:pStyle w:val="BodyText"/>
        <w:spacing w:before="9"/>
        <w:rPr>
          <w:b/>
        </w:rPr>
      </w:pPr>
    </w:p>
    <w:p w14:paraId="1AA446C7" w14:textId="77777777" w:rsidR="00251C8D" w:rsidRDefault="00CA55ED">
      <w:pPr>
        <w:pStyle w:val="BodyText"/>
        <w:spacing w:line="242" w:lineRule="auto"/>
        <w:ind w:left="170" w:right="95"/>
        <w:jc w:val="both"/>
      </w:pPr>
      <w:r>
        <w:t>As shown in Table 2, a significant difference was observed between quality of life and surgical procedure.</w:t>
      </w:r>
    </w:p>
    <w:p w14:paraId="2B3BF39F" w14:textId="77777777" w:rsidR="00251C8D" w:rsidRDefault="00251C8D">
      <w:pPr>
        <w:pStyle w:val="BodyText"/>
        <w:spacing w:before="11"/>
      </w:pPr>
    </w:p>
    <w:p w14:paraId="35FDDE7F" w14:textId="77777777" w:rsidR="00251C8D" w:rsidRDefault="00CA55ED">
      <w:pPr>
        <w:pStyle w:val="Heading2"/>
        <w:ind w:left="1644"/>
        <w:jc w:val="left"/>
      </w:pPr>
      <w:r>
        <w:rPr>
          <w:color w:val="003195"/>
        </w:rPr>
        <w:t>Table</w:t>
      </w:r>
      <w:r>
        <w:rPr>
          <w:color w:val="003195"/>
          <w:spacing w:val="-5"/>
        </w:rPr>
        <w:t xml:space="preserve"> </w:t>
      </w:r>
      <w:r>
        <w:rPr>
          <w:color w:val="003195"/>
        </w:rPr>
        <w:t>3:</w:t>
      </w:r>
      <w:r>
        <w:rPr>
          <w:color w:val="003195"/>
          <w:spacing w:val="-3"/>
        </w:rPr>
        <w:t xml:space="preserve"> </w:t>
      </w:r>
      <w:r>
        <w:rPr>
          <w:color w:val="003195"/>
        </w:rPr>
        <w:t>VAS</w:t>
      </w:r>
      <w:r>
        <w:rPr>
          <w:color w:val="003195"/>
          <w:spacing w:val="-3"/>
        </w:rPr>
        <w:t xml:space="preserve"> </w:t>
      </w:r>
      <w:r>
        <w:rPr>
          <w:color w:val="003195"/>
          <w:spacing w:val="-2"/>
        </w:rPr>
        <w:t>score.</w:t>
      </w:r>
    </w:p>
    <w:p w14:paraId="674D8FC4" w14:textId="77777777" w:rsidR="00251C8D" w:rsidRDefault="00251C8D">
      <w:pPr>
        <w:pStyle w:val="BodyText"/>
        <w:rPr>
          <w:b/>
          <w:sz w:val="14"/>
        </w:rPr>
      </w:pPr>
    </w:p>
    <w:tbl>
      <w:tblPr>
        <w:tblW w:w="0" w:type="auto"/>
        <w:tblInd w:w="177"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426"/>
        <w:gridCol w:w="2018"/>
        <w:gridCol w:w="1216"/>
      </w:tblGrid>
      <w:tr w:rsidR="00251C8D" w14:paraId="45ED662D" w14:textId="77777777">
        <w:trPr>
          <w:trHeight w:val="249"/>
        </w:trPr>
        <w:tc>
          <w:tcPr>
            <w:tcW w:w="1426" w:type="dxa"/>
            <w:tcBorders>
              <w:top w:val="nil"/>
              <w:left w:val="nil"/>
              <w:bottom w:val="nil"/>
              <w:right w:val="nil"/>
            </w:tcBorders>
            <w:shd w:val="clear" w:color="auto" w:fill="4F81BC"/>
          </w:tcPr>
          <w:p w14:paraId="2591460B" w14:textId="77777777" w:rsidR="00251C8D" w:rsidRDefault="00CA55ED">
            <w:pPr>
              <w:pStyle w:val="TableParagraph"/>
              <w:spacing w:before="43" w:line="186" w:lineRule="exact"/>
              <w:ind w:left="112"/>
              <w:rPr>
                <w:b/>
                <w:sz w:val="20"/>
              </w:rPr>
            </w:pPr>
            <w:r>
              <w:rPr>
                <w:b/>
                <w:color w:val="FFFFFF"/>
                <w:spacing w:val="-2"/>
                <w:sz w:val="20"/>
              </w:rPr>
              <w:t>Procedure</w:t>
            </w:r>
          </w:p>
        </w:tc>
        <w:tc>
          <w:tcPr>
            <w:tcW w:w="2018" w:type="dxa"/>
            <w:tcBorders>
              <w:top w:val="nil"/>
              <w:left w:val="nil"/>
              <w:bottom w:val="nil"/>
              <w:right w:val="nil"/>
            </w:tcBorders>
            <w:shd w:val="clear" w:color="auto" w:fill="4F81BC"/>
          </w:tcPr>
          <w:p w14:paraId="5138E6CB" w14:textId="77777777" w:rsidR="00251C8D" w:rsidRDefault="00CA55ED">
            <w:pPr>
              <w:pStyle w:val="TableParagraph"/>
              <w:spacing w:before="43" w:line="186" w:lineRule="exact"/>
              <w:ind w:left="247"/>
              <w:rPr>
                <w:b/>
                <w:sz w:val="20"/>
              </w:rPr>
            </w:pPr>
            <w:proofErr w:type="spellStart"/>
            <w:r>
              <w:rPr>
                <w:b/>
                <w:color w:val="FFFFFF"/>
                <w:spacing w:val="-2"/>
                <w:sz w:val="20"/>
              </w:rPr>
              <w:t>Mean±SD</w:t>
            </w:r>
            <w:proofErr w:type="spellEnd"/>
          </w:p>
        </w:tc>
        <w:tc>
          <w:tcPr>
            <w:tcW w:w="1216" w:type="dxa"/>
            <w:tcBorders>
              <w:top w:val="nil"/>
              <w:left w:val="nil"/>
              <w:bottom w:val="nil"/>
              <w:right w:val="nil"/>
            </w:tcBorders>
            <w:shd w:val="clear" w:color="auto" w:fill="4F81BC"/>
          </w:tcPr>
          <w:p w14:paraId="0EFAC893" w14:textId="77777777" w:rsidR="00251C8D" w:rsidRDefault="00CA55ED">
            <w:pPr>
              <w:pStyle w:val="TableParagraph"/>
              <w:spacing w:before="43" w:line="186" w:lineRule="exact"/>
              <w:ind w:left="113"/>
              <w:rPr>
                <w:b/>
                <w:sz w:val="20"/>
              </w:rPr>
            </w:pPr>
            <w:r>
              <w:rPr>
                <w:b/>
                <w:color w:val="FFFFFF"/>
                <w:sz w:val="20"/>
              </w:rPr>
              <w:t>P</w:t>
            </w:r>
            <w:r>
              <w:rPr>
                <w:b/>
                <w:color w:val="FFFFFF"/>
                <w:spacing w:val="-2"/>
                <w:sz w:val="20"/>
              </w:rPr>
              <w:t xml:space="preserve"> value</w:t>
            </w:r>
          </w:p>
        </w:tc>
      </w:tr>
      <w:tr w:rsidR="00251C8D" w14:paraId="1E307FBA" w14:textId="77777777">
        <w:trPr>
          <w:trHeight w:val="230"/>
        </w:trPr>
        <w:tc>
          <w:tcPr>
            <w:tcW w:w="4660" w:type="dxa"/>
            <w:gridSpan w:val="3"/>
            <w:tcBorders>
              <w:top w:val="nil"/>
            </w:tcBorders>
            <w:shd w:val="clear" w:color="auto" w:fill="DBE4F0"/>
          </w:tcPr>
          <w:p w14:paraId="3F759DB8" w14:textId="77777777" w:rsidR="00251C8D" w:rsidRDefault="00CA55ED">
            <w:pPr>
              <w:pStyle w:val="TableParagraph"/>
              <w:spacing w:before="34" w:line="176" w:lineRule="exact"/>
              <w:rPr>
                <w:b/>
                <w:sz w:val="20"/>
              </w:rPr>
            </w:pPr>
            <w:r>
              <w:rPr>
                <w:b/>
                <w:sz w:val="20"/>
              </w:rPr>
              <w:t xml:space="preserve">2 </w:t>
            </w:r>
            <w:r>
              <w:rPr>
                <w:b/>
                <w:spacing w:val="-4"/>
                <w:sz w:val="20"/>
              </w:rPr>
              <w:t>days</w:t>
            </w:r>
          </w:p>
        </w:tc>
      </w:tr>
      <w:tr w:rsidR="00251C8D" w14:paraId="32CE8704" w14:textId="77777777">
        <w:trPr>
          <w:trHeight w:val="230"/>
        </w:trPr>
        <w:tc>
          <w:tcPr>
            <w:tcW w:w="1426" w:type="dxa"/>
            <w:tcBorders>
              <w:right w:val="nil"/>
            </w:tcBorders>
          </w:tcPr>
          <w:p w14:paraId="45A0BAEB" w14:textId="77777777" w:rsidR="00251C8D" w:rsidRDefault="00CA55ED">
            <w:pPr>
              <w:pStyle w:val="TableParagraph"/>
              <w:spacing w:before="29" w:line="181" w:lineRule="exact"/>
              <w:rPr>
                <w:sz w:val="20"/>
              </w:rPr>
            </w:pPr>
            <w:r>
              <w:rPr>
                <w:spacing w:val="-4"/>
                <w:sz w:val="20"/>
              </w:rPr>
              <w:t>Open</w:t>
            </w:r>
          </w:p>
        </w:tc>
        <w:tc>
          <w:tcPr>
            <w:tcW w:w="2018" w:type="dxa"/>
            <w:tcBorders>
              <w:left w:val="nil"/>
              <w:right w:val="nil"/>
            </w:tcBorders>
          </w:tcPr>
          <w:p w14:paraId="422F93A0" w14:textId="77777777" w:rsidR="00251C8D" w:rsidRDefault="00CA55ED">
            <w:pPr>
              <w:pStyle w:val="TableParagraph"/>
              <w:spacing w:before="29" w:line="181" w:lineRule="exact"/>
              <w:ind w:left="247"/>
              <w:rPr>
                <w:sz w:val="20"/>
              </w:rPr>
            </w:pPr>
            <w:r>
              <w:rPr>
                <w:spacing w:val="-2"/>
                <w:sz w:val="20"/>
              </w:rPr>
              <w:t>6.14±1.19</w:t>
            </w:r>
          </w:p>
        </w:tc>
        <w:tc>
          <w:tcPr>
            <w:tcW w:w="1216" w:type="dxa"/>
            <w:tcBorders>
              <w:left w:val="nil"/>
              <w:bottom w:val="nil"/>
            </w:tcBorders>
          </w:tcPr>
          <w:p w14:paraId="363F3B31" w14:textId="77777777" w:rsidR="00251C8D" w:rsidRDefault="00CA55ED">
            <w:pPr>
              <w:pStyle w:val="TableParagraph"/>
              <w:spacing w:before="149" w:line="61" w:lineRule="exact"/>
              <w:ind w:left="113"/>
              <w:rPr>
                <w:sz w:val="20"/>
              </w:rPr>
            </w:pPr>
            <w:r>
              <w:rPr>
                <w:spacing w:val="-2"/>
                <w:sz w:val="20"/>
              </w:rPr>
              <w:t>0.0001</w:t>
            </w:r>
          </w:p>
        </w:tc>
      </w:tr>
      <w:tr w:rsidR="00251C8D" w14:paraId="2947B865" w14:textId="77777777">
        <w:trPr>
          <w:trHeight w:val="230"/>
        </w:trPr>
        <w:tc>
          <w:tcPr>
            <w:tcW w:w="1426" w:type="dxa"/>
            <w:tcBorders>
              <w:right w:val="nil"/>
            </w:tcBorders>
            <w:shd w:val="clear" w:color="auto" w:fill="DBE4F0"/>
          </w:tcPr>
          <w:p w14:paraId="381E717B" w14:textId="77777777" w:rsidR="00251C8D" w:rsidRDefault="00CA55ED">
            <w:pPr>
              <w:pStyle w:val="TableParagraph"/>
              <w:spacing w:before="29" w:line="181" w:lineRule="exact"/>
              <w:rPr>
                <w:sz w:val="20"/>
              </w:rPr>
            </w:pPr>
            <w:r>
              <w:rPr>
                <w:spacing w:val="-2"/>
                <w:sz w:val="20"/>
              </w:rPr>
              <w:t>Laparoscopic</w:t>
            </w:r>
          </w:p>
        </w:tc>
        <w:tc>
          <w:tcPr>
            <w:tcW w:w="2018" w:type="dxa"/>
            <w:tcBorders>
              <w:left w:val="nil"/>
              <w:right w:val="nil"/>
            </w:tcBorders>
            <w:shd w:val="clear" w:color="auto" w:fill="DBE4F0"/>
          </w:tcPr>
          <w:p w14:paraId="02F44B09" w14:textId="77777777" w:rsidR="00251C8D" w:rsidRDefault="00CA55ED">
            <w:pPr>
              <w:pStyle w:val="TableParagraph"/>
              <w:spacing w:before="29" w:line="181" w:lineRule="exact"/>
              <w:ind w:left="247"/>
              <w:rPr>
                <w:sz w:val="20"/>
              </w:rPr>
            </w:pPr>
            <w:r>
              <w:rPr>
                <w:spacing w:val="-2"/>
                <w:sz w:val="20"/>
              </w:rPr>
              <w:t>3.81±1.54</w:t>
            </w:r>
          </w:p>
        </w:tc>
        <w:tc>
          <w:tcPr>
            <w:tcW w:w="1216" w:type="dxa"/>
            <w:tcBorders>
              <w:top w:val="nil"/>
              <w:left w:val="nil"/>
            </w:tcBorders>
          </w:tcPr>
          <w:p w14:paraId="70EF5974" w14:textId="77777777" w:rsidR="00251C8D" w:rsidRDefault="00251C8D">
            <w:pPr>
              <w:pStyle w:val="TableParagraph"/>
              <w:spacing w:line="240" w:lineRule="auto"/>
              <w:ind w:left="0"/>
              <w:rPr>
                <w:sz w:val="16"/>
              </w:rPr>
            </w:pPr>
          </w:p>
        </w:tc>
      </w:tr>
      <w:tr w:rsidR="00251C8D" w14:paraId="3F73BBBC" w14:textId="77777777">
        <w:trPr>
          <w:trHeight w:val="230"/>
        </w:trPr>
        <w:tc>
          <w:tcPr>
            <w:tcW w:w="4660" w:type="dxa"/>
            <w:gridSpan w:val="3"/>
          </w:tcPr>
          <w:p w14:paraId="3F79D1D5" w14:textId="77777777" w:rsidR="00251C8D" w:rsidRDefault="00CA55ED">
            <w:pPr>
              <w:pStyle w:val="TableParagraph"/>
              <w:spacing w:before="34" w:line="176" w:lineRule="exact"/>
              <w:rPr>
                <w:b/>
                <w:sz w:val="20"/>
              </w:rPr>
            </w:pPr>
            <w:r>
              <w:rPr>
                <w:b/>
                <w:sz w:val="20"/>
              </w:rPr>
              <w:t>14</w:t>
            </w:r>
            <w:r>
              <w:rPr>
                <w:b/>
                <w:spacing w:val="1"/>
                <w:sz w:val="20"/>
              </w:rPr>
              <w:t xml:space="preserve"> </w:t>
            </w:r>
            <w:r>
              <w:rPr>
                <w:b/>
                <w:spacing w:val="-4"/>
                <w:sz w:val="20"/>
              </w:rPr>
              <w:t>days</w:t>
            </w:r>
          </w:p>
        </w:tc>
      </w:tr>
      <w:tr w:rsidR="00251C8D" w14:paraId="67482E47" w14:textId="77777777">
        <w:trPr>
          <w:trHeight w:val="229"/>
        </w:trPr>
        <w:tc>
          <w:tcPr>
            <w:tcW w:w="1426" w:type="dxa"/>
            <w:tcBorders>
              <w:right w:val="nil"/>
            </w:tcBorders>
            <w:shd w:val="clear" w:color="auto" w:fill="DBE4F0"/>
          </w:tcPr>
          <w:p w14:paraId="55F5EF97" w14:textId="77777777" w:rsidR="00251C8D" w:rsidRDefault="00CA55ED">
            <w:pPr>
              <w:pStyle w:val="TableParagraph"/>
              <w:spacing w:before="29" w:line="181" w:lineRule="exact"/>
              <w:rPr>
                <w:sz w:val="20"/>
              </w:rPr>
            </w:pPr>
            <w:r>
              <w:rPr>
                <w:spacing w:val="-4"/>
                <w:sz w:val="20"/>
              </w:rPr>
              <w:t>Open</w:t>
            </w:r>
          </w:p>
        </w:tc>
        <w:tc>
          <w:tcPr>
            <w:tcW w:w="2018" w:type="dxa"/>
            <w:tcBorders>
              <w:left w:val="nil"/>
              <w:right w:val="nil"/>
            </w:tcBorders>
            <w:shd w:val="clear" w:color="auto" w:fill="DBE4F0"/>
          </w:tcPr>
          <w:p w14:paraId="56F55AF5" w14:textId="77777777" w:rsidR="00251C8D" w:rsidRDefault="00CA55ED">
            <w:pPr>
              <w:pStyle w:val="TableParagraph"/>
              <w:spacing w:before="29" w:line="181" w:lineRule="exact"/>
              <w:ind w:left="247"/>
              <w:rPr>
                <w:sz w:val="20"/>
              </w:rPr>
            </w:pPr>
            <w:r>
              <w:rPr>
                <w:spacing w:val="-2"/>
                <w:sz w:val="20"/>
              </w:rPr>
              <w:t>3.77±0.985</w:t>
            </w:r>
          </w:p>
        </w:tc>
        <w:tc>
          <w:tcPr>
            <w:tcW w:w="1216" w:type="dxa"/>
            <w:vMerge w:val="restart"/>
            <w:tcBorders>
              <w:left w:val="nil"/>
            </w:tcBorders>
            <w:shd w:val="clear" w:color="auto" w:fill="DBE4F0"/>
          </w:tcPr>
          <w:p w14:paraId="1DAF4073" w14:textId="77777777" w:rsidR="00251C8D" w:rsidRDefault="00CA55ED">
            <w:pPr>
              <w:pStyle w:val="TableParagraph"/>
              <w:spacing w:before="149" w:line="240" w:lineRule="auto"/>
              <w:ind w:left="113"/>
              <w:rPr>
                <w:sz w:val="20"/>
              </w:rPr>
            </w:pPr>
            <w:r>
              <w:rPr>
                <w:spacing w:val="-2"/>
                <w:sz w:val="20"/>
              </w:rPr>
              <w:t>0.0001</w:t>
            </w:r>
          </w:p>
        </w:tc>
      </w:tr>
      <w:tr w:rsidR="00251C8D" w14:paraId="47BB19F8" w14:textId="77777777">
        <w:trPr>
          <w:trHeight w:val="230"/>
        </w:trPr>
        <w:tc>
          <w:tcPr>
            <w:tcW w:w="1426" w:type="dxa"/>
            <w:tcBorders>
              <w:right w:val="nil"/>
            </w:tcBorders>
          </w:tcPr>
          <w:p w14:paraId="572443F7" w14:textId="77777777" w:rsidR="00251C8D" w:rsidRDefault="00CA55ED">
            <w:pPr>
              <w:pStyle w:val="TableParagraph"/>
              <w:spacing w:before="29" w:line="181" w:lineRule="exact"/>
              <w:rPr>
                <w:sz w:val="20"/>
              </w:rPr>
            </w:pPr>
            <w:r>
              <w:rPr>
                <w:spacing w:val="-2"/>
                <w:sz w:val="20"/>
              </w:rPr>
              <w:t>Laparoscopic</w:t>
            </w:r>
          </w:p>
        </w:tc>
        <w:tc>
          <w:tcPr>
            <w:tcW w:w="2018" w:type="dxa"/>
            <w:tcBorders>
              <w:left w:val="nil"/>
              <w:right w:val="nil"/>
            </w:tcBorders>
          </w:tcPr>
          <w:p w14:paraId="25504355" w14:textId="77777777" w:rsidR="00251C8D" w:rsidRDefault="00CA55ED">
            <w:pPr>
              <w:pStyle w:val="TableParagraph"/>
              <w:spacing w:before="29" w:line="181" w:lineRule="exact"/>
              <w:ind w:left="247"/>
              <w:rPr>
                <w:sz w:val="20"/>
              </w:rPr>
            </w:pPr>
            <w:r>
              <w:rPr>
                <w:spacing w:val="-2"/>
                <w:sz w:val="20"/>
              </w:rPr>
              <w:t>1.52±0.975</w:t>
            </w:r>
          </w:p>
        </w:tc>
        <w:tc>
          <w:tcPr>
            <w:tcW w:w="1216" w:type="dxa"/>
            <w:vMerge/>
            <w:tcBorders>
              <w:top w:val="nil"/>
              <w:left w:val="nil"/>
            </w:tcBorders>
            <w:shd w:val="clear" w:color="auto" w:fill="DBE4F0"/>
          </w:tcPr>
          <w:p w14:paraId="1333DD3D" w14:textId="77777777" w:rsidR="00251C8D" w:rsidRDefault="00251C8D">
            <w:pPr>
              <w:rPr>
                <w:sz w:val="2"/>
                <w:szCs w:val="2"/>
              </w:rPr>
            </w:pPr>
          </w:p>
        </w:tc>
      </w:tr>
    </w:tbl>
    <w:p w14:paraId="6FE00A65" w14:textId="77777777" w:rsidR="00251C8D" w:rsidRDefault="00CA55ED">
      <w:pPr>
        <w:pStyle w:val="BodyText"/>
        <w:spacing w:before="91"/>
        <w:ind w:left="277" w:right="30"/>
        <w:jc w:val="both"/>
      </w:pPr>
      <w:r>
        <w:br w:type="column"/>
      </w:r>
      <w:r>
        <w:t>As shown in Table 3, shows a statistically significant difference between the VAS score between the two. It</w:t>
      </w:r>
      <w:r>
        <w:rPr>
          <w:spacing w:val="40"/>
        </w:rPr>
        <w:t xml:space="preserve"> </w:t>
      </w:r>
      <w:r>
        <w:t>was found to less in individuals who got surgery by a laparoscopy when compared with open approach.</w:t>
      </w:r>
    </w:p>
    <w:p w14:paraId="00FBB397" w14:textId="77777777" w:rsidR="00251C8D" w:rsidRDefault="00251C8D">
      <w:pPr>
        <w:pStyle w:val="BodyText"/>
        <w:spacing w:before="17"/>
      </w:pPr>
    </w:p>
    <w:p w14:paraId="532554BD" w14:textId="77777777" w:rsidR="00251C8D" w:rsidRDefault="00CA55ED">
      <w:pPr>
        <w:pStyle w:val="Heading2"/>
        <w:ind w:left="326" w:right="80"/>
      </w:pPr>
      <w:r>
        <w:rPr>
          <w:color w:val="003195"/>
        </w:rPr>
        <w:t>Table</w:t>
      </w:r>
      <w:r>
        <w:rPr>
          <w:color w:val="003195"/>
          <w:spacing w:val="-5"/>
        </w:rPr>
        <w:t xml:space="preserve"> </w:t>
      </w:r>
      <w:r>
        <w:rPr>
          <w:color w:val="003195"/>
        </w:rPr>
        <w:t>4:</w:t>
      </w:r>
      <w:r>
        <w:rPr>
          <w:color w:val="003195"/>
          <w:spacing w:val="-3"/>
        </w:rPr>
        <w:t xml:space="preserve"> </w:t>
      </w:r>
      <w:r>
        <w:rPr>
          <w:color w:val="003195"/>
        </w:rPr>
        <w:t>POD</w:t>
      </w:r>
      <w:r>
        <w:rPr>
          <w:color w:val="003195"/>
          <w:spacing w:val="-1"/>
        </w:rPr>
        <w:t xml:space="preserve"> </w:t>
      </w:r>
      <w:r>
        <w:rPr>
          <w:color w:val="003195"/>
          <w:spacing w:val="-2"/>
        </w:rPr>
        <w:t>mobilization.</w:t>
      </w:r>
    </w:p>
    <w:p w14:paraId="5A30A8EE" w14:textId="77777777" w:rsidR="00251C8D" w:rsidRDefault="00251C8D">
      <w:pPr>
        <w:pStyle w:val="BodyText"/>
        <w:spacing w:before="10"/>
        <w:rPr>
          <w:b/>
          <w:sz w:val="16"/>
        </w:rPr>
      </w:pPr>
    </w:p>
    <w:tbl>
      <w:tblPr>
        <w:tblW w:w="0" w:type="auto"/>
        <w:tblInd w:w="177" w:type="dxa"/>
        <w:tblLayout w:type="fixed"/>
        <w:tblCellMar>
          <w:left w:w="0" w:type="dxa"/>
          <w:right w:w="0" w:type="dxa"/>
        </w:tblCellMar>
        <w:tblLook w:val="01E0" w:firstRow="1" w:lastRow="1" w:firstColumn="1" w:lastColumn="1" w:noHBand="0" w:noVBand="0"/>
      </w:tblPr>
      <w:tblGrid>
        <w:gridCol w:w="1451"/>
        <w:gridCol w:w="2052"/>
        <w:gridCol w:w="1229"/>
      </w:tblGrid>
      <w:tr w:rsidR="00251C8D" w14:paraId="043EDDF5" w14:textId="77777777">
        <w:trPr>
          <w:trHeight w:val="251"/>
        </w:trPr>
        <w:tc>
          <w:tcPr>
            <w:tcW w:w="1451" w:type="dxa"/>
            <w:shd w:val="clear" w:color="auto" w:fill="4F81BC"/>
          </w:tcPr>
          <w:p w14:paraId="17CDA8B3" w14:textId="77777777" w:rsidR="00251C8D" w:rsidRDefault="00CA55ED">
            <w:pPr>
              <w:pStyle w:val="TableParagraph"/>
              <w:spacing w:before="10" w:line="222" w:lineRule="exact"/>
              <w:ind w:left="112"/>
              <w:rPr>
                <w:b/>
                <w:sz w:val="20"/>
              </w:rPr>
            </w:pPr>
            <w:r>
              <w:rPr>
                <w:b/>
                <w:color w:val="FFFFFF"/>
                <w:spacing w:val="-2"/>
                <w:sz w:val="20"/>
              </w:rPr>
              <w:t>Procedure</w:t>
            </w:r>
          </w:p>
        </w:tc>
        <w:tc>
          <w:tcPr>
            <w:tcW w:w="2052" w:type="dxa"/>
            <w:shd w:val="clear" w:color="auto" w:fill="4F81BC"/>
          </w:tcPr>
          <w:p w14:paraId="47CDA6A1" w14:textId="77777777" w:rsidR="00251C8D" w:rsidRDefault="00CA55ED">
            <w:pPr>
              <w:pStyle w:val="TableParagraph"/>
              <w:spacing w:before="10" w:line="222" w:lineRule="exact"/>
              <w:ind w:left="193"/>
              <w:rPr>
                <w:b/>
                <w:sz w:val="20"/>
              </w:rPr>
            </w:pPr>
            <w:proofErr w:type="spellStart"/>
            <w:r>
              <w:rPr>
                <w:b/>
                <w:color w:val="FFFFFF"/>
                <w:spacing w:val="-2"/>
                <w:sz w:val="20"/>
              </w:rPr>
              <w:t>Mean±SD</w:t>
            </w:r>
            <w:proofErr w:type="spellEnd"/>
          </w:p>
        </w:tc>
        <w:tc>
          <w:tcPr>
            <w:tcW w:w="1229" w:type="dxa"/>
            <w:shd w:val="clear" w:color="auto" w:fill="4F81BC"/>
          </w:tcPr>
          <w:p w14:paraId="377E52E5" w14:textId="77777777" w:rsidR="00251C8D" w:rsidRDefault="00CA55ED">
            <w:pPr>
              <w:pStyle w:val="TableParagraph"/>
              <w:spacing w:before="10" w:line="222" w:lineRule="exact"/>
              <w:ind w:left="112"/>
              <w:rPr>
                <w:b/>
                <w:sz w:val="20"/>
              </w:rPr>
            </w:pPr>
            <w:r>
              <w:rPr>
                <w:b/>
                <w:color w:val="FFFFFF"/>
                <w:sz w:val="20"/>
              </w:rPr>
              <w:t>P</w:t>
            </w:r>
            <w:r>
              <w:rPr>
                <w:b/>
                <w:color w:val="FFFFFF"/>
                <w:spacing w:val="-2"/>
                <w:sz w:val="20"/>
              </w:rPr>
              <w:t xml:space="preserve"> value</w:t>
            </w:r>
          </w:p>
        </w:tc>
      </w:tr>
      <w:tr w:rsidR="00251C8D" w14:paraId="57D05486" w14:textId="77777777">
        <w:trPr>
          <w:trHeight w:val="227"/>
        </w:trPr>
        <w:tc>
          <w:tcPr>
            <w:tcW w:w="1451" w:type="dxa"/>
            <w:tcBorders>
              <w:left w:val="single" w:sz="4" w:space="0" w:color="94B3D6"/>
              <w:bottom w:val="single" w:sz="4" w:space="0" w:color="94B3D6"/>
            </w:tcBorders>
            <w:shd w:val="clear" w:color="auto" w:fill="DBE4F0"/>
          </w:tcPr>
          <w:p w14:paraId="7AD5AD68" w14:textId="77777777" w:rsidR="00251C8D" w:rsidRDefault="00CA55ED">
            <w:pPr>
              <w:pStyle w:val="TableParagraph"/>
              <w:spacing w:line="208" w:lineRule="exact"/>
              <w:rPr>
                <w:b/>
                <w:sz w:val="20"/>
              </w:rPr>
            </w:pPr>
            <w:r>
              <w:rPr>
                <w:b/>
                <w:spacing w:val="-4"/>
                <w:sz w:val="20"/>
              </w:rPr>
              <w:t>Open</w:t>
            </w:r>
          </w:p>
        </w:tc>
        <w:tc>
          <w:tcPr>
            <w:tcW w:w="2052" w:type="dxa"/>
            <w:tcBorders>
              <w:bottom w:val="single" w:sz="4" w:space="0" w:color="94B3D6"/>
            </w:tcBorders>
            <w:shd w:val="clear" w:color="auto" w:fill="DBE4F0"/>
          </w:tcPr>
          <w:p w14:paraId="726A71D4" w14:textId="77777777" w:rsidR="00251C8D" w:rsidRDefault="00CA55ED">
            <w:pPr>
              <w:pStyle w:val="TableParagraph"/>
              <w:spacing w:line="208" w:lineRule="exact"/>
              <w:ind w:left="193"/>
              <w:rPr>
                <w:sz w:val="20"/>
              </w:rPr>
            </w:pPr>
            <w:r>
              <w:rPr>
                <w:spacing w:val="-2"/>
                <w:sz w:val="20"/>
              </w:rPr>
              <w:t>2.61±0.895</w:t>
            </w:r>
          </w:p>
        </w:tc>
        <w:tc>
          <w:tcPr>
            <w:tcW w:w="1229" w:type="dxa"/>
            <w:vMerge w:val="restart"/>
            <w:tcBorders>
              <w:bottom w:val="single" w:sz="4" w:space="0" w:color="94B3D6"/>
              <w:right w:val="single" w:sz="4" w:space="0" w:color="94B3D6"/>
            </w:tcBorders>
            <w:shd w:val="clear" w:color="auto" w:fill="DBE4F0"/>
          </w:tcPr>
          <w:p w14:paraId="789DC660" w14:textId="77777777" w:rsidR="00251C8D" w:rsidRDefault="00CA55ED">
            <w:pPr>
              <w:pStyle w:val="TableParagraph"/>
              <w:spacing w:before="113" w:line="240" w:lineRule="auto"/>
              <w:ind w:left="112"/>
              <w:rPr>
                <w:sz w:val="20"/>
              </w:rPr>
            </w:pPr>
            <w:r>
              <w:rPr>
                <w:spacing w:val="-2"/>
                <w:sz w:val="20"/>
              </w:rPr>
              <w:t>0.0001</w:t>
            </w:r>
          </w:p>
        </w:tc>
      </w:tr>
      <w:tr w:rsidR="00251C8D" w14:paraId="62B88F33" w14:textId="77777777">
        <w:trPr>
          <w:trHeight w:val="232"/>
        </w:trPr>
        <w:tc>
          <w:tcPr>
            <w:tcW w:w="1451" w:type="dxa"/>
            <w:tcBorders>
              <w:top w:val="single" w:sz="4" w:space="0" w:color="94B3D6"/>
              <w:left w:val="single" w:sz="4" w:space="0" w:color="94B3D6"/>
              <w:bottom w:val="single" w:sz="4" w:space="0" w:color="94B3D6"/>
            </w:tcBorders>
          </w:tcPr>
          <w:p w14:paraId="6E477810" w14:textId="77777777" w:rsidR="00251C8D" w:rsidRDefault="00CA55ED">
            <w:pPr>
              <w:pStyle w:val="TableParagraph"/>
              <w:spacing w:line="212" w:lineRule="exact"/>
              <w:rPr>
                <w:b/>
                <w:sz w:val="20"/>
              </w:rPr>
            </w:pPr>
            <w:r>
              <w:rPr>
                <w:b/>
                <w:spacing w:val="-2"/>
                <w:sz w:val="20"/>
              </w:rPr>
              <w:t>Laparoscopic</w:t>
            </w:r>
          </w:p>
        </w:tc>
        <w:tc>
          <w:tcPr>
            <w:tcW w:w="2052" w:type="dxa"/>
            <w:tcBorders>
              <w:top w:val="single" w:sz="4" w:space="0" w:color="94B3D6"/>
              <w:bottom w:val="single" w:sz="4" w:space="0" w:color="94B3D6"/>
            </w:tcBorders>
          </w:tcPr>
          <w:p w14:paraId="46D5E06B" w14:textId="77777777" w:rsidR="00251C8D" w:rsidRDefault="00CA55ED">
            <w:pPr>
              <w:pStyle w:val="TableParagraph"/>
              <w:spacing w:line="212" w:lineRule="exact"/>
              <w:ind w:left="193"/>
              <w:rPr>
                <w:sz w:val="20"/>
              </w:rPr>
            </w:pPr>
            <w:r>
              <w:rPr>
                <w:spacing w:val="-2"/>
                <w:sz w:val="20"/>
              </w:rPr>
              <w:t>1.30±0.542</w:t>
            </w:r>
          </w:p>
        </w:tc>
        <w:tc>
          <w:tcPr>
            <w:tcW w:w="1229" w:type="dxa"/>
            <w:vMerge/>
            <w:tcBorders>
              <w:top w:val="nil"/>
              <w:bottom w:val="single" w:sz="4" w:space="0" w:color="94B3D6"/>
              <w:right w:val="single" w:sz="4" w:space="0" w:color="94B3D6"/>
            </w:tcBorders>
            <w:shd w:val="clear" w:color="auto" w:fill="DBE4F0"/>
          </w:tcPr>
          <w:p w14:paraId="160F4436" w14:textId="77777777" w:rsidR="00251C8D" w:rsidRDefault="00251C8D">
            <w:pPr>
              <w:rPr>
                <w:sz w:val="2"/>
                <w:szCs w:val="2"/>
              </w:rPr>
            </w:pPr>
          </w:p>
        </w:tc>
      </w:tr>
    </w:tbl>
    <w:p w14:paraId="5D5A9196" w14:textId="77777777" w:rsidR="00251C8D" w:rsidRDefault="00251C8D">
      <w:pPr>
        <w:pStyle w:val="BodyText"/>
        <w:spacing w:before="10"/>
        <w:rPr>
          <w:b/>
        </w:rPr>
      </w:pPr>
    </w:p>
    <w:p w14:paraId="768FFD35" w14:textId="77777777" w:rsidR="00251C8D" w:rsidRDefault="00CA55ED">
      <w:pPr>
        <w:pStyle w:val="BodyText"/>
        <w:ind w:left="277" w:right="29"/>
        <w:jc w:val="both"/>
      </w:pPr>
      <w:r>
        <w:t>As shown in Table 4, a significant difference was observed between period of mobilization and surgical procedure. It was lower in patients who underwent laparoscopic procedure as compared to the patients who underwent open surgery procedure. A significant difference was observed between day of return to work and surgical procedure. It was lower in patients who underwent laparoscopic procedure as compared to the patients who underwent open surgery procedure</w:t>
      </w:r>
    </w:p>
    <w:p w14:paraId="0CF1D2AB" w14:textId="77777777" w:rsidR="00251C8D" w:rsidRDefault="00CA55ED">
      <w:pPr>
        <w:pStyle w:val="BodyText"/>
        <w:spacing w:before="2"/>
        <w:rPr>
          <w:sz w:val="19"/>
        </w:rPr>
      </w:pPr>
      <w:r>
        <w:rPr>
          <w:noProof/>
          <w:sz w:val="19"/>
        </w:rPr>
        <w:drawing>
          <wp:anchor distT="0" distB="0" distL="0" distR="0" simplePos="0" relativeHeight="487590912" behindDoc="1" locked="0" layoutInCell="1" allowOverlap="1" wp14:anchorId="10C5FB7E" wp14:editId="164DBBB6">
            <wp:simplePos x="0" y="0"/>
            <wp:positionH relativeFrom="page">
              <wp:posOffset>3959352</wp:posOffset>
            </wp:positionH>
            <wp:positionV relativeFrom="paragraph">
              <wp:posOffset>155826</wp:posOffset>
            </wp:positionV>
            <wp:extent cx="2930790" cy="1679067"/>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4" cstate="print"/>
                    <a:stretch>
                      <a:fillRect/>
                    </a:stretch>
                  </pic:blipFill>
                  <pic:spPr>
                    <a:xfrm>
                      <a:off x="0" y="0"/>
                      <a:ext cx="2930790" cy="1679067"/>
                    </a:xfrm>
                    <a:prstGeom prst="rect">
                      <a:avLst/>
                    </a:prstGeom>
                  </pic:spPr>
                </pic:pic>
              </a:graphicData>
            </a:graphic>
          </wp:anchor>
        </w:drawing>
      </w:r>
    </w:p>
    <w:p w14:paraId="342B99B4" w14:textId="77777777" w:rsidR="00251C8D" w:rsidRDefault="00251C8D">
      <w:pPr>
        <w:pStyle w:val="BodyText"/>
        <w:spacing w:before="36"/>
      </w:pPr>
    </w:p>
    <w:p w14:paraId="07B44EFC" w14:textId="77777777" w:rsidR="00251C8D" w:rsidRDefault="00CA55ED">
      <w:pPr>
        <w:pStyle w:val="Heading2"/>
        <w:ind w:left="325" w:right="85"/>
      </w:pPr>
      <w:r>
        <w:rPr>
          <w:color w:val="003195"/>
        </w:rPr>
        <w:t>Figure</w:t>
      </w:r>
      <w:r>
        <w:rPr>
          <w:color w:val="003195"/>
          <w:spacing w:val="-4"/>
        </w:rPr>
        <w:t xml:space="preserve"> </w:t>
      </w:r>
      <w:r>
        <w:rPr>
          <w:color w:val="003195"/>
        </w:rPr>
        <w:t>4:</w:t>
      </w:r>
      <w:r>
        <w:rPr>
          <w:color w:val="003195"/>
          <w:spacing w:val="-3"/>
        </w:rPr>
        <w:t xml:space="preserve"> </w:t>
      </w:r>
      <w:r>
        <w:rPr>
          <w:color w:val="003195"/>
        </w:rPr>
        <w:t>Day</w:t>
      </w:r>
      <w:r>
        <w:rPr>
          <w:color w:val="003195"/>
          <w:spacing w:val="-4"/>
        </w:rPr>
        <w:t xml:space="preserve"> </w:t>
      </w:r>
      <w:r>
        <w:rPr>
          <w:color w:val="003195"/>
        </w:rPr>
        <w:t>of</w:t>
      </w:r>
      <w:r>
        <w:rPr>
          <w:color w:val="003195"/>
          <w:spacing w:val="-3"/>
        </w:rPr>
        <w:t xml:space="preserve"> </w:t>
      </w:r>
      <w:r>
        <w:rPr>
          <w:color w:val="003195"/>
        </w:rPr>
        <w:t>return</w:t>
      </w:r>
      <w:r>
        <w:rPr>
          <w:color w:val="003195"/>
          <w:spacing w:val="-4"/>
        </w:rPr>
        <w:t xml:space="preserve"> </w:t>
      </w:r>
      <w:r>
        <w:rPr>
          <w:color w:val="003195"/>
        </w:rPr>
        <w:t>to</w:t>
      </w:r>
      <w:r>
        <w:rPr>
          <w:color w:val="003195"/>
          <w:spacing w:val="-4"/>
        </w:rPr>
        <w:t xml:space="preserve"> </w:t>
      </w:r>
      <w:r>
        <w:rPr>
          <w:color w:val="003195"/>
          <w:spacing w:val="-2"/>
        </w:rPr>
        <w:t>work.</w:t>
      </w:r>
    </w:p>
    <w:p w14:paraId="2B46BCB1" w14:textId="77777777" w:rsidR="00251C8D" w:rsidRDefault="00251C8D">
      <w:pPr>
        <w:pStyle w:val="BodyText"/>
        <w:spacing w:before="10"/>
        <w:rPr>
          <w:b/>
        </w:rPr>
      </w:pPr>
    </w:p>
    <w:p w14:paraId="53C18D0B" w14:textId="77777777" w:rsidR="00251C8D" w:rsidRDefault="00CA55ED">
      <w:pPr>
        <w:spacing w:before="1"/>
        <w:ind w:left="325" w:right="80"/>
        <w:jc w:val="center"/>
        <w:rPr>
          <w:b/>
          <w:sz w:val="20"/>
        </w:rPr>
      </w:pPr>
      <w:r>
        <w:rPr>
          <w:b/>
          <w:color w:val="003195"/>
          <w:sz w:val="20"/>
        </w:rPr>
        <w:t>Table</w:t>
      </w:r>
      <w:r>
        <w:rPr>
          <w:b/>
          <w:color w:val="003195"/>
          <w:spacing w:val="-8"/>
          <w:sz w:val="20"/>
        </w:rPr>
        <w:t xml:space="preserve"> </w:t>
      </w:r>
      <w:r>
        <w:rPr>
          <w:b/>
          <w:color w:val="003195"/>
          <w:sz w:val="20"/>
        </w:rPr>
        <w:t>5:</w:t>
      </w:r>
      <w:r>
        <w:rPr>
          <w:b/>
          <w:color w:val="003195"/>
          <w:spacing w:val="-7"/>
          <w:sz w:val="20"/>
        </w:rPr>
        <w:t xml:space="preserve"> </w:t>
      </w:r>
      <w:r>
        <w:rPr>
          <w:b/>
          <w:color w:val="003195"/>
          <w:sz w:val="20"/>
        </w:rPr>
        <w:t>Post-operative</w:t>
      </w:r>
      <w:r>
        <w:rPr>
          <w:b/>
          <w:color w:val="003195"/>
          <w:spacing w:val="-9"/>
          <w:sz w:val="20"/>
        </w:rPr>
        <w:t xml:space="preserve"> </w:t>
      </w:r>
      <w:r>
        <w:rPr>
          <w:b/>
          <w:color w:val="003195"/>
          <w:sz w:val="20"/>
        </w:rPr>
        <w:t>complications</w:t>
      </w:r>
      <w:r>
        <w:rPr>
          <w:b/>
          <w:color w:val="003195"/>
          <w:spacing w:val="-8"/>
          <w:sz w:val="20"/>
        </w:rPr>
        <w:t xml:space="preserve"> </w:t>
      </w:r>
      <w:r>
        <w:rPr>
          <w:b/>
          <w:color w:val="003195"/>
          <w:sz w:val="20"/>
        </w:rPr>
        <w:t>among</w:t>
      </w:r>
      <w:r>
        <w:rPr>
          <w:b/>
          <w:color w:val="003195"/>
          <w:spacing w:val="-7"/>
          <w:sz w:val="20"/>
        </w:rPr>
        <w:t xml:space="preserve"> </w:t>
      </w:r>
      <w:r>
        <w:rPr>
          <w:b/>
          <w:color w:val="003195"/>
          <w:sz w:val="20"/>
        </w:rPr>
        <w:t xml:space="preserve">the </w:t>
      </w:r>
      <w:r>
        <w:rPr>
          <w:b/>
          <w:color w:val="003195"/>
          <w:spacing w:val="-2"/>
          <w:sz w:val="20"/>
        </w:rPr>
        <w:t>cases.</w:t>
      </w:r>
    </w:p>
    <w:p w14:paraId="434CC86C" w14:textId="77777777" w:rsidR="00251C8D" w:rsidRDefault="00251C8D">
      <w:pPr>
        <w:pStyle w:val="BodyText"/>
        <w:spacing w:before="4"/>
        <w:rPr>
          <w:b/>
          <w:sz w:val="17"/>
        </w:rPr>
      </w:pPr>
    </w:p>
    <w:tbl>
      <w:tblPr>
        <w:tblW w:w="0" w:type="auto"/>
        <w:tblInd w:w="175"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093"/>
        <w:gridCol w:w="535"/>
        <w:gridCol w:w="859"/>
        <w:gridCol w:w="488"/>
        <w:gridCol w:w="768"/>
      </w:tblGrid>
      <w:tr w:rsidR="00251C8D" w14:paraId="3BF10FF0" w14:textId="77777777">
        <w:trPr>
          <w:trHeight w:val="234"/>
        </w:trPr>
        <w:tc>
          <w:tcPr>
            <w:tcW w:w="2093" w:type="dxa"/>
            <w:vMerge w:val="restart"/>
            <w:tcBorders>
              <w:left w:val="single" w:sz="4" w:space="0" w:color="94B3D6"/>
              <w:bottom w:val="single" w:sz="4" w:space="0" w:color="94B3D6"/>
              <w:right w:val="nil"/>
            </w:tcBorders>
            <w:shd w:val="clear" w:color="auto" w:fill="4F81BC"/>
          </w:tcPr>
          <w:p w14:paraId="73B1A083" w14:textId="77777777" w:rsidR="00251C8D" w:rsidRDefault="00251C8D">
            <w:pPr>
              <w:pStyle w:val="TableParagraph"/>
              <w:spacing w:line="240" w:lineRule="auto"/>
              <w:ind w:left="0"/>
              <w:rPr>
                <w:b/>
                <w:sz w:val="20"/>
              </w:rPr>
            </w:pPr>
          </w:p>
          <w:p w14:paraId="0067B429" w14:textId="77777777" w:rsidR="00251C8D" w:rsidRDefault="00251C8D">
            <w:pPr>
              <w:pStyle w:val="TableParagraph"/>
              <w:spacing w:before="8" w:line="240" w:lineRule="auto"/>
              <w:ind w:left="0"/>
              <w:rPr>
                <w:b/>
                <w:sz w:val="20"/>
              </w:rPr>
            </w:pPr>
          </w:p>
          <w:p w14:paraId="25773208" w14:textId="77777777" w:rsidR="00251C8D" w:rsidRDefault="00CA55ED">
            <w:pPr>
              <w:pStyle w:val="TableParagraph"/>
              <w:spacing w:line="240" w:lineRule="auto"/>
              <w:rPr>
                <w:b/>
                <w:sz w:val="20"/>
              </w:rPr>
            </w:pPr>
            <w:r>
              <w:rPr>
                <w:b/>
                <w:color w:val="FFFFFF"/>
                <w:spacing w:val="-2"/>
                <w:sz w:val="20"/>
              </w:rPr>
              <w:t>Complications</w:t>
            </w:r>
          </w:p>
        </w:tc>
        <w:tc>
          <w:tcPr>
            <w:tcW w:w="2650" w:type="dxa"/>
            <w:gridSpan w:val="4"/>
            <w:tcBorders>
              <w:left w:val="nil"/>
              <w:bottom w:val="nil"/>
              <w:right w:val="nil"/>
            </w:tcBorders>
            <w:shd w:val="clear" w:color="auto" w:fill="4F81BC"/>
          </w:tcPr>
          <w:p w14:paraId="68C72C08" w14:textId="77777777" w:rsidR="00251C8D" w:rsidRDefault="00CA55ED">
            <w:pPr>
              <w:pStyle w:val="TableParagraph"/>
              <w:spacing w:line="215" w:lineRule="exact"/>
              <w:ind w:left="112"/>
              <w:rPr>
                <w:b/>
                <w:sz w:val="20"/>
              </w:rPr>
            </w:pPr>
            <w:r>
              <w:rPr>
                <w:b/>
                <w:color w:val="FFFFFF"/>
                <w:spacing w:val="-2"/>
                <w:sz w:val="20"/>
              </w:rPr>
              <w:t>Procedure</w:t>
            </w:r>
          </w:p>
        </w:tc>
      </w:tr>
      <w:tr w:rsidR="00251C8D" w14:paraId="447B21BA" w14:textId="77777777">
        <w:trPr>
          <w:trHeight w:val="686"/>
        </w:trPr>
        <w:tc>
          <w:tcPr>
            <w:tcW w:w="2093" w:type="dxa"/>
            <w:vMerge/>
            <w:tcBorders>
              <w:top w:val="nil"/>
              <w:left w:val="single" w:sz="4" w:space="0" w:color="94B3D6"/>
              <w:bottom w:val="single" w:sz="4" w:space="0" w:color="94B3D6"/>
              <w:right w:val="nil"/>
            </w:tcBorders>
            <w:shd w:val="clear" w:color="auto" w:fill="4F81BC"/>
          </w:tcPr>
          <w:p w14:paraId="29FD4CA5" w14:textId="77777777" w:rsidR="00251C8D" w:rsidRDefault="00251C8D">
            <w:pPr>
              <w:rPr>
                <w:sz w:val="2"/>
                <w:szCs w:val="2"/>
              </w:rPr>
            </w:pPr>
          </w:p>
        </w:tc>
        <w:tc>
          <w:tcPr>
            <w:tcW w:w="1394" w:type="dxa"/>
            <w:gridSpan w:val="2"/>
            <w:tcBorders>
              <w:top w:val="nil"/>
              <w:left w:val="nil"/>
              <w:bottom w:val="single" w:sz="4" w:space="0" w:color="94B3D6"/>
              <w:right w:val="nil"/>
            </w:tcBorders>
            <w:shd w:val="clear" w:color="auto" w:fill="DBE4F0"/>
          </w:tcPr>
          <w:p w14:paraId="75722357" w14:textId="77777777" w:rsidR="00251C8D" w:rsidRDefault="00CA55ED">
            <w:pPr>
              <w:pStyle w:val="TableParagraph"/>
              <w:spacing w:line="240" w:lineRule="auto"/>
              <w:ind w:left="112"/>
              <w:rPr>
                <w:b/>
                <w:sz w:val="20"/>
              </w:rPr>
            </w:pPr>
            <w:r>
              <w:rPr>
                <w:b/>
                <w:spacing w:val="-2"/>
                <w:sz w:val="20"/>
              </w:rPr>
              <w:t>Laparoscopic surgery,</w:t>
            </w:r>
          </w:p>
          <w:p w14:paraId="36C2B2CC" w14:textId="77777777" w:rsidR="00251C8D" w:rsidRDefault="00CA55ED">
            <w:pPr>
              <w:pStyle w:val="TableParagraph"/>
              <w:spacing w:line="212" w:lineRule="exact"/>
              <w:ind w:left="112"/>
              <w:rPr>
                <w:b/>
                <w:sz w:val="20"/>
              </w:rPr>
            </w:pPr>
            <w:r>
              <w:rPr>
                <w:b/>
                <w:spacing w:val="-2"/>
                <w:sz w:val="20"/>
              </w:rPr>
              <w:t>(N=27)</w:t>
            </w:r>
          </w:p>
        </w:tc>
        <w:tc>
          <w:tcPr>
            <w:tcW w:w="1256" w:type="dxa"/>
            <w:gridSpan w:val="2"/>
            <w:tcBorders>
              <w:top w:val="nil"/>
              <w:left w:val="nil"/>
              <w:bottom w:val="single" w:sz="4" w:space="0" w:color="94B3D6"/>
              <w:right w:val="single" w:sz="4" w:space="0" w:color="94B3D6"/>
            </w:tcBorders>
            <w:shd w:val="clear" w:color="auto" w:fill="DBE4F0"/>
          </w:tcPr>
          <w:p w14:paraId="66520F0E" w14:textId="77777777" w:rsidR="00251C8D" w:rsidRDefault="00CA55ED">
            <w:pPr>
              <w:pStyle w:val="TableParagraph"/>
              <w:spacing w:line="240" w:lineRule="auto"/>
              <w:ind w:left="137" w:right="404"/>
              <w:rPr>
                <w:b/>
                <w:sz w:val="20"/>
              </w:rPr>
            </w:pPr>
            <w:r>
              <w:rPr>
                <w:b/>
                <w:spacing w:val="-4"/>
                <w:sz w:val="20"/>
              </w:rPr>
              <w:t xml:space="preserve">Open </w:t>
            </w:r>
            <w:r>
              <w:rPr>
                <w:b/>
                <w:spacing w:val="-2"/>
                <w:sz w:val="20"/>
              </w:rPr>
              <w:t>surgery,</w:t>
            </w:r>
          </w:p>
          <w:p w14:paraId="751868D8" w14:textId="77777777" w:rsidR="00251C8D" w:rsidRDefault="00CA55ED">
            <w:pPr>
              <w:pStyle w:val="TableParagraph"/>
              <w:spacing w:line="212" w:lineRule="exact"/>
              <w:ind w:left="137"/>
              <w:rPr>
                <w:b/>
                <w:sz w:val="20"/>
              </w:rPr>
            </w:pPr>
            <w:r>
              <w:rPr>
                <w:b/>
                <w:spacing w:val="-2"/>
                <w:sz w:val="20"/>
              </w:rPr>
              <w:t>(N=44)</w:t>
            </w:r>
          </w:p>
        </w:tc>
      </w:tr>
      <w:tr w:rsidR="00251C8D" w14:paraId="1FAE47C2" w14:textId="77777777">
        <w:trPr>
          <w:trHeight w:val="230"/>
        </w:trPr>
        <w:tc>
          <w:tcPr>
            <w:tcW w:w="2093" w:type="dxa"/>
            <w:vMerge/>
            <w:tcBorders>
              <w:top w:val="nil"/>
              <w:left w:val="single" w:sz="4" w:space="0" w:color="94B3D6"/>
              <w:bottom w:val="single" w:sz="4" w:space="0" w:color="94B3D6"/>
              <w:right w:val="nil"/>
            </w:tcBorders>
            <w:shd w:val="clear" w:color="auto" w:fill="4F81BC"/>
          </w:tcPr>
          <w:p w14:paraId="42C9AEC4" w14:textId="77777777" w:rsidR="00251C8D" w:rsidRDefault="00251C8D">
            <w:pPr>
              <w:rPr>
                <w:sz w:val="2"/>
                <w:szCs w:val="2"/>
              </w:rPr>
            </w:pPr>
          </w:p>
        </w:tc>
        <w:tc>
          <w:tcPr>
            <w:tcW w:w="535" w:type="dxa"/>
            <w:tcBorders>
              <w:top w:val="single" w:sz="4" w:space="0" w:color="94B3D6"/>
              <w:left w:val="nil"/>
              <w:bottom w:val="single" w:sz="4" w:space="0" w:color="94B3D6"/>
              <w:right w:val="nil"/>
            </w:tcBorders>
          </w:tcPr>
          <w:p w14:paraId="4E427902" w14:textId="77777777" w:rsidR="00251C8D" w:rsidRDefault="00CA55ED">
            <w:pPr>
              <w:pStyle w:val="TableParagraph"/>
              <w:ind w:left="112"/>
              <w:rPr>
                <w:b/>
                <w:sz w:val="20"/>
              </w:rPr>
            </w:pPr>
            <w:r>
              <w:rPr>
                <w:b/>
                <w:spacing w:val="-10"/>
                <w:sz w:val="20"/>
              </w:rPr>
              <w:t>N</w:t>
            </w:r>
          </w:p>
        </w:tc>
        <w:tc>
          <w:tcPr>
            <w:tcW w:w="859" w:type="dxa"/>
            <w:tcBorders>
              <w:top w:val="single" w:sz="4" w:space="0" w:color="94B3D6"/>
              <w:left w:val="nil"/>
              <w:bottom w:val="single" w:sz="4" w:space="0" w:color="94B3D6"/>
              <w:right w:val="nil"/>
            </w:tcBorders>
          </w:tcPr>
          <w:p w14:paraId="67291977" w14:textId="77777777" w:rsidR="00251C8D" w:rsidRDefault="00CA55ED">
            <w:pPr>
              <w:pStyle w:val="TableParagraph"/>
              <w:ind w:left="100" w:right="179"/>
              <w:jc w:val="center"/>
              <w:rPr>
                <w:b/>
                <w:sz w:val="20"/>
              </w:rPr>
            </w:pPr>
            <w:r>
              <w:rPr>
                <w:b/>
                <w:spacing w:val="-10"/>
                <w:sz w:val="20"/>
              </w:rPr>
              <w:t>%</w:t>
            </w:r>
          </w:p>
        </w:tc>
        <w:tc>
          <w:tcPr>
            <w:tcW w:w="488" w:type="dxa"/>
            <w:tcBorders>
              <w:top w:val="single" w:sz="4" w:space="0" w:color="94B3D6"/>
              <w:left w:val="nil"/>
              <w:bottom w:val="single" w:sz="4" w:space="0" w:color="94B3D6"/>
              <w:right w:val="nil"/>
            </w:tcBorders>
          </w:tcPr>
          <w:p w14:paraId="2EC2DEF8" w14:textId="77777777" w:rsidR="00251C8D" w:rsidRDefault="00CA55ED">
            <w:pPr>
              <w:pStyle w:val="TableParagraph"/>
              <w:ind w:left="44" w:right="110"/>
              <w:jc w:val="center"/>
              <w:rPr>
                <w:b/>
                <w:sz w:val="20"/>
              </w:rPr>
            </w:pPr>
            <w:r>
              <w:rPr>
                <w:b/>
                <w:spacing w:val="-10"/>
                <w:sz w:val="20"/>
              </w:rPr>
              <w:t>N</w:t>
            </w:r>
          </w:p>
        </w:tc>
        <w:tc>
          <w:tcPr>
            <w:tcW w:w="768" w:type="dxa"/>
            <w:tcBorders>
              <w:top w:val="single" w:sz="4" w:space="0" w:color="94B3D6"/>
              <w:left w:val="nil"/>
              <w:bottom w:val="single" w:sz="4" w:space="0" w:color="94B3D6"/>
              <w:right w:val="single" w:sz="4" w:space="0" w:color="94B3D6"/>
            </w:tcBorders>
          </w:tcPr>
          <w:p w14:paraId="04F0A9C9" w14:textId="77777777" w:rsidR="00251C8D" w:rsidRDefault="00CA55ED">
            <w:pPr>
              <w:pStyle w:val="TableParagraph"/>
              <w:ind w:left="216"/>
              <w:rPr>
                <w:b/>
                <w:sz w:val="20"/>
              </w:rPr>
            </w:pPr>
            <w:r>
              <w:rPr>
                <w:b/>
                <w:spacing w:val="-10"/>
                <w:sz w:val="20"/>
              </w:rPr>
              <w:t>%</w:t>
            </w:r>
          </w:p>
        </w:tc>
      </w:tr>
      <w:tr w:rsidR="00251C8D" w14:paraId="35182592" w14:textId="77777777">
        <w:trPr>
          <w:trHeight w:val="230"/>
        </w:trPr>
        <w:tc>
          <w:tcPr>
            <w:tcW w:w="2093" w:type="dxa"/>
            <w:tcBorders>
              <w:top w:val="single" w:sz="4" w:space="0" w:color="94B3D6"/>
              <w:left w:val="single" w:sz="4" w:space="0" w:color="94B3D6"/>
              <w:bottom w:val="single" w:sz="4" w:space="0" w:color="94B3D6"/>
              <w:right w:val="nil"/>
            </w:tcBorders>
            <w:shd w:val="clear" w:color="auto" w:fill="DBE4F0"/>
          </w:tcPr>
          <w:p w14:paraId="7C0398BE" w14:textId="77777777" w:rsidR="00251C8D" w:rsidRDefault="00CA55ED">
            <w:pPr>
              <w:pStyle w:val="TableParagraph"/>
              <w:rPr>
                <w:b/>
                <w:sz w:val="20"/>
              </w:rPr>
            </w:pPr>
            <w:r>
              <w:rPr>
                <w:b/>
                <w:spacing w:val="-2"/>
                <w:sz w:val="20"/>
              </w:rPr>
              <w:t>Hematoma</w:t>
            </w:r>
          </w:p>
        </w:tc>
        <w:tc>
          <w:tcPr>
            <w:tcW w:w="535" w:type="dxa"/>
            <w:tcBorders>
              <w:top w:val="single" w:sz="4" w:space="0" w:color="94B3D6"/>
              <w:left w:val="nil"/>
              <w:bottom w:val="single" w:sz="4" w:space="0" w:color="94B3D6"/>
              <w:right w:val="nil"/>
            </w:tcBorders>
            <w:shd w:val="clear" w:color="auto" w:fill="DBE4F0"/>
          </w:tcPr>
          <w:p w14:paraId="3107A4DD" w14:textId="77777777" w:rsidR="00251C8D" w:rsidRDefault="00CA55ED">
            <w:pPr>
              <w:pStyle w:val="TableParagraph"/>
              <w:ind w:left="112"/>
              <w:rPr>
                <w:sz w:val="20"/>
              </w:rPr>
            </w:pPr>
            <w:r>
              <w:rPr>
                <w:spacing w:val="-10"/>
                <w:sz w:val="20"/>
              </w:rPr>
              <w:t>1</w:t>
            </w:r>
          </w:p>
        </w:tc>
        <w:tc>
          <w:tcPr>
            <w:tcW w:w="859" w:type="dxa"/>
            <w:tcBorders>
              <w:top w:val="single" w:sz="4" w:space="0" w:color="94B3D6"/>
              <w:left w:val="nil"/>
              <w:bottom w:val="single" w:sz="4" w:space="0" w:color="94B3D6"/>
              <w:right w:val="nil"/>
            </w:tcBorders>
            <w:shd w:val="clear" w:color="auto" w:fill="DBE4F0"/>
          </w:tcPr>
          <w:p w14:paraId="0D4C853C" w14:textId="77777777" w:rsidR="00251C8D" w:rsidRDefault="00CA55ED">
            <w:pPr>
              <w:pStyle w:val="TableParagraph"/>
              <w:ind w:left="151" w:right="179"/>
              <w:jc w:val="center"/>
              <w:rPr>
                <w:sz w:val="20"/>
              </w:rPr>
            </w:pPr>
            <w:r>
              <w:rPr>
                <w:spacing w:val="-5"/>
                <w:sz w:val="20"/>
              </w:rPr>
              <w:t>4.2</w:t>
            </w:r>
          </w:p>
        </w:tc>
        <w:tc>
          <w:tcPr>
            <w:tcW w:w="488" w:type="dxa"/>
            <w:tcBorders>
              <w:top w:val="single" w:sz="4" w:space="0" w:color="94B3D6"/>
              <w:left w:val="nil"/>
              <w:bottom w:val="single" w:sz="4" w:space="0" w:color="94B3D6"/>
              <w:right w:val="nil"/>
            </w:tcBorders>
            <w:shd w:val="clear" w:color="auto" w:fill="DBE4F0"/>
          </w:tcPr>
          <w:p w14:paraId="4BA00532" w14:textId="77777777" w:rsidR="00251C8D" w:rsidRDefault="00CA55ED">
            <w:pPr>
              <w:pStyle w:val="TableParagraph"/>
              <w:ind w:left="0" w:right="110"/>
              <w:jc w:val="center"/>
              <w:rPr>
                <w:sz w:val="20"/>
              </w:rPr>
            </w:pPr>
            <w:r>
              <w:rPr>
                <w:spacing w:val="-10"/>
                <w:sz w:val="20"/>
              </w:rPr>
              <w:t>0</w:t>
            </w:r>
          </w:p>
        </w:tc>
        <w:tc>
          <w:tcPr>
            <w:tcW w:w="768" w:type="dxa"/>
            <w:tcBorders>
              <w:top w:val="single" w:sz="4" w:space="0" w:color="94B3D6"/>
              <w:left w:val="nil"/>
              <w:bottom w:val="single" w:sz="4" w:space="0" w:color="94B3D6"/>
              <w:right w:val="single" w:sz="4" w:space="0" w:color="94B3D6"/>
            </w:tcBorders>
            <w:shd w:val="clear" w:color="auto" w:fill="DBE4F0"/>
          </w:tcPr>
          <w:p w14:paraId="54F4240F" w14:textId="77777777" w:rsidR="00251C8D" w:rsidRDefault="00CA55ED">
            <w:pPr>
              <w:pStyle w:val="TableParagraph"/>
              <w:ind w:left="216"/>
              <w:rPr>
                <w:sz w:val="20"/>
              </w:rPr>
            </w:pPr>
            <w:r>
              <w:rPr>
                <w:spacing w:val="-10"/>
                <w:sz w:val="20"/>
              </w:rPr>
              <w:t>0</w:t>
            </w:r>
          </w:p>
        </w:tc>
      </w:tr>
      <w:tr w:rsidR="00251C8D" w14:paraId="00ACE4F9" w14:textId="77777777">
        <w:trPr>
          <w:trHeight w:val="460"/>
        </w:trPr>
        <w:tc>
          <w:tcPr>
            <w:tcW w:w="2093" w:type="dxa"/>
            <w:tcBorders>
              <w:top w:val="single" w:sz="4" w:space="0" w:color="94B3D6"/>
              <w:left w:val="single" w:sz="4" w:space="0" w:color="94B3D6"/>
              <w:bottom w:val="single" w:sz="4" w:space="0" w:color="94B3D6"/>
              <w:right w:val="nil"/>
            </w:tcBorders>
          </w:tcPr>
          <w:p w14:paraId="7A662EDF" w14:textId="77777777" w:rsidR="00251C8D" w:rsidRDefault="00CA55ED">
            <w:pPr>
              <w:pStyle w:val="TableParagraph"/>
              <w:spacing w:line="230" w:lineRule="exact"/>
              <w:ind w:right="924"/>
              <w:rPr>
                <w:b/>
                <w:sz w:val="20"/>
              </w:rPr>
            </w:pPr>
            <w:r>
              <w:rPr>
                <w:b/>
                <w:sz w:val="20"/>
              </w:rPr>
              <w:t>Surgical</w:t>
            </w:r>
            <w:r>
              <w:rPr>
                <w:b/>
                <w:spacing w:val="-13"/>
                <w:sz w:val="20"/>
              </w:rPr>
              <w:t xml:space="preserve"> </w:t>
            </w:r>
            <w:r>
              <w:rPr>
                <w:b/>
                <w:sz w:val="20"/>
              </w:rPr>
              <w:t xml:space="preserve">site </w:t>
            </w:r>
            <w:r>
              <w:rPr>
                <w:b/>
                <w:spacing w:val="-2"/>
                <w:sz w:val="20"/>
              </w:rPr>
              <w:t>infections</w:t>
            </w:r>
          </w:p>
        </w:tc>
        <w:tc>
          <w:tcPr>
            <w:tcW w:w="535" w:type="dxa"/>
            <w:tcBorders>
              <w:top w:val="single" w:sz="4" w:space="0" w:color="94B3D6"/>
              <w:left w:val="nil"/>
              <w:bottom w:val="single" w:sz="4" w:space="0" w:color="94B3D6"/>
              <w:right w:val="nil"/>
            </w:tcBorders>
          </w:tcPr>
          <w:p w14:paraId="3D21233D" w14:textId="77777777" w:rsidR="00251C8D" w:rsidRDefault="00CA55ED">
            <w:pPr>
              <w:pStyle w:val="TableParagraph"/>
              <w:spacing w:before="108" w:line="240" w:lineRule="auto"/>
              <w:ind w:left="112"/>
              <w:rPr>
                <w:sz w:val="20"/>
              </w:rPr>
            </w:pPr>
            <w:r>
              <w:rPr>
                <w:spacing w:val="-10"/>
                <w:sz w:val="20"/>
              </w:rPr>
              <w:t>0</w:t>
            </w:r>
          </w:p>
        </w:tc>
        <w:tc>
          <w:tcPr>
            <w:tcW w:w="859" w:type="dxa"/>
            <w:tcBorders>
              <w:top w:val="single" w:sz="4" w:space="0" w:color="94B3D6"/>
              <w:left w:val="nil"/>
              <w:bottom w:val="single" w:sz="4" w:space="0" w:color="94B3D6"/>
              <w:right w:val="nil"/>
            </w:tcBorders>
          </w:tcPr>
          <w:p w14:paraId="3B51A950" w14:textId="77777777" w:rsidR="00251C8D" w:rsidRDefault="00CA55ED">
            <w:pPr>
              <w:pStyle w:val="TableParagraph"/>
              <w:spacing w:before="108" w:line="240" w:lineRule="auto"/>
              <w:ind w:left="0" w:right="179"/>
              <w:jc w:val="center"/>
              <w:rPr>
                <w:sz w:val="20"/>
              </w:rPr>
            </w:pPr>
            <w:r>
              <w:rPr>
                <w:spacing w:val="-10"/>
                <w:sz w:val="20"/>
              </w:rPr>
              <w:t>0</w:t>
            </w:r>
          </w:p>
        </w:tc>
        <w:tc>
          <w:tcPr>
            <w:tcW w:w="488" w:type="dxa"/>
            <w:tcBorders>
              <w:top w:val="single" w:sz="4" w:space="0" w:color="94B3D6"/>
              <w:left w:val="nil"/>
              <w:bottom w:val="single" w:sz="4" w:space="0" w:color="94B3D6"/>
              <w:right w:val="nil"/>
            </w:tcBorders>
          </w:tcPr>
          <w:p w14:paraId="46D926D9" w14:textId="77777777" w:rsidR="00251C8D" w:rsidRDefault="00CA55ED">
            <w:pPr>
              <w:pStyle w:val="TableParagraph"/>
              <w:spacing w:before="108" w:line="240" w:lineRule="auto"/>
              <w:ind w:left="0" w:right="110"/>
              <w:jc w:val="center"/>
              <w:rPr>
                <w:sz w:val="20"/>
              </w:rPr>
            </w:pPr>
            <w:r>
              <w:rPr>
                <w:spacing w:val="-10"/>
                <w:sz w:val="20"/>
              </w:rPr>
              <w:t>3</w:t>
            </w:r>
          </w:p>
        </w:tc>
        <w:tc>
          <w:tcPr>
            <w:tcW w:w="768" w:type="dxa"/>
            <w:tcBorders>
              <w:top w:val="single" w:sz="4" w:space="0" w:color="94B3D6"/>
              <w:left w:val="nil"/>
              <w:bottom w:val="single" w:sz="4" w:space="0" w:color="94B3D6"/>
              <w:right w:val="single" w:sz="4" w:space="0" w:color="94B3D6"/>
            </w:tcBorders>
          </w:tcPr>
          <w:p w14:paraId="13B422EF" w14:textId="77777777" w:rsidR="00251C8D" w:rsidRDefault="00CA55ED">
            <w:pPr>
              <w:pStyle w:val="TableParagraph"/>
              <w:spacing w:before="108" w:line="240" w:lineRule="auto"/>
              <w:ind w:left="216"/>
              <w:rPr>
                <w:sz w:val="20"/>
              </w:rPr>
            </w:pPr>
            <w:r>
              <w:rPr>
                <w:spacing w:val="-4"/>
                <w:sz w:val="20"/>
              </w:rPr>
              <w:t>6.81</w:t>
            </w:r>
          </w:p>
        </w:tc>
      </w:tr>
      <w:tr w:rsidR="00251C8D" w14:paraId="2DF0DC94" w14:textId="77777777">
        <w:trPr>
          <w:trHeight w:val="688"/>
        </w:trPr>
        <w:tc>
          <w:tcPr>
            <w:tcW w:w="2093" w:type="dxa"/>
            <w:tcBorders>
              <w:top w:val="single" w:sz="4" w:space="0" w:color="94B3D6"/>
              <w:left w:val="single" w:sz="4" w:space="0" w:color="94B3D6"/>
              <w:bottom w:val="single" w:sz="4" w:space="0" w:color="94B3D6"/>
              <w:right w:val="nil"/>
            </w:tcBorders>
            <w:shd w:val="clear" w:color="auto" w:fill="DBE4F0"/>
          </w:tcPr>
          <w:p w14:paraId="03D8D623" w14:textId="77777777" w:rsidR="00251C8D" w:rsidRDefault="00CA55ED">
            <w:pPr>
              <w:pStyle w:val="TableParagraph"/>
              <w:spacing w:line="228" w:lineRule="exact"/>
              <w:rPr>
                <w:b/>
                <w:sz w:val="20"/>
              </w:rPr>
            </w:pPr>
            <w:r>
              <w:rPr>
                <w:b/>
                <w:spacing w:val="-2"/>
                <w:sz w:val="20"/>
              </w:rPr>
              <w:t>Abdominal</w:t>
            </w:r>
          </w:p>
          <w:p w14:paraId="309BC09A" w14:textId="77777777" w:rsidR="00251C8D" w:rsidRDefault="00CA55ED">
            <w:pPr>
              <w:pStyle w:val="TableParagraph"/>
              <w:spacing w:line="230" w:lineRule="atLeast"/>
              <w:ind w:right="473"/>
              <w:rPr>
                <w:b/>
                <w:sz w:val="20"/>
              </w:rPr>
            </w:pPr>
            <w:r>
              <w:rPr>
                <w:b/>
                <w:sz w:val="20"/>
              </w:rPr>
              <w:t>distension,</w:t>
            </w:r>
            <w:r>
              <w:rPr>
                <w:b/>
                <w:spacing w:val="-13"/>
                <w:sz w:val="20"/>
              </w:rPr>
              <w:t xml:space="preserve"> </w:t>
            </w:r>
            <w:r>
              <w:rPr>
                <w:b/>
                <w:sz w:val="20"/>
              </w:rPr>
              <w:t xml:space="preserve">serous </w:t>
            </w:r>
            <w:r>
              <w:rPr>
                <w:b/>
                <w:spacing w:val="-2"/>
                <w:sz w:val="20"/>
              </w:rPr>
              <w:t>discharge</w:t>
            </w:r>
          </w:p>
        </w:tc>
        <w:tc>
          <w:tcPr>
            <w:tcW w:w="535" w:type="dxa"/>
            <w:tcBorders>
              <w:top w:val="single" w:sz="4" w:space="0" w:color="94B3D6"/>
              <w:left w:val="nil"/>
              <w:bottom w:val="single" w:sz="4" w:space="0" w:color="94B3D6"/>
              <w:right w:val="nil"/>
            </w:tcBorders>
            <w:shd w:val="clear" w:color="auto" w:fill="DBE4F0"/>
          </w:tcPr>
          <w:p w14:paraId="6238A8A5" w14:textId="77777777" w:rsidR="00251C8D" w:rsidRDefault="00CA55ED">
            <w:pPr>
              <w:pStyle w:val="TableParagraph"/>
              <w:spacing w:before="224" w:line="240" w:lineRule="auto"/>
              <w:ind w:left="112"/>
              <w:rPr>
                <w:sz w:val="20"/>
              </w:rPr>
            </w:pPr>
            <w:r>
              <w:rPr>
                <w:spacing w:val="-10"/>
                <w:sz w:val="20"/>
              </w:rPr>
              <w:t>0</w:t>
            </w:r>
          </w:p>
        </w:tc>
        <w:tc>
          <w:tcPr>
            <w:tcW w:w="859" w:type="dxa"/>
            <w:tcBorders>
              <w:top w:val="single" w:sz="4" w:space="0" w:color="94B3D6"/>
              <w:left w:val="nil"/>
              <w:bottom w:val="single" w:sz="4" w:space="0" w:color="94B3D6"/>
              <w:right w:val="nil"/>
            </w:tcBorders>
            <w:shd w:val="clear" w:color="auto" w:fill="DBE4F0"/>
          </w:tcPr>
          <w:p w14:paraId="32AAB48C" w14:textId="77777777" w:rsidR="00251C8D" w:rsidRDefault="00CA55ED">
            <w:pPr>
              <w:pStyle w:val="TableParagraph"/>
              <w:spacing w:before="224" w:line="240" w:lineRule="auto"/>
              <w:ind w:left="0" w:right="179"/>
              <w:jc w:val="center"/>
              <w:rPr>
                <w:sz w:val="20"/>
              </w:rPr>
            </w:pPr>
            <w:r>
              <w:rPr>
                <w:spacing w:val="-10"/>
                <w:sz w:val="20"/>
              </w:rPr>
              <w:t>0</w:t>
            </w:r>
          </w:p>
        </w:tc>
        <w:tc>
          <w:tcPr>
            <w:tcW w:w="488" w:type="dxa"/>
            <w:tcBorders>
              <w:top w:val="single" w:sz="4" w:space="0" w:color="94B3D6"/>
              <w:left w:val="nil"/>
              <w:bottom w:val="single" w:sz="4" w:space="0" w:color="94B3D6"/>
              <w:right w:val="nil"/>
            </w:tcBorders>
            <w:shd w:val="clear" w:color="auto" w:fill="DBE4F0"/>
          </w:tcPr>
          <w:p w14:paraId="59DD1E8C" w14:textId="77777777" w:rsidR="00251C8D" w:rsidRDefault="00CA55ED">
            <w:pPr>
              <w:pStyle w:val="TableParagraph"/>
              <w:spacing w:before="224" w:line="240" w:lineRule="auto"/>
              <w:ind w:left="0" w:right="110"/>
              <w:jc w:val="center"/>
              <w:rPr>
                <w:sz w:val="20"/>
              </w:rPr>
            </w:pPr>
            <w:r>
              <w:rPr>
                <w:spacing w:val="-10"/>
                <w:sz w:val="20"/>
              </w:rPr>
              <w:t>1</w:t>
            </w:r>
          </w:p>
        </w:tc>
        <w:tc>
          <w:tcPr>
            <w:tcW w:w="768" w:type="dxa"/>
            <w:tcBorders>
              <w:top w:val="single" w:sz="4" w:space="0" w:color="94B3D6"/>
              <w:left w:val="nil"/>
              <w:bottom w:val="single" w:sz="4" w:space="0" w:color="94B3D6"/>
              <w:right w:val="single" w:sz="4" w:space="0" w:color="94B3D6"/>
            </w:tcBorders>
            <w:shd w:val="clear" w:color="auto" w:fill="DBE4F0"/>
          </w:tcPr>
          <w:p w14:paraId="12E9C9D6" w14:textId="77777777" w:rsidR="00251C8D" w:rsidRDefault="00CA55ED">
            <w:pPr>
              <w:pStyle w:val="TableParagraph"/>
              <w:spacing w:before="224" w:line="240" w:lineRule="auto"/>
              <w:ind w:left="216"/>
              <w:rPr>
                <w:sz w:val="20"/>
              </w:rPr>
            </w:pPr>
            <w:r>
              <w:rPr>
                <w:spacing w:val="-4"/>
                <w:sz w:val="20"/>
              </w:rPr>
              <w:t>2.27</w:t>
            </w:r>
          </w:p>
        </w:tc>
      </w:tr>
      <w:tr w:rsidR="00251C8D" w14:paraId="46982DA2" w14:textId="77777777">
        <w:trPr>
          <w:trHeight w:val="230"/>
        </w:trPr>
        <w:tc>
          <w:tcPr>
            <w:tcW w:w="2093" w:type="dxa"/>
            <w:tcBorders>
              <w:top w:val="single" w:sz="4" w:space="0" w:color="94B3D6"/>
              <w:left w:val="single" w:sz="4" w:space="0" w:color="94B3D6"/>
              <w:bottom w:val="single" w:sz="4" w:space="0" w:color="94B3D6"/>
              <w:right w:val="nil"/>
            </w:tcBorders>
          </w:tcPr>
          <w:p w14:paraId="0C4AD856" w14:textId="77777777" w:rsidR="00251C8D" w:rsidRDefault="00CA55ED">
            <w:pPr>
              <w:pStyle w:val="TableParagraph"/>
              <w:rPr>
                <w:b/>
                <w:sz w:val="20"/>
              </w:rPr>
            </w:pPr>
            <w:r>
              <w:rPr>
                <w:b/>
                <w:sz w:val="20"/>
              </w:rPr>
              <w:t>Acute</w:t>
            </w:r>
            <w:r>
              <w:rPr>
                <w:b/>
                <w:spacing w:val="-6"/>
                <w:sz w:val="20"/>
              </w:rPr>
              <w:t xml:space="preserve"> </w:t>
            </w:r>
            <w:r>
              <w:rPr>
                <w:b/>
                <w:sz w:val="20"/>
              </w:rPr>
              <w:t>kidney</w:t>
            </w:r>
            <w:r>
              <w:rPr>
                <w:b/>
                <w:spacing w:val="-5"/>
                <w:sz w:val="20"/>
              </w:rPr>
              <w:t xml:space="preserve"> </w:t>
            </w:r>
            <w:r>
              <w:rPr>
                <w:b/>
                <w:spacing w:val="-2"/>
                <w:sz w:val="20"/>
              </w:rPr>
              <w:t>injury</w:t>
            </w:r>
          </w:p>
        </w:tc>
        <w:tc>
          <w:tcPr>
            <w:tcW w:w="535" w:type="dxa"/>
            <w:tcBorders>
              <w:top w:val="single" w:sz="4" w:space="0" w:color="94B3D6"/>
              <w:left w:val="nil"/>
              <w:bottom w:val="single" w:sz="4" w:space="0" w:color="94B3D6"/>
              <w:right w:val="nil"/>
            </w:tcBorders>
          </w:tcPr>
          <w:p w14:paraId="2E5A020E" w14:textId="77777777" w:rsidR="00251C8D" w:rsidRDefault="00CA55ED">
            <w:pPr>
              <w:pStyle w:val="TableParagraph"/>
              <w:ind w:left="112"/>
              <w:rPr>
                <w:sz w:val="20"/>
              </w:rPr>
            </w:pPr>
            <w:r>
              <w:rPr>
                <w:spacing w:val="-10"/>
                <w:sz w:val="20"/>
              </w:rPr>
              <w:t>0</w:t>
            </w:r>
          </w:p>
        </w:tc>
        <w:tc>
          <w:tcPr>
            <w:tcW w:w="859" w:type="dxa"/>
            <w:tcBorders>
              <w:top w:val="single" w:sz="4" w:space="0" w:color="94B3D6"/>
              <w:left w:val="nil"/>
              <w:bottom w:val="single" w:sz="4" w:space="0" w:color="94B3D6"/>
              <w:right w:val="nil"/>
            </w:tcBorders>
          </w:tcPr>
          <w:p w14:paraId="4E0DB05F" w14:textId="77777777" w:rsidR="00251C8D" w:rsidRDefault="00CA55ED">
            <w:pPr>
              <w:pStyle w:val="TableParagraph"/>
              <w:ind w:left="0" w:right="179"/>
              <w:jc w:val="center"/>
              <w:rPr>
                <w:sz w:val="20"/>
              </w:rPr>
            </w:pPr>
            <w:r>
              <w:rPr>
                <w:spacing w:val="-10"/>
                <w:sz w:val="20"/>
              </w:rPr>
              <w:t>0</w:t>
            </w:r>
          </w:p>
        </w:tc>
        <w:tc>
          <w:tcPr>
            <w:tcW w:w="488" w:type="dxa"/>
            <w:tcBorders>
              <w:top w:val="single" w:sz="4" w:space="0" w:color="94B3D6"/>
              <w:left w:val="nil"/>
              <w:bottom w:val="single" w:sz="4" w:space="0" w:color="94B3D6"/>
              <w:right w:val="nil"/>
            </w:tcBorders>
          </w:tcPr>
          <w:p w14:paraId="7E340BD1" w14:textId="77777777" w:rsidR="00251C8D" w:rsidRDefault="00CA55ED">
            <w:pPr>
              <w:pStyle w:val="TableParagraph"/>
              <w:ind w:left="0" w:right="110"/>
              <w:jc w:val="center"/>
              <w:rPr>
                <w:sz w:val="20"/>
              </w:rPr>
            </w:pPr>
            <w:r>
              <w:rPr>
                <w:spacing w:val="-10"/>
                <w:sz w:val="20"/>
              </w:rPr>
              <w:t>1</w:t>
            </w:r>
          </w:p>
        </w:tc>
        <w:tc>
          <w:tcPr>
            <w:tcW w:w="768" w:type="dxa"/>
            <w:tcBorders>
              <w:top w:val="single" w:sz="4" w:space="0" w:color="94B3D6"/>
              <w:left w:val="nil"/>
              <w:bottom w:val="single" w:sz="4" w:space="0" w:color="94B3D6"/>
              <w:right w:val="single" w:sz="4" w:space="0" w:color="94B3D6"/>
            </w:tcBorders>
          </w:tcPr>
          <w:p w14:paraId="2DB652EE" w14:textId="77777777" w:rsidR="00251C8D" w:rsidRDefault="00CA55ED">
            <w:pPr>
              <w:pStyle w:val="TableParagraph"/>
              <w:ind w:left="216"/>
              <w:rPr>
                <w:sz w:val="20"/>
              </w:rPr>
            </w:pPr>
            <w:r>
              <w:rPr>
                <w:spacing w:val="-4"/>
                <w:sz w:val="20"/>
              </w:rPr>
              <w:t>2.27</w:t>
            </w:r>
          </w:p>
        </w:tc>
      </w:tr>
      <w:tr w:rsidR="00251C8D" w14:paraId="3AFAFA6C" w14:textId="77777777">
        <w:trPr>
          <w:trHeight w:val="232"/>
        </w:trPr>
        <w:tc>
          <w:tcPr>
            <w:tcW w:w="2093" w:type="dxa"/>
            <w:tcBorders>
              <w:top w:val="single" w:sz="4" w:space="0" w:color="94B3D6"/>
              <w:left w:val="single" w:sz="4" w:space="0" w:color="94B3D6"/>
              <w:bottom w:val="single" w:sz="4" w:space="0" w:color="94B3D6"/>
              <w:right w:val="nil"/>
            </w:tcBorders>
            <w:shd w:val="clear" w:color="auto" w:fill="DBE4F0"/>
          </w:tcPr>
          <w:p w14:paraId="571B6A08" w14:textId="77777777" w:rsidR="00251C8D" w:rsidRDefault="00CA55ED">
            <w:pPr>
              <w:pStyle w:val="TableParagraph"/>
              <w:spacing w:line="212" w:lineRule="exact"/>
              <w:rPr>
                <w:b/>
                <w:sz w:val="20"/>
              </w:rPr>
            </w:pPr>
            <w:r>
              <w:rPr>
                <w:b/>
                <w:spacing w:val="-2"/>
                <w:sz w:val="20"/>
              </w:rPr>
              <w:t>Total</w:t>
            </w:r>
          </w:p>
        </w:tc>
        <w:tc>
          <w:tcPr>
            <w:tcW w:w="535" w:type="dxa"/>
            <w:tcBorders>
              <w:top w:val="single" w:sz="4" w:space="0" w:color="94B3D6"/>
              <w:left w:val="nil"/>
              <w:bottom w:val="single" w:sz="4" w:space="0" w:color="94B3D6"/>
              <w:right w:val="nil"/>
            </w:tcBorders>
            <w:shd w:val="clear" w:color="auto" w:fill="DBE4F0"/>
          </w:tcPr>
          <w:p w14:paraId="51BF8800" w14:textId="77777777" w:rsidR="00251C8D" w:rsidRDefault="00CA55ED">
            <w:pPr>
              <w:pStyle w:val="TableParagraph"/>
              <w:spacing w:line="212" w:lineRule="exact"/>
              <w:ind w:left="112"/>
              <w:rPr>
                <w:sz w:val="20"/>
              </w:rPr>
            </w:pPr>
            <w:r>
              <w:rPr>
                <w:spacing w:val="-10"/>
                <w:sz w:val="20"/>
              </w:rPr>
              <w:t>1</w:t>
            </w:r>
          </w:p>
        </w:tc>
        <w:tc>
          <w:tcPr>
            <w:tcW w:w="859" w:type="dxa"/>
            <w:tcBorders>
              <w:top w:val="single" w:sz="4" w:space="0" w:color="94B3D6"/>
              <w:left w:val="nil"/>
              <w:bottom w:val="single" w:sz="4" w:space="0" w:color="94B3D6"/>
              <w:right w:val="nil"/>
            </w:tcBorders>
            <w:shd w:val="clear" w:color="auto" w:fill="DBE4F0"/>
          </w:tcPr>
          <w:p w14:paraId="3BD152B3" w14:textId="77777777" w:rsidR="00251C8D" w:rsidRDefault="00CA55ED">
            <w:pPr>
              <w:pStyle w:val="TableParagraph"/>
              <w:spacing w:line="212" w:lineRule="exact"/>
              <w:ind w:left="151" w:right="179"/>
              <w:jc w:val="center"/>
              <w:rPr>
                <w:sz w:val="20"/>
              </w:rPr>
            </w:pPr>
            <w:r>
              <w:rPr>
                <w:spacing w:val="-5"/>
                <w:sz w:val="20"/>
              </w:rPr>
              <w:t>4.2</w:t>
            </w:r>
          </w:p>
        </w:tc>
        <w:tc>
          <w:tcPr>
            <w:tcW w:w="488" w:type="dxa"/>
            <w:tcBorders>
              <w:top w:val="single" w:sz="4" w:space="0" w:color="94B3D6"/>
              <w:left w:val="nil"/>
              <w:bottom w:val="single" w:sz="4" w:space="0" w:color="94B3D6"/>
              <w:right w:val="nil"/>
            </w:tcBorders>
            <w:shd w:val="clear" w:color="auto" w:fill="DBE4F0"/>
          </w:tcPr>
          <w:p w14:paraId="685E69AD" w14:textId="77777777" w:rsidR="00251C8D" w:rsidRDefault="00CA55ED">
            <w:pPr>
              <w:pStyle w:val="TableParagraph"/>
              <w:spacing w:line="212" w:lineRule="exact"/>
              <w:ind w:left="0" w:right="110"/>
              <w:jc w:val="center"/>
              <w:rPr>
                <w:sz w:val="20"/>
              </w:rPr>
            </w:pPr>
            <w:r>
              <w:rPr>
                <w:spacing w:val="-10"/>
                <w:sz w:val="20"/>
              </w:rPr>
              <w:t>5</w:t>
            </w:r>
          </w:p>
        </w:tc>
        <w:tc>
          <w:tcPr>
            <w:tcW w:w="768" w:type="dxa"/>
            <w:tcBorders>
              <w:top w:val="single" w:sz="4" w:space="0" w:color="94B3D6"/>
              <w:left w:val="nil"/>
              <w:bottom w:val="single" w:sz="4" w:space="0" w:color="94B3D6"/>
              <w:right w:val="single" w:sz="4" w:space="0" w:color="94B3D6"/>
            </w:tcBorders>
            <w:shd w:val="clear" w:color="auto" w:fill="DBE4F0"/>
          </w:tcPr>
          <w:p w14:paraId="09090B16" w14:textId="77777777" w:rsidR="00251C8D" w:rsidRDefault="00CA55ED">
            <w:pPr>
              <w:pStyle w:val="TableParagraph"/>
              <w:spacing w:line="212" w:lineRule="exact"/>
              <w:ind w:left="216"/>
              <w:rPr>
                <w:sz w:val="20"/>
              </w:rPr>
            </w:pPr>
            <w:r>
              <w:rPr>
                <w:spacing w:val="-2"/>
                <w:sz w:val="20"/>
              </w:rPr>
              <w:t>11.35</w:t>
            </w:r>
          </w:p>
        </w:tc>
      </w:tr>
    </w:tbl>
    <w:p w14:paraId="4965DA40" w14:textId="77777777" w:rsidR="00251C8D" w:rsidRDefault="00251C8D">
      <w:pPr>
        <w:pStyle w:val="BodyText"/>
        <w:spacing w:before="5"/>
        <w:rPr>
          <w:b/>
        </w:rPr>
      </w:pPr>
    </w:p>
    <w:p w14:paraId="63729AFF" w14:textId="77777777" w:rsidR="00251C8D" w:rsidRDefault="00CA55ED">
      <w:pPr>
        <w:pStyle w:val="BodyText"/>
        <w:ind w:left="277" w:right="27"/>
        <w:jc w:val="both"/>
      </w:pPr>
      <w:r>
        <w:t>Of the total cases, it was observed that 6 cases had post- operative complications. Of the cases who underwent open surgery, there were 3 cases who developed surgical site infections followed by other complications like acute kidney</w:t>
      </w:r>
      <w:r>
        <w:rPr>
          <w:spacing w:val="-1"/>
        </w:rPr>
        <w:t xml:space="preserve"> </w:t>
      </w:r>
      <w:r>
        <w:t>injury</w:t>
      </w:r>
      <w:r>
        <w:rPr>
          <w:spacing w:val="-1"/>
        </w:rPr>
        <w:t xml:space="preserve"> </w:t>
      </w:r>
      <w:r>
        <w:t>(AKI) and abdominal distension and serous discharge whereas there was only one patient with complication who underwent laparoscopic surgery.</w:t>
      </w:r>
    </w:p>
    <w:p w14:paraId="3EB108FF" w14:textId="77777777" w:rsidR="00251C8D" w:rsidRDefault="00251C8D">
      <w:pPr>
        <w:pStyle w:val="BodyText"/>
        <w:jc w:val="both"/>
        <w:sectPr w:rsidR="00251C8D">
          <w:type w:val="continuous"/>
          <w:pgSz w:w="11910" w:h="16840"/>
          <w:pgMar w:top="560" w:right="992" w:bottom="900" w:left="850" w:header="710" w:footer="712" w:gutter="0"/>
          <w:cols w:num="2" w:space="720" w:equalWidth="0">
            <w:col w:w="4911" w:space="198"/>
            <w:col w:w="4959"/>
          </w:cols>
        </w:sectPr>
      </w:pPr>
    </w:p>
    <w:p w14:paraId="28B2E8BE" w14:textId="77777777" w:rsidR="00251C8D" w:rsidRDefault="00251C8D">
      <w:pPr>
        <w:pStyle w:val="BodyText"/>
        <w:spacing w:before="202"/>
      </w:pPr>
    </w:p>
    <w:p w14:paraId="72978D26" w14:textId="77777777" w:rsidR="00251C8D" w:rsidRDefault="00251C8D">
      <w:pPr>
        <w:pStyle w:val="BodyText"/>
        <w:sectPr w:rsidR="00251C8D">
          <w:pgSz w:w="11910" w:h="16840"/>
          <w:pgMar w:top="900" w:right="992" w:bottom="900" w:left="850" w:header="710" w:footer="712" w:gutter="0"/>
          <w:cols w:space="720"/>
        </w:sectPr>
      </w:pPr>
    </w:p>
    <w:p w14:paraId="3B0ED9A0" w14:textId="77777777" w:rsidR="00251C8D" w:rsidRDefault="00CA55ED">
      <w:pPr>
        <w:pStyle w:val="Heading1"/>
        <w:spacing w:before="96"/>
      </w:pPr>
      <w:r>
        <w:rPr>
          <w:color w:val="003195"/>
          <w:spacing w:val="-2"/>
        </w:rPr>
        <w:t>DISCUSSION</w:t>
      </w:r>
    </w:p>
    <w:p w14:paraId="43BF9B7A" w14:textId="77777777" w:rsidR="00251C8D" w:rsidRDefault="00251C8D">
      <w:pPr>
        <w:pStyle w:val="BodyText"/>
        <w:spacing w:before="6"/>
        <w:rPr>
          <w:b/>
        </w:rPr>
      </w:pPr>
    </w:p>
    <w:p w14:paraId="28BC74AF" w14:textId="77777777" w:rsidR="00251C8D" w:rsidRDefault="00CA55ED">
      <w:pPr>
        <w:pStyle w:val="BodyText"/>
        <w:ind w:left="170" w:right="41"/>
        <w:jc w:val="both"/>
      </w:pPr>
      <w:r>
        <w:t>In United Kingdom, approximately 25,000 ventral</w:t>
      </w:r>
      <w:r>
        <w:rPr>
          <w:spacing w:val="40"/>
        </w:rPr>
        <w:t xml:space="preserve"> </w:t>
      </w:r>
      <w:r>
        <w:t>hernias are operated per year.</w:t>
      </w:r>
      <w:r>
        <w:rPr>
          <w:vertAlign w:val="superscript"/>
        </w:rPr>
        <w:t>4</w:t>
      </w:r>
      <w:r>
        <w:t xml:space="preserve"> Only few of them are symptomatic, but all the patients in common are advised to undergo surgery because of the risks involved in not operating.</w:t>
      </w:r>
      <w:r>
        <w:rPr>
          <w:spacing w:val="-3"/>
        </w:rPr>
        <w:t xml:space="preserve"> </w:t>
      </w:r>
      <w:r>
        <w:t>There</w:t>
      </w:r>
      <w:r>
        <w:rPr>
          <w:spacing w:val="-3"/>
        </w:rPr>
        <w:t xml:space="preserve"> </w:t>
      </w:r>
      <w:r>
        <w:t>are</w:t>
      </w:r>
      <w:r>
        <w:rPr>
          <w:spacing w:val="-1"/>
        </w:rPr>
        <w:t xml:space="preserve"> </w:t>
      </w:r>
      <w:r>
        <w:t>many</w:t>
      </w:r>
      <w:r>
        <w:rPr>
          <w:spacing w:val="-4"/>
        </w:rPr>
        <w:t xml:space="preserve"> </w:t>
      </w:r>
      <w:r>
        <w:t>approaches</w:t>
      </w:r>
      <w:r>
        <w:rPr>
          <w:spacing w:val="-3"/>
        </w:rPr>
        <w:t xml:space="preserve"> </w:t>
      </w:r>
      <w:r>
        <w:t>to</w:t>
      </w:r>
      <w:r>
        <w:rPr>
          <w:spacing w:val="-1"/>
        </w:rPr>
        <w:t xml:space="preserve"> </w:t>
      </w:r>
      <w:r>
        <w:t>undergo</w:t>
      </w:r>
      <w:r>
        <w:rPr>
          <w:spacing w:val="-1"/>
        </w:rPr>
        <w:t xml:space="preserve"> </w:t>
      </w:r>
      <w:r>
        <w:t xml:space="preserve">surgery for ventral hernia, which started from primary repair followed by mesh prosthesis implantation. </w:t>
      </w:r>
      <w:commentRangeStart w:id="1"/>
      <w:r>
        <w:t>Later on, laparoscopic repair came, which has now become a gold standard technique and is being preferred, but it is still under scrutiny.</w:t>
      </w:r>
      <w:r>
        <w:rPr>
          <w:vertAlign w:val="superscript"/>
        </w:rPr>
        <w:t>5</w:t>
      </w:r>
      <w:commentRangeEnd w:id="1"/>
      <w:r w:rsidR="00367516">
        <w:rPr>
          <w:rStyle w:val="CommentReference"/>
        </w:rPr>
        <w:commentReference w:id="1"/>
      </w:r>
    </w:p>
    <w:p w14:paraId="60D51D7D" w14:textId="77777777" w:rsidR="00251C8D" w:rsidRDefault="00251C8D">
      <w:pPr>
        <w:pStyle w:val="BodyText"/>
        <w:spacing w:before="9"/>
      </w:pPr>
    </w:p>
    <w:p w14:paraId="6AD91BED" w14:textId="77777777" w:rsidR="00251C8D" w:rsidRDefault="00CA55ED">
      <w:pPr>
        <w:pStyle w:val="BodyText"/>
        <w:ind w:left="170" w:right="41"/>
        <w:jc w:val="both"/>
      </w:pPr>
      <w:r>
        <w:t>The present study</w:t>
      </w:r>
      <w:r>
        <w:rPr>
          <w:spacing w:val="-1"/>
        </w:rPr>
        <w:t xml:space="preserve"> </w:t>
      </w:r>
      <w:r>
        <w:t>recruited a total of 71 cases, consisting of 50.7% female cases and 49.3% male cases. Of these total cases, 44 cases underwent open surgery while 27 cases underwent laparoscopic surgery. According to the age wise distribution of the cases, it was reported that more than 50% of the cases in our study were observed between the age group 26-50 years. The youngest patient in</w:t>
      </w:r>
      <w:r>
        <w:rPr>
          <w:spacing w:val="-3"/>
        </w:rPr>
        <w:t xml:space="preserve"> </w:t>
      </w:r>
      <w:r>
        <w:t>our study was</w:t>
      </w:r>
      <w:r>
        <w:rPr>
          <w:spacing w:val="-1"/>
        </w:rPr>
        <w:t xml:space="preserve"> </w:t>
      </w:r>
      <w:r>
        <w:t>18</w:t>
      </w:r>
      <w:r>
        <w:rPr>
          <w:spacing w:val="1"/>
        </w:rPr>
        <w:t xml:space="preserve"> </w:t>
      </w:r>
      <w:r>
        <w:t>years</w:t>
      </w:r>
      <w:r>
        <w:rPr>
          <w:spacing w:val="-1"/>
        </w:rPr>
        <w:t xml:space="preserve"> </w:t>
      </w:r>
      <w:r>
        <w:t>old</w:t>
      </w:r>
      <w:r>
        <w:rPr>
          <w:spacing w:val="2"/>
        </w:rPr>
        <w:t xml:space="preserve"> </w:t>
      </w:r>
      <w:r>
        <w:t>while the</w:t>
      </w:r>
      <w:r>
        <w:rPr>
          <w:spacing w:val="2"/>
        </w:rPr>
        <w:t xml:space="preserve"> </w:t>
      </w:r>
      <w:r>
        <w:t>eldest patient</w:t>
      </w:r>
      <w:r>
        <w:rPr>
          <w:spacing w:val="1"/>
        </w:rPr>
        <w:t xml:space="preserve"> </w:t>
      </w:r>
      <w:r>
        <w:rPr>
          <w:spacing w:val="-5"/>
        </w:rPr>
        <w:t>was</w:t>
      </w:r>
    </w:p>
    <w:p w14:paraId="261132EF" w14:textId="77777777" w:rsidR="00251C8D" w:rsidRDefault="00CA55ED">
      <w:pPr>
        <w:pStyle w:val="BodyText"/>
        <w:spacing w:before="2"/>
        <w:ind w:left="170" w:right="38"/>
        <w:jc w:val="both"/>
      </w:pPr>
      <w:r>
        <w:t>70 years old. Similar to our study, Patil recorded the majority of the cases between the age group 30-50 years, accounting for more than 50% of total cases.</w:t>
      </w:r>
      <w:r>
        <w:rPr>
          <w:vertAlign w:val="superscript"/>
        </w:rPr>
        <w:t>6</w:t>
      </w:r>
      <w:r>
        <w:t xml:space="preserve"> Youngest patient in his study was 20 years old and eldest patient</w:t>
      </w:r>
      <w:r>
        <w:rPr>
          <w:spacing w:val="40"/>
        </w:rPr>
        <w:t xml:space="preserve"> </w:t>
      </w:r>
      <w:r>
        <w:t>70-year-old. Another study</w:t>
      </w:r>
      <w:r>
        <w:rPr>
          <w:spacing w:val="-2"/>
        </w:rPr>
        <w:t xml:space="preserve"> </w:t>
      </w:r>
      <w:r>
        <w:t>conducted by</w:t>
      </w:r>
      <w:r>
        <w:rPr>
          <w:spacing w:val="-2"/>
        </w:rPr>
        <w:t xml:space="preserve"> </w:t>
      </w:r>
      <w:r>
        <w:t>CA Courtney</w:t>
      </w:r>
      <w:r>
        <w:rPr>
          <w:spacing w:val="-3"/>
        </w:rPr>
        <w:t xml:space="preserve"> </w:t>
      </w:r>
      <w:r>
        <w:t>et al 120 individuals had surgery for ventral hernia.</w:t>
      </w:r>
      <w:r>
        <w:rPr>
          <w:vertAlign w:val="superscript"/>
        </w:rPr>
        <w:t>7</w:t>
      </w:r>
      <w:r>
        <w:t xml:space="preserve"> Average age of</w:t>
      </w:r>
      <w:r>
        <w:rPr>
          <w:spacing w:val="-2"/>
        </w:rPr>
        <w:t xml:space="preserve"> </w:t>
      </w:r>
      <w:r>
        <w:t>individuals was</w:t>
      </w:r>
      <w:r>
        <w:rPr>
          <w:spacing w:val="-1"/>
        </w:rPr>
        <w:t xml:space="preserve"> </w:t>
      </w:r>
      <w:r>
        <w:t>54.6 years, (ranging</w:t>
      </w:r>
      <w:r>
        <w:rPr>
          <w:spacing w:val="-2"/>
        </w:rPr>
        <w:t xml:space="preserve"> </w:t>
      </w:r>
      <w:r>
        <w:t>from 23-87) out of which 55% male while 45% were female.</w:t>
      </w:r>
    </w:p>
    <w:p w14:paraId="7CDBBA96" w14:textId="77777777" w:rsidR="00251C8D" w:rsidRDefault="00251C8D">
      <w:pPr>
        <w:pStyle w:val="BodyText"/>
        <w:spacing w:before="10"/>
      </w:pPr>
    </w:p>
    <w:p w14:paraId="1491FC70" w14:textId="77777777" w:rsidR="00251C8D" w:rsidRDefault="00CA55ED">
      <w:pPr>
        <w:pStyle w:val="BodyText"/>
        <w:spacing w:before="1"/>
        <w:ind w:left="170" w:right="38"/>
        <w:jc w:val="both"/>
      </w:pPr>
      <w:r>
        <w:t xml:space="preserve">Umbilical hernia was the most common presentation in the patients recruited in our study followed by incisional hernia, paraumbilical hernia while 3 cases in our study had epigastric hernia. In contrast to our findings, Patil in his study reported that paraumbilical hernia was the most common presentation in the patients, others being incisional hernia, epigastric hernia, umbilical hernia. On the other hand, in a study carried out by </w:t>
      </w:r>
      <w:commentRangeStart w:id="2"/>
      <w:r>
        <w:t xml:space="preserve">CA Courtney </w:t>
      </w:r>
      <w:commentRangeEnd w:id="2"/>
      <w:r w:rsidR="007D062B">
        <w:rPr>
          <w:rStyle w:val="CommentReference"/>
        </w:rPr>
        <w:commentReference w:id="2"/>
      </w:r>
      <w:r>
        <w:t>et al incisional hernia was the most common presentation among the recruited cases.</w:t>
      </w:r>
    </w:p>
    <w:p w14:paraId="3F8E168D" w14:textId="77777777" w:rsidR="00251C8D" w:rsidRDefault="00251C8D">
      <w:pPr>
        <w:pStyle w:val="BodyText"/>
        <w:spacing w:before="9"/>
      </w:pPr>
    </w:p>
    <w:p w14:paraId="4903EC19" w14:textId="77777777" w:rsidR="00251C8D" w:rsidRDefault="00CA55ED">
      <w:pPr>
        <w:pStyle w:val="BodyText"/>
        <w:ind w:left="170" w:right="38"/>
        <w:jc w:val="both"/>
      </w:pPr>
      <w:r>
        <w:t>Distribution of the study subjects in our study according to</w:t>
      </w:r>
      <w:r>
        <w:rPr>
          <w:spacing w:val="-3"/>
        </w:rPr>
        <w:t xml:space="preserve"> </w:t>
      </w:r>
      <w:r>
        <w:t>the</w:t>
      </w:r>
      <w:r>
        <w:rPr>
          <w:spacing w:val="-4"/>
        </w:rPr>
        <w:t xml:space="preserve"> </w:t>
      </w:r>
      <w:r>
        <w:t>presence</w:t>
      </w:r>
      <w:r>
        <w:rPr>
          <w:spacing w:val="-4"/>
        </w:rPr>
        <w:t xml:space="preserve"> </w:t>
      </w:r>
      <w:r>
        <w:t>of</w:t>
      </w:r>
      <w:r>
        <w:rPr>
          <w:spacing w:val="-6"/>
        </w:rPr>
        <w:t xml:space="preserve"> </w:t>
      </w:r>
      <w:r>
        <w:t>co</w:t>
      </w:r>
      <w:r>
        <w:rPr>
          <w:spacing w:val="-1"/>
        </w:rPr>
        <w:t xml:space="preserve"> </w:t>
      </w:r>
      <w:r>
        <w:t>morbidities</w:t>
      </w:r>
      <w:r>
        <w:rPr>
          <w:spacing w:val="-5"/>
        </w:rPr>
        <w:t xml:space="preserve"> </w:t>
      </w:r>
      <w:r>
        <w:t>revealed</w:t>
      </w:r>
      <w:r>
        <w:rPr>
          <w:spacing w:val="-3"/>
        </w:rPr>
        <w:t xml:space="preserve"> </w:t>
      </w:r>
      <w:r>
        <w:t>that majority</w:t>
      </w:r>
      <w:r>
        <w:rPr>
          <w:spacing w:val="-7"/>
        </w:rPr>
        <w:t xml:space="preserve"> </w:t>
      </w:r>
      <w:r>
        <w:t>of the cases had diabetes mellitus followed by (64.8%) hypertension. However, a randomized trial conducted by Kamal et al showed that most of the patients had diabetes.</w:t>
      </w:r>
      <w:r>
        <w:rPr>
          <w:vertAlign w:val="superscript"/>
        </w:rPr>
        <w:t>8</w:t>
      </w:r>
      <w:r>
        <w:t xml:space="preserve"> Also, some of the cases were recorded with co morbidities like chronic constipation and loss of body weight. Another study conducted by Tessier and his partners who studied 97 individuals who underwent</w:t>
      </w:r>
      <w:r>
        <w:rPr>
          <w:spacing w:val="40"/>
        </w:rPr>
        <w:t xml:space="preserve"> </w:t>
      </w:r>
      <w:r>
        <w:t>repair of ventral hernia by laparoscopy, in which 76% of the individuals were more than 60 years of age.</w:t>
      </w:r>
      <w:r>
        <w:rPr>
          <w:vertAlign w:val="superscript"/>
        </w:rPr>
        <w:t>9</w:t>
      </w:r>
      <w:r>
        <w:rPr>
          <w:spacing w:val="40"/>
        </w:rPr>
        <w:t xml:space="preserve"> </w:t>
      </w:r>
      <w:r>
        <w:t>Although the older patient’s group (greater than or equal to 60 years) had more co-morbidities, this group demonstrated</w:t>
      </w:r>
      <w:r>
        <w:rPr>
          <w:spacing w:val="-5"/>
        </w:rPr>
        <w:t xml:space="preserve"> </w:t>
      </w:r>
      <w:r>
        <w:t>comparable</w:t>
      </w:r>
      <w:r>
        <w:rPr>
          <w:spacing w:val="-6"/>
        </w:rPr>
        <w:t xml:space="preserve"> </w:t>
      </w:r>
      <w:r>
        <w:t>postoperative</w:t>
      </w:r>
      <w:r>
        <w:rPr>
          <w:spacing w:val="-6"/>
        </w:rPr>
        <w:t xml:space="preserve"> </w:t>
      </w:r>
      <w:r>
        <w:t>length</w:t>
      </w:r>
      <w:r>
        <w:rPr>
          <w:spacing w:val="-7"/>
        </w:rPr>
        <w:t xml:space="preserve"> </w:t>
      </w:r>
      <w:r>
        <w:t>of</w:t>
      </w:r>
      <w:r>
        <w:rPr>
          <w:spacing w:val="-5"/>
        </w:rPr>
        <w:t xml:space="preserve"> </w:t>
      </w:r>
      <w:r>
        <w:t>hospital stay and complication rates when compared with the younger group (younger than 60 years).</w:t>
      </w:r>
    </w:p>
    <w:p w14:paraId="368562DC" w14:textId="77777777" w:rsidR="00251C8D" w:rsidRDefault="00251C8D">
      <w:pPr>
        <w:pStyle w:val="BodyText"/>
        <w:spacing w:before="10"/>
      </w:pPr>
    </w:p>
    <w:p w14:paraId="362E5B5A" w14:textId="77777777" w:rsidR="00251C8D" w:rsidRDefault="00CA55ED">
      <w:pPr>
        <w:pStyle w:val="BodyText"/>
        <w:spacing w:before="1"/>
        <w:ind w:left="170" w:right="44"/>
        <w:jc w:val="both"/>
      </w:pPr>
      <w:r>
        <w:t>Our study reported that the mean VAS score among the patients</w:t>
      </w:r>
      <w:r>
        <w:rPr>
          <w:spacing w:val="21"/>
        </w:rPr>
        <w:t xml:space="preserve"> </w:t>
      </w:r>
      <w:r>
        <w:t>who</w:t>
      </w:r>
      <w:r>
        <w:rPr>
          <w:spacing w:val="20"/>
        </w:rPr>
        <w:t xml:space="preserve"> </w:t>
      </w:r>
      <w:r>
        <w:t>underwent</w:t>
      </w:r>
      <w:r>
        <w:rPr>
          <w:spacing w:val="21"/>
        </w:rPr>
        <w:t xml:space="preserve"> </w:t>
      </w:r>
      <w:r>
        <w:t>laparoscopic</w:t>
      </w:r>
      <w:r>
        <w:rPr>
          <w:spacing w:val="19"/>
        </w:rPr>
        <w:t xml:space="preserve"> </w:t>
      </w:r>
      <w:r>
        <w:t>surgery</w:t>
      </w:r>
      <w:r>
        <w:rPr>
          <w:spacing w:val="20"/>
        </w:rPr>
        <w:t xml:space="preserve"> </w:t>
      </w:r>
      <w:r>
        <w:t>was</w:t>
      </w:r>
      <w:r>
        <w:rPr>
          <w:spacing w:val="19"/>
        </w:rPr>
        <w:t xml:space="preserve"> </w:t>
      </w:r>
      <w:r>
        <w:rPr>
          <w:spacing w:val="-2"/>
        </w:rPr>
        <w:t>lesser</w:t>
      </w:r>
    </w:p>
    <w:p w14:paraId="2B7365D6" w14:textId="77777777" w:rsidR="00251C8D" w:rsidRDefault="00CA55ED">
      <w:pPr>
        <w:pStyle w:val="BodyText"/>
        <w:spacing w:before="91"/>
        <w:ind w:left="170" w:right="24"/>
        <w:jc w:val="both"/>
      </w:pPr>
      <w:r>
        <w:br w:type="column"/>
      </w:r>
      <w:r>
        <w:t>than</w:t>
      </w:r>
      <w:r>
        <w:rPr>
          <w:spacing w:val="-2"/>
        </w:rPr>
        <w:t xml:space="preserve"> </w:t>
      </w:r>
      <w:r>
        <w:t>the patients</w:t>
      </w:r>
      <w:r>
        <w:rPr>
          <w:spacing w:val="-1"/>
        </w:rPr>
        <w:t xml:space="preserve"> </w:t>
      </w:r>
      <w:r>
        <w:t>who underwent</w:t>
      </w:r>
      <w:r>
        <w:rPr>
          <w:spacing w:val="-3"/>
        </w:rPr>
        <w:t xml:space="preserve"> </w:t>
      </w:r>
      <w:r>
        <w:t>open</w:t>
      </w:r>
      <w:r>
        <w:rPr>
          <w:spacing w:val="-4"/>
        </w:rPr>
        <w:t xml:space="preserve"> </w:t>
      </w:r>
      <w:r>
        <w:t>surgery.</w:t>
      </w:r>
      <w:r>
        <w:rPr>
          <w:spacing w:val="-3"/>
        </w:rPr>
        <w:t xml:space="preserve"> </w:t>
      </w:r>
      <w:r>
        <w:t>Moreover, a significant difference was found between VAS and the procedure of surgery. Ilani et al also showed that pain measured using visual analogue score on 3</w:t>
      </w:r>
      <w:r>
        <w:rPr>
          <w:vertAlign w:val="superscript"/>
        </w:rPr>
        <w:t>rd</w:t>
      </w:r>
      <w:r>
        <w:t xml:space="preserve"> post- operative day showed decreased pain score in laparoscopic group (mean 2.23) compared to open group (mean 6.23).</w:t>
      </w:r>
      <w:r>
        <w:rPr>
          <w:vertAlign w:val="superscript"/>
        </w:rPr>
        <w:t>8</w:t>
      </w:r>
    </w:p>
    <w:p w14:paraId="051689EE" w14:textId="77777777" w:rsidR="00251C8D" w:rsidRDefault="00251C8D">
      <w:pPr>
        <w:pStyle w:val="BodyText"/>
        <w:spacing w:before="11"/>
      </w:pPr>
    </w:p>
    <w:p w14:paraId="4CB61201" w14:textId="77777777" w:rsidR="00251C8D" w:rsidRDefault="00CA55ED">
      <w:pPr>
        <w:pStyle w:val="BodyText"/>
        <w:ind w:left="170" w:right="27"/>
        <w:jc w:val="both"/>
      </w:pPr>
      <w:r>
        <w:t>The present findings also reported that the quality of life among the patients who underwent laparoscopic surgery was better as compared to open surgery. Variables like period of mobilization, days of returning to work was lower</w:t>
      </w:r>
      <w:r>
        <w:rPr>
          <w:spacing w:val="-2"/>
        </w:rPr>
        <w:t xml:space="preserve"> </w:t>
      </w:r>
      <w:r>
        <w:t>in</w:t>
      </w:r>
      <w:r>
        <w:rPr>
          <w:spacing w:val="-4"/>
        </w:rPr>
        <w:t xml:space="preserve"> </w:t>
      </w:r>
      <w:r>
        <w:t>the</w:t>
      </w:r>
      <w:r>
        <w:rPr>
          <w:spacing w:val="-3"/>
        </w:rPr>
        <w:t xml:space="preserve"> </w:t>
      </w:r>
      <w:r>
        <w:t>patients</w:t>
      </w:r>
      <w:r>
        <w:rPr>
          <w:spacing w:val="-1"/>
        </w:rPr>
        <w:t xml:space="preserve"> </w:t>
      </w:r>
      <w:r>
        <w:t>who</w:t>
      </w:r>
      <w:r>
        <w:rPr>
          <w:spacing w:val="-2"/>
        </w:rPr>
        <w:t xml:space="preserve"> </w:t>
      </w:r>
      <w:r>
        <w:t>underwent</w:t>
      </w:r>
      <w:r>
        <w:rPr>
          <w:spacing w:val="-3"/>
        </w:rPr>
        <w:t xml:space="preserve"> </w:t>
      </w:r>
      <w:r>
        <w:t>laparoscopic</w:t>
      </w:r>
      <w:r>
        <w:rPr>
          <w:spacing w:val="-3"/>
        </w:rPr>
        <w:t xml:space="preserve"> </w:t>
      </w:r>
      <w:r>
        <w:t>surgery as</w:t>
      </w:r>
      <w:r>
        <w:rPr>
          <w:spacing w:val="-1"/>
        </w:rPr>
        <w:t xml:space="preserve"> </w:t>
      </w:r>
      <w:r>
        <w:t>compared to the patients who underwent</w:t>
      </w:r>
      <w:r>
        <w:rPr>
          <w:spacing w:val="-1"/>
        </w:rPr>
        <w:t xml:space="preserve"> </w:t>
      </w:r>
      <w:r>
        <w:t>open surgery. Moreover,</w:t>
      </w:r>
      <w:r>
        <w:rPr>
          <w:spacing w:val="-4"/>
        </w:rPr>
        <w:t xml:space="preserve"> </w:t>
      </w:r>
      <w:r>
        <w:t>mean</w:t>
      </w:r>
      <w:r>
        <w:rPr>
          <w:spacing w:val="-5"/>
        </w:rPr>
        <w:t xml:space="preserve"> </w:t>
      </w:r>
      <w:r>
        <w:t>post-operative</w:t>
      </w:r>
      <w:r>
        <w:rPr>
          <w:spacing w:val="-4"/>
        </w:rPr>
        <w:t xml:space="preserve"> </w:t>
      </w:r>
      <w:r>
        <w:t>days</w:t>
      </w:r>
      <w:r>
        <w:rPr>
          <w:spacing w:val="-4"/>
        </w:rPr>
        <w:t xml:space="preserve"> </w:t>
      </w:r>
      <w:r>
        <w:t>of</w:t>
      </w:r>
      <w:r>
        <w:rPr>
          <w:spacing w:val="-4"/>
        </w:rPr>
        <w:t xml:space="preserve"> </w:t>
      </w:r>
      <w:r>
        <w:t>movement</w:t>
      </w:r>
      <w:r>
        <w:rPr>
          <w:spacing w:val="-4"/>
        </w:rPr>
        <w:t xml:space="preserve"> </w:t>
      </w:r>
      <w:r>
        <w:t>among the cases who underwent laparoscopic surgery in our study was 1.30±0.542 days while in the other group in which the cases underwent open surgery was 2.61±0.895 days. Similar results were depicted by the findings of</w:t>
      </w:r>
      <w:r>
        <w:rPr>
          <w:spacing w:val="40"/>
        </w:rPr>
        <w:t xml:space="preserve"> </w:t>
      </w:r>
      <w:commentRangeStart w:id="3"/>
      <w:r>
        <w:t xml:space="preserve">Patil et al </w:t>
      </w:r>
      <w:commentRangeEnd w:id="3"/>
      <w:r w:rsidR="007D062B">
        <w:rPr>
          <w:rStyle w:val="CommentReference"/>
        </w:rPr>
        <w:commentReference w:id="3"/>
      </w:r>
      <w:r>
        <w:t>that reported mean post-operative day of movement in laparoscopic group was 1.9 days and in</w:t>
      </w:r>
      <w:r>
        <w:rPr>
          <w:spacing w:val="40"/>
        </w:rPr>
        <w:t xml:space="preserve"> </w:t>
      </w:r>
      <w:r>
        <w:t>open repair group was 2.9 days.</w:t>
      </w:r>
    </w:p>
    <w:p w14:paraId="7FDD8015" w14:textId="77777777" w:rsidR="00251C8D" w:rsidRDefault="00251C8D">
      <w:pPr>
        <w:pStyle w:val="BodyText"/>
        <w:spacing w:before="11"/>
      </w:pPr>
    </w:p>
    <w:p w14:paraId="6F87B005" w14:textId="77777777" w:rsidR="00251C8D" w:rsidRDefault="00CA55ED">
      <w:pPr>
        <w:pStyle w:val="BodyText"/>
        <w:spacing w:before="1"/>
        <w:ind w:left="170" w:right="28"/>
        <w:jc w:val="both"/>
      </w:pPr>
      <w:r>
        <w:t>Post-operatively patients of laparoscopic group returned back to the work early as compared to the patients who underwent open surgery. The mean days of returning to work after the laparoscopic surgery was 10.22 days whereas the mean days of returning to work after the</w:t>
      </w:r>
      <w:r>
        <w:rPr>
          <w:spacing w:val="40"/>
        </w:rPr>
        <w:t xml:space="preserve"> </w:t>
      </w:r>
      <w:r>
        <w:t xml:space="preserve">open surgery was 17.57 days. Relevant to our findings, </w:t>
      </w:r>
      <w:commentRangeStart w:id="4"/>
      <w:r>
        <w:t xml:space="preserve">Patil et al </w:t>
      </w:r>
      <w:commentRangeEnd w:id="4"/>
      <w:r w:rsidR="007D062B">
        <w:rPr>
          <w:rStyle w:val="CommentReference"/>
        </w:rPr>
        <w:commentReference w:id="4"/>
      </w:r>
      <w:r>
        <w:t>in his study reported that Post surgery the individuals who underwent repair by laparoscopy had return to their normal work in shorter time (average 12.8 days) when compared with open approach (average 18.5 days). Raftopoulos et al in his evaluation found that the average return to normal routine was 25.95 vs 47.8 days, which was found to be more as compared to the study done</w:t>
      </w:r>
      <w:r>
        <w:rPr>
          <w:spacing w:val="-1"/>
        </w:rPr>
        <w:t xml:space="preserve"> </w:t>
      </w:r>
      <w:r>
        <w:t>by</w:t>
      </w:r>
      <w:r>
        <w:rPr>
          <w:spacing w:val="-4"/>
        </w:rPr>
        <w:t xml:space="preserve"> </w:t>
      </w:r>
      <w:r>
        <w:t>Itani</w:t>
      </w:r>
      <w:r>
        <w:rPr>
          <w:spacing w:val="-1"/>
        </w:rPr>
        <w:t xml:space="preserve"> </w:t>
      </w:r>
      <w:r>
        <w:t>et</w:t>
      </w:r>
      <w:r>
        <w:rPr>
          <w:spacing w:val="-1"/>
        </w:rPr>
        <w:t xml:space="preserve"> </w:t>
      </w:r>
      <w:r>
        <w:t>al who reported the</w:t>
      </w:r>
      <w:r>
        <w:rPr>
          <w:spacing w:val="-1"/>
        </w:rPr>
        <w:t xml:space="preserve"> </w:t>
      </w:r>
      <w:r>
        <w:t>average</w:t>
      </w:r>
      <w:r>
        <w:rPr>
          <w:spacing w:val="-1"/>
        </w:rPr>
        <w:t xml:space="preserve"> </w:t>
      </w:r>
      <w:r>
        <w:t>of</w:t>
      </w:r>
      <w:r>
        <w:rPr>
          <w:spacing w:val="-2"/>
        </w:rPr>
        <w:t xml:space="preserve"> </w:t>
      </w:r>
      <w:r>
        <w:t>23 vs</w:t>
      </w:r>
      <w:r>
        <w:rPr>
          <w:spacing w:val="-1"/>
        </w:rPr>
        <w:t xml:space="preserve"> </w:t>
      </w:r>
      <w:r>
        <w:t xml:space="preserve">28.5 </w:t>
      </w:r>
      <w:r>
        <w:rPr>
          <w:spacing w:val="-2"/>
        </w:rPr>
        <w:t>days.</w:t>
      </w:r>
      <w:r>
        <w:rPr>
          <w:spacing w:val="-2"/>
          <w:vertAlign w:val="superscript"/>
        </w:rPr>
        <w:t>8,10</w:t>
      </w:r>
    </w:p>
    <w:p w14:paraId="43789C8A" w14:textId="77777777" w:rsidR="00251C8D" w:rsidRDefault="00251C8D">
      <w:pPr>
        <w:pStyle w:val="BodyText"/>
        <w:spacing w:before="9"/>
      </w:pPr>
    </w:p>
    <w:p w14:paraId="051A2331" w14:textId="77777777" w:rsidR="00251C8D" w:rsidRDefault="00CA55ED">
      <w:pPr>
        <w:pStyle w:val="BodyText"/>
        <w:ind w:left="170" w:right="27"/>
        <w:jc w:val="both"/>
      </w:pPr>
      <w:r>
        <w:t>Post-operatively, there were 6 cases who had complications. Of this case, there were 5 cases reported with post-operative complications who underwent open surgery. These complications included surgical site infections (6.81%), acute kidney injury (2.27%), abdominal distension and serous discharge (2.27). On the other hands, one of the total cases who underwent laparoscopic surgery was recorded with hematoma. Patil et al in their findings also reported that the main complication encountered post-operatively included seroma,</w:t>
      </w:r>
      <w:r>
        <w:rPr>
          <w:spacing w:val="-1"/>
        </w:rPr>
        <w:t xml:space="preserve"> </w:t>
      </w:r>
      <w:r>
        <w:t>surgical</w:t>
      </w:r>
      <w:r>
        <w:rPr>
          <w:spacing w:val="-1"/>
        </w:rPr>
        <w:t xml:space="preserve"> </w:t>
      </w:r>
      <w:r>
        <w:t>site</w:t>
      </w:r>
      <w:r>
        <w:rPr>
          <w:spacing w:val="-1"/>
        </w:rPr>
        <w:t xml:space="preserve"> </w:t>
      </w:r>
      <w:r>
        <w:t>infection</w:t>
      </w:r>
      <w:r>
        <w:rPr>
          <w:spacing w:val="-1"/>
        </w:rPr>
        <w:t xml:space="preserve"> </w:t>
      </w:r>
      <w:r>
        <w:t>and</w:t>
      </w:r>
      <w:r>
        <w:rPr>
          <w:spacing w:val="-1"/>
        </w:rPr>
        <w:t xml:space="preserve"> </w:t>
      </w:r>
      <w:r>
        <w:t>chronic</w:t>
      </w:r>
      <w:r>
        <w:rPr>
          <w:spacing w:val="-1"/>
        </w:rPr>
        <w:t xml:space="preserve"> </w:t>
      </w:r>
      <w:r>
        <w:t>pain.</w:t>
      </w:r>
      <w:r>
        <w:rPr>
          <w:spacing w:val="-1"/>
        </w:rPr>
        <w:t xml:space="preserve"> </w:t>
      </w:r>
      <w:r>
        <w:t>Goodney et al and Park et al also showed the complications</w:t>
      </w:r>
      <w:r>
        <w:rPr>
          <w:spacing w:val="40"/>
        </w:rPr>
        <w:t xml:space="preserve"> </w:t>
      </w:r>
      <w:r>
        <w:t>relevant to our findings.</w:t>
      </w:r>
      <w:r>
        <w:rPr>
          <w:vertAlign w:val="superscript"/>
        </w:rPr>
        <w:t>10,11</w:t>
      </w:r>
    </w:p>
    <w:p w14:paraId="56C4C619" w14:textId="77777777" w:rsidR="00251C8D" w:rsidRDefault="00251C8D">
      <w:pPr>
        <w:pStyle w:val="BodyText"/>
        <w:spacing w:before="16"/>
      </w:pPr>
    </w:p>
    <w:p w14:paraId="55F088DE" w14:textId="77777777" w:rsidR="00251C8D" w:rsidRDefault="00CA55ED">
      <w:pPr>
        <w:pStyle w:val="Heading1"/>
      </w:pPr>
      <w:r>
        <w:rPr>
          <w:color w:val="003195"/>
          <w:spacing w:val="-2"/>
        </w:rPr>
        <w:t>CONCLUSION</w:t>
      </w:r>
    </w:p>
    <w:p w14:paraId="07BF9A0C" w14:textId="77777777" w:rsidR="00251C8D" w:rsidRDefault="00CA55ED">
      <w:pPr>
        <w:pStyle w:val="BodyText"/>
        <w:spacing w:before="195"/>
        <w:ind w:left="170" w:right="29"/>
        <w:jc w:val="both"/>
      </w:pPr>
      <w:r>
        <w:t xml:space="preserve">The present study was proposed to </w:t>
      </w:r>
      <w:proofErr w:type="spellStart"/>
      <w:r>
        <w:t>analyse</w:t>
      </w:r>
      <w:proofErr w:type="spellEnd"/>
      <w:r>
        <w:t xml:space="preserve"> and evaluate outcome in open and laparoscopic mesh repair of ventral hernia. The age of the cases ranged from 18-70 years. However, majority of the cases were observed between the</w:t>
      </w:r>
      <w:r>
        <w:rPr>
          <w:spacing w:val="14"/>
        </w:rPr>
        <w:t xml:space="preserve"> </w:t>
      </w:r>
      <w:r>
        <w:t>age</w:t>
      </w:r>
      <w:r>
        <w:rPr>
          <w:spacing w:val="14"/>
        </w:rPr>
        <w:t xml:space="preserve"> </w:t>
      </w:r>
      <w:r>
        <w:t>group</w:t>
      </w:r>
      <w:r>
        <w:rPr>
          <w:spacing w:val="15"/>
        </w:rPr>
        <w:t xml:space="preserve"> </w:t>
      </w:r>
      <w:r>
        <w:t>26-50%</w:t>
      </w:r>
      <w:r>
        <w:rPr>
          <w:spacing w:val="15"/>
        </w:rPr>
        <w:t xml:space="preserve"> </w:t>
      </w:r>
      <w:r>
        <w:t>accounting</w:t>
      </w:r>
      <w:r>
        <w:rPr>
          <w:spacing w:val="15"/>
        </w:rPr>
        <w:t xml:space="preserve"> </w:t>
      </w:r>
      <w:r>
        <w:t>for</w:t>
      </w:r>
      <w:r>
        <w:rPr>
          <w:spacing w:val="17"/>
        </w:rPr>
        <w:t xml:space="preserve"> </w:t>
      </w:r>
      <w:r>
        <w:t>more</w:t>
      </w:r>
      <w:r>
        <w:rPr>
          <w:spacing w:val="14"/>
        </w:rPr>
        <w:t xml:space="preserve"> </w:t>
      </w:r>
      <w:r>
        <w:t>than</w:t>
      </w:r>
      <w:r>
        <w:rPr>
          <w:spacing w:val="14"/>
        </w:rPr>
        <w:t xml:space="preserve"> </w:t>
      </w:r>
      <w:r>
        <w:t>50%</w:t>
      </w:r>
      <w:r>
        <w:rPr>
          <w:spacing w:val="14"/>
        </w:rPr>
        <w:t xml:space="preserve"> </w:t>
      </w:r>
      <w:r>
        <w:rPr>
          <w:spacing w:val="-5"/>
        </w:rPr>
        <w:t>of</w:t>
      </w:r>
    </w:p>
    <w:p w14:paraId="5C857954" w14:textId="77777777" w:rsidR="00251C8D" w:rsidRDefault="00251C8D">
      <w:pPr>
        <w:pStyle w:val="BodyText"/>
        <w:jc w:val="both"/>
        <w:sectPr w:rsidR="00251C8D">
          <w:type w:val="continuous"/>
          <w:pgSz w:w="11910" w:h="16840"/>
          <w:pgMar w:top="560" w:right="992" w:bottom="900" w:left="850" w:header="710" w:footer="712" w:gutter="0"/>
          <w:cols w:num="2" w:space="720" w:equalWidth="0">
            <w:col w:w="4859" w:space="358"/>
            <w:col w:w="4851"/>
          </w:cols>
        </w:sectPr>
      </w:pPr>
    </w:p>
    <w:p w14:paraId="078C637C" w14:textId="77777777" w:rsidR="00251C8D" w:rsidRDefault="00251C8D">
      <w:pPr>
        <w:pStyle w:val="BodyText"/>
        <w:spacing w:before="202"/>
      </w:pPr>
    </w:p>
    <w:p w14:paraId="2FD148F7" w14:textId="77777777" w:rsidR="00251C8D" w:rsidRDefault="00251C8D">
      <w:pPr>
        <w:pStyle w:val="BodyText"/>
        <w:sectPr w:rsidR="00251C8D">
          <w:pgSz w:w="11910" w:h="16840"/>
          <w:pgMar w:top="900" w:right="992" w:bottom="900" w:left="850" w:header="710" w:footer="712" w:gutter="0"/>
          <w:cols w:space="720"/>
        </w:sectPr>
      </w:pPr>
    </w:p>
    <w:p w14:paraId="0AE8F90F" w14:textId="77777777" w:rsidR="00251C8D" w:rsidRDefault="00CA55ED">
      <w:pPr>
        <w:pStyle w:val="BodyText"/>
        <w:spacing w:before="91"/>
        <w:ind w:left="170" w:right="39"/>
        <w:jc w:val="both"/>
      </w:pPr>
      <w:r>
        <w:t>the cases. The incidence of ventral hernia was recorded majorly in females (50.7%) followed by male cases (49.3%). Of the total cases (n=71), 62% of the cases underwent open surgery while 38% of the cases underwent laparoscopic surgery. The most common hernia</w:t>
      </w:r>
      <w:r>
        <w:rPr>
          <w:spacing w:val="-3"/>
        </w:rPr>
        <w:t xml:space="preserve"> </w:t>
      </w:r>
      <w:r>
        <w:t>in</w:t>
      </w:r>
      <w:r>
        <w:rPr>
          <w:spacing w:val="-4"/>
        </w:rPr>
        <w:t xml:space="preserve"> </w:t>
      </w:r>
      <w:r>
        <w:t>the</w:t>
      </w:r>
      <w:r>
        <w:rPr>
          <w:spacing w:val="-3"/>
        </w:rPr>
        <w:t xml:space="preserve"> </w:t>
      </w:r>
      <w:r>
        <w:t>present</w:t>
      </w:r>
      <w:r>
        <w:rPr>
          <w:spacing w:val="-1"/>
        </w:rPr>
        <w:t xml:space="preserve"> </w:t>
      </w:r>
      <w:r>
        <w:t>study</w:t>
      </w:r>
      <w:r>
        <w:rPr>
          <w:spacing w:val="-4"/>
        </w:rPr>
        <w:t xml:space="preserve"> </w:t>
      </w:r>
      <w:r>
        <w:t>was</w:t>
      </w:r>
      <w:r>
        <w:rPr>
          <w:spacing w:val="-3"/>
        </w:rPr>
        <w:t xml:space="preserve"> </w:t>
      </w:r>
      <w:r>
        <w:t>umbilical</w:t>
      </w:r>
      <w:r>
        <w:rPr>
          <w:spacing w:val="-1"/>
        </w:rPr>
        <w:t xml:space="preserve"> </w:t>
      </w:r>
      <w:r>
        <w:t>hernia.</w:t>
      </w:r>
      <w:r>
        <w:rPr>
          <w:spacing w:val="-2"/>
        </w:rPr>
        <w:t xml:space="preserve"> </w:t>
      </w:r>
      <w:r>
        <w:t>Diabetes was the most common co morbidity recorded in majority of the cases. The quality of life of the recruited cases was assessed on the 14</w:t>
      </w:r>
      <w:r>
        <w:rPr>
          <w:vertAlign w:val="superscript"/>
        </w:rPr>
        <w:t>th</w:t>
      </w:r>
      <w:r>
        <w:t xml:space="preserve"> and 28</w:t>
      </w:r>
      <w:r>
        <w:rPr>
          <w:vertAlign w:val="superscript"/>
        </w:rPr>
        <w:t>th</w:t>
      </w:r>
      <w:r>
        <w:t xml:space="preserve"> day after the surgery for</w:t>
      </w:r>
      <w:r>
        <w:rPr>
          <w:spacing w:val="80"/>
        </w:rPr>
        <w:t xml:space="preserve"> </w:t>
      </w:r>
      <w:r>
        <w:t>both the methods. Majority of the patients undergoing laparoscopic surgery reported that their health status was excellent during the past 4 weeks after the operation. However, none of the patients undergoing open surgery had excellent health status. The patients were asked whether physical health problems limited their usual physical activities (such as walking or stairs). It was recorded that most of the patients undergoing laparoscopic surgery had no health problem. The quality of life among the patients undergoing laparoscopic surgery was better as compared to the patients</w:t>
      </w:r>
      <w:r>
        <w:rPr>
          <w:spacing w:val="40"/>
        </w:rPr>
        <w:t xml:space="preserve"> </w:t>
      </w:r>
      <w:r>
        <w:t>undergoing an open surgery. Our study encountered several post operative complications in both the groups. These complications included surgical site infections, acute kidney injury, abdominal distension and serous discharge and hematoma. However, majority of the cases in the open surgery group had complications. Quality of life, VAS score, period of mobilization, days of returning to work were significantly associated with the procedure. Surgery of ventral hernia by laparoscopy has less post- surgical pain, less problems, lesser stay in hospital and had lesser impact on economy as the individuals returned to their normal routine in lesser time.</w:t>
      </w:r>
    </w:p>
    <w:p w14:paraId="26A7794F" w14:textId="77777777" w:rsidR="000B00CA" w:rsidRDefault="000B00CA">
      <w:pPr>
        <w:ind w:left="170"/>
        <w:rPr>
          <w:i/>
          <w:sz w:val="20"/>
        </w:rPr>
      </w:pPr>
    </w:p>
    <w:p w14:paraId="01E5A2C5" w14:textId="77777777" w:rsidR="00251C8D" w:rsidRDefault="00CA55ED">
      <w:pPr>
        <w:ind w:left="170"/>
        <w:rPr>
          <w:i/>
          <w:sz w:val="20"/>
        </w:rPr>
      </w:pPr>
      <w:r>
        <w:rPr>
          <w:i/>
          <w:sz w:val="20"/>
        </w:rPr>
        <w:t>Ethical</w:t>
      </w:r>
      <w:r>
        <w:rPr>
          <w:i/>
          <w:spacing w:val="80"/>
          <w:sz w:val="20"/>
        </w:rPr>
        <w:t xml:space="preserve"> </w:t>
      </w:r>
      <w:r>
        <w:rPr>
          <w:i/>
          <w:sz w:val="20"/>
        </w:rPr>
        <w:t>approval:</w:t>
      </w:r>
      <w:r>
        <w:rPr>
          <w:i/>
          <w:spacing w:val="80"/>
          <w:sz w:val="20"/>
        </w:rPr>
        <w:t xml:space="preserve"> </w:t>
      </w:r>
      <w:r>
        <w:rPr>
          <w:i/>
          <w:sz w:val="20"/>
        </w:rPr>
        <w:t>The</w:t>
      </w:r>
      <w:r>
        <w:rPr>
          <w:i/>
          <w:spacing w:val="80"/>
          <w:sz w:val="20"/>
        </w:rPr>
        <w:t xml:space="preserve"> </w:t>
      </w:r>
      <w:r>
        <w:rPr>
          <w:i/>
          <w:sz w:val="20"/>
        </w:rPr>
        <w:t>study</w:t>
      </w:r>
      <w:r>
        <w:rPr>
          <w:i/>
          <w:spacing w:val="80"/>
          <w:sz w:val="20"/>
        </w:rPr>
        <w:t xml:space="preserve"> </w:t>
      </w:r>
      <w:r>
        <w:rPr>
          <w:i/>
          <w:sz w:val="20"/>
        </w:rPr>
        <w:t>was</w:t>
      </w:r>
      <w:r>
        <w:rPr>
          <w:i/>
          <w:spacing w:val="80"/>
          <w:sz w:val="20"/>
        </w:rPr>
        <w:t xml:space="preserve"> </w:t>
      </w:r>
      <w:r>
        <w:rPr>
          <w:i/>
          <w:sz w:val="20"/>
        </w:rPr>
        <w:t>approved</w:t>
      </w:r>
      <w:r>
        <w:rPr>
          <w:i/>
          <w:spacing w:val="80"/>
          <w:sz w:val="20"/>
        </w:rPr>
        <w:t xml:space="preserve"> </w:t>
      </w:r>
      <w:r>
        <w:rPr>
          <w:i/>
          <w:sz w:val="20"/>
        </w:rPr>
        <w:t>by</w:t>
      </w:r>
      <w:r>
        <w:rPr>
          <w:i/>
          <w:spacing w:val="80"/>
          <w:sz w:val="20"/>
        </w:rPr>
        <w:t xml:space="preserve"> </w:t>
      </w:r>
      <w:r>
        <w:rPr>
          <w:i/>
          <w:sz w:val="20"/>
        </w:rPr>
        <w:t>the Institutional Ethics Committee</w:t>
      </w:r>
    </w:p>
    <w:p w14:paraId="61A21597" w14:textId="77777777" w:rsidR="00251C8D" w:rsidRDefault="00251C8D">
      <w:pPr>
        <w:pStyle w:val="BodyText"/>
        <w:spacing w:before="16"/>
        <w:rPr>
          <w:i/>
        </w:rPr>
      </w:pPr>
    </w:p>
    <w:p w14:paraId="22231A46" w14:textId="77777777" w:rsidR="00251C8D" w:rsidRDefault="00CA55ED">
      <w:pPr>
        <w:pStyle w:val="Heading1"/>
      </w:pPr>
      <w:r>
        <w:rPr>
          <w:color w:val="003195"/>
          <w:spacing w:val="-2"/>
        </w:rPr>
        <w:t>REFERENCES</w:t>
      </w:r>
    </w:p>
    <w:p w14:paraId="37B3C6CC" w14:textId="77777777" w:rsidR="00251C8D" w:rsidRDefault="00CA55ED">
      <w:pPr>
        <w:pStyle w:val="ListParagraph"/>
        <w:numPr>
          <w:ilvl w:val="0"/>
          <w:numId w:val="1"/>
        </w:numPr>
        <w:tabs>
          <w:tab w:val="left" w:pos="528"/>
          <w:tab w:val="left" w:pos="530"/>
        </w:tabs>
        <w:spacing w:before="193"/>
        <w:ind w:right="41"/>
        <w:jc w:val="both"/>
        <w:rPr>
          <w:sz w:val="20"/>
        </w:rPr>
      </w:pPr>
      <w:proofErr w:type="spellStart"/>
      <w:r>
        <w:rPr>
          <w:sz w:val="20"/>
        </w:rPr>
        <w:t>Muysoms</w:t>
      </w:r>
      <w:proofErr w:type="spellEnd"/>
      <w:r>
        <w:rPr>
          <w:sz w:val="20"/>
        </w:rPr>
        <w:t xml:space="preserve"> FE, Miserez M, </w:t>
      </w:r>
      <w:proofErr w:type="spellStart"/>
      <w:r>
        <w:rPr>
          <w:sz w:val="20"/>
        </w:rPr>
        <w:t>Berrevoet</w:t>
      </w:r>
      <w:proofErr w:type="spellEnd"/>
      <w:r>
        <w:rPr>
          <w:sz w:val="20"/>
        </w:rPr>
        <w:t xml:space="preserve"> F.</w:t>
      </w:r>
      <w:r>
        <w:rPr>
          <w:spacing w:val="40"/>
          <w:sz w:val="20"/>
        </w:rPr>
        <w:t xml:space="preserve"> </w:t>
      </w:r>
      <w:r>
        <w:rPr>
          <w:sz w:val="20"/>
        </w:rPr>
        <w:t xml:space="preserve">Classification of primary and incisional abdominal wall hernias. Hernia. </w:t>
      </w:r>
      <w:proofErr w:type="gramStart"/>
      <w:r>
        <w:rPr>
          <w:sz w:val="20"/>
        </w:rPr>
        <w:t>2009;13:407</w:t>
      </w:r>
      <w:proofErr w:type="gramEnd"/>
      <w:r>
        <w:rPr>
          <w:sz w:val="20"/>
        </w:rPr>
        <w:t>.</w:t>
      </w:r>
    </w:p>
    <w:p w14:paraId="06DE5203" w14:textId="77777777" w:rsidR="00251C8D" w:rsidRDefault="00CA55ED">
      <w:pPr>
        <w:pStyle w:val="ListParagraph"/>
        <w:numPr>
          <w:ilvl w:val="0"/>
          <w:numId w:val="1"/>
        </w:numPr>
        <w:tabs>
          <w:tab w:val="left" w:pos="528"/>
          <w:tab w:val="left" w:pos="530"/>
        </w:tabs>
        <w:spacing w:before="91"/>
        <w:ind w:right="30"/>
        <w:jc w:val="both"/>
        <w:rPr>
          <w:sz w:val="20"/>
        </w:rPr>
      </w:pPr>
      <w:r>
        <w:br w:type="column"/>
      </w:r>
      <w:r>
        <w:rPr>
          <w:sz w:val="20"/>
        </w:rPr>
        <w:t xml:space="preserve">Lanzafame RJ, Stadler I, Brondon P, Soltz BA, Devore DP. Preliminary assessment of postoperative adhesion formation after laser assisted mesh fixation to the peritoneal surface. J </w:t>
      </w:r>
      <w:proofErr w:type="spellStart"/>
      <w:r>
        <w:rPr>
          <w:sz w:val="20"/>
        </w:rPr>
        <w:t>Laparoendoscopic</w:t>
      </w:r>
      <w:proofErr w:type="spellEnd"/>
      <w:r>
        <w:rPr>
          <w:sz w:val="20"/>
        </w:rPr>
        <w:t xml:space="preserve"> Adv Surg Tech A. 2005;15(2):105-11.</w:t>
      </w:r>
    </w:p>
    <w:p w14:paraId="19FCDEA9" w14:textId="77777777" w:rsidR="00251C8D" w:rsidRDefault="00CA55ED">
      <w:pPr>
        <w:pStyle w:val="ListParagraph"/>
        <w:numPr>
          <w:ilvl w:val="0"/>
          <w:numId w:val="1"/>
        </w:numPr>
        <w:tabs>
          <w:tab w:val="left" w:pos="528"/>
          <w:tab w:val="left" w:pos="530"/>
        </w:tabs>
        <w:jc w:val="both"/>
        <w:rPr>
          <w:sz w:val="20"/>
        </w:rPr>
      </w:pPr>
      <w:proofErr w:type="spellStart"/>
      <w:r>
        <w:rPr>
          <w:sz w:val="20"/>
        </w:rPr>
        <w:t>Kayaoğlu</w:t>
      </w:r>
      <w:proofErr w:type="spellEnd"/>
      <w:r>
        <w:rPr>
          <w:sz w:val="20"/>
        </w:rPr>
        <w:t xml:space="preserve"> HA, Özkan N, </w:t>
      </w:r>
      <w:proofErr w:type="spellStart"/>
      <w:r>
        <w:rPr>
          <w:sz w:val="20"/>
        </w:rPr>
        <w:t>Hazinedaroğlu</w:t>
      </w:r>
      <w:proofErr w:type="spellEnd"/>
      <w:r>
        <w:rPr>
          <w:sz w:val="20"/>
        </w:rPr>
        <w:t xml:space="preserve"> SM, Ersoy ÖF, Erkek AB, Köseoğlu RD. Comparison of adhesive properties of five different prosthetic materials used in hernioplasty. J Invest Surg. </w:t>
      </w:r>
      <w:r>
        <w:rPr>
          <w:spacing w:val="-2"/>
          <w:sz w:val="20"/>
        </w:rPr>
        <w:t>2005;18(2):89-95.</w:t>
      </w:r>
    </w:p>
    <w:p w14:paraId="14F6BB42" w14:textId="77777777" w:rsidR="00251C8D" w:rsidRDefault="00CA55ED">
      <w:pPr>
        <w:pStyle w:val="ListParagraph"/>
        <w:numPr>
          <w:ilvl w:val="0"/>
          <w:numId w:val="1"/>
        </w:numPr>
        <w:tabs>
          <w:tab w:val="left" w:pos="528"/>
          <w:tab w:val="left" w:pos="530"/>
        </w:tabs>
        <w:ind w:right="30"/>
        <w:jc w:val="both"/>
        <w:rPr>
          <w:sz w:val="20"/>
        </w:rPr>
      </w:pPr>
      <w:r>
        <w:rPr>
          <w:sz w:val="20"/>
        </w:rPr>
        <w:t>Office of Population Censuses and Surveys Hospital Episode Statistics 1998-99. London: HMSO. 2000.</w:t>
      </w:r>
    </w:p>
    <w:p w14:paraId="587A9FDA" w14:textId="77777777" w:rsidR="00251C8D" w:rsidRDefault="00CA55ED">
      <w:pPr>
        <w:pStyle w:val="ListParagraph"/>
        <w:numPr>
          <w:ilvl w:val="0"/>
          <w:numId w:val="1"/>
        </w:numPr>
        <w:tabs>
          <w:tab w:val="left" w:pos="528"/>
          <w:tab w:val="left" w:pos="530"/>
        </w:tabs>
        <w:ind w:right="27"/>
        <w:jc w:val="both"/>
        <w:rPr>
          <w:sz w:val="20"/>
        </w:rPr>
      </w:pPr>
      <w:r>
        <w:rPr>
          <w:sz w:val="20"/>
        </w:rPr>
        <w:t xml:space="preserve">Thoman DS, Phillips EH. Current status of laparoscopic ventral hernia repair Surg </w:t>
      </w:r>
      <w:proofErr w:type="spellStart"/>
      <w:r>
        <w:rPr>
          <w:sz w:val="20"/>
        </w:rPr>
        <w:t>Endosc</w:t>
      </w:r>
      <w:proofErr w:type="spellEnd"/>
      <w:r>
        <w:rPr>
          <w:sz w:val="20"/>
        </w:rPr>
        <w:t xml:space="preserve">. </w:t>
      </w:r>
      <w:r>
        <w:rPr>
          <w:spacing w:val="-2"/>
          <w:sz w:val="20"/>
        </w:rPr>
        <w:t>2002;16;939-42.</w:t>
      </w:r>
    </w:p>
    <w:p w14:paraId="735355F8" w14:textId="77777777" w:rsidR="00251C8D" w:rsidRDefault="00CA55ED">
      <w:pPr>
        <w:pStyle w:val="ListParagraph"/>
        <w:numPr>
          <w:ilvl w:val="0"/>
          <w:numId w:val="1"/>
        </w:numPr>
        <w:tabs>
          <w:tab w:val="left" w:pos="528"/>
          <w:tab w:val="left" w:pos="530"/>
        </w:tabs>
        <w:ind w:right="31"/>
        <w:jc w:val="both"/>
        <w:rPr>
          <w:sz w:val="20"/>
        </w:rPr>
      </w:pPr>
      <w:r>
        <w:rPr>
          <w:sz w:val="20"/>
        </w:rPr>
        <w:t xml:space="preserve">Sandeep Patil. Comparison of </w:t>
      </w:r>
      <w:proofErr w:type="spellStart"/>
      <w:r>
        <w:rPr>
          <w:sz w:val="20"/>
        </w:rPr>
        <w:t>Openvs</w:t>
      </w:r>
      <w:proofErr w:type="spellEnd"/>
      <w:r>
        <w:rPr>
          <w:sz w:val="20"/>
        </w:rPr>
        <w:t xml:space="preserve"> Laparoscopic Repair of Uncomplicated Ventral Hernia. New</w:t>
      </w:r>
      <w:r>
        <w:rPr>
          <w:spacing w:val="40"/>
          <w:sz w:val="20"/>
        </w:rPr>
        <w:t xml:space="preserve"> </w:t>
      </w:r>
      <w:r>
        <w:rPr>
          <w:sz w:val="20"/>
        </w:rPr>
        <w:t>Indian J Surg. 2017;8(1).</w:t>
      </w:r>
    </w:p>
    <w:p w14:paraId="5F15FAE3" w14:textId="77777777" w:rsidR="00251C8D" w:rsidRDefault="00CA55ED">
      <w:pPr>
        <w:pStyle w:val="ListParagraph"/>
        <w:numPr>
          <w:ilvl w:val="0"/>
          <w:numId w:val="1"/>
        </w:numPr>
        <w:tabs>
          <w:tab w:val="left" w:pos="528"/>
          <w:tab w:val="left" w:pos="530"/>
        </w:tabs>
        <w:spacing w:before="1"/>
        <w:ind w:right="31"/>
        <w:jc w:val="both"/>
        <w:rPr>
          <w:sz w:val="20"/>
        </w:rPr>
      </w:pPr>
      <w:r>
        <w:rPr>
          <w:sz w:val="20"/>
        </w:rPr>
        <w:t xml:space="preserve">Courtney CA. Ventral hernia repair: a study of current practice. Hernia. </w:t>
      </w:r>
      <w:proofErr w:type="gramStart"/>
      <w:r>
        <w:rPr>
          <w:sz w:val="20"/>
        </w:rPr>
        <w:t>2003;7:44</w:t>
      </w:r>
      <w:proofErr w:type="gramEnd"/>
      <w:r>
        <w:rPr>
          <w:sz w:val="20"/>
        </w:rPr>
        <w:t>-6.</w:t>
      </w:r>
    </w:p>
    <w:p w14:paraId="6946B09A" w14:textId="77777777" w:rsidR="00251C8D" w:rsidRDefault="00CA55ED">
      <w:pPr>
        <w:pStyle w:val="ListParagraph"/>
        <w:numPr>
          <w:ilvl w:val="0"/>
          <w:numId w:val="1"/>
        </w:numPr>
        <w:tabs>
          <w:tab w:val="left" w:pos="528"/>
          <w:tab w:val="left" w:pos="530"/>
        </w:tabs>
        <w:spacing w:before="1"/>
        <w:ind w:right="28"/>
        <w:jc w:val="both"/>
        <w:rPr>
          <w:sz w:val="20"/>
        </w:rPr>
      </w:pPr>
      <w:r>
        <w:rPr>
          <w:sz w:val="20"/>
        </w:rPr>
        <w:t>Itani KM, Hur K, Kim LT, Antony T, Berger DH, Reda</w:t>
      </w:r>
      <w:r>
        <w:rPr>
          <w:spacing w:val="-6"/>
          <w:sz w:val="20"/>
        </w:rPr>
        <w:t xml:space="preserve"> </w:t>
      </w:r>
      <w:r>
        <w:rPr>
          <w:sz w:val="20"/>
        </w:rPr>
        <w:t>D</w:t>
      </w:r>
      <w:r>
        <w:rPr>
          <w:spacing w:val="-6"/>
          <w:sz w:val="20"/>
        </w:rPr>
        <w:t xml:space="preserve"> </w:t>
      </w:r>
      <w:r>
        <w:rPr>
          <w:sz w:val="20"/>
        </w:rPr>
        <w:t>et</w:t>
      </w:r>
      <w:r>
        <w:rPr>
          <w:spacing w:val="-6"/>
          <w:sz w:val="20"/>
        </w:rPr>
        <w:t xml:space="preserve"> </w:t>
      </w:r>
      <w:r>
        <w:rPr>
          <w:sz w:val="20"/>
        </w:rPr>
        <w:t>al.</w:t>
      </w:r>
      <w:r>
        <w:rPr>
          <w:spacing w:val="-6"/>
          <w:sz w:val="20"/>
        </w:rPr>
        <w:t xml:space="preserve"> </w:t>
      </w:r>
      <w:proofErr w:type="spellStart"/>
      <w:r>
        <w:rPr>
          <w:sz w:val="20"/>
        </w:rPr>
        <w:t>ComparisionOf</w:t>
      </w:r>
      <w:proofErr w:type="spellEnd"/>
      <w:r>
        <w:rPr>
          <w:spacing w:val="-5"/>
          <w:sz w:val="20"/>
        </w:rPr>
        <w:t xml:space="preserve"> </w:t>
      </w:r>
      <w:r>
        <w:rPr>
          <w:sz w:val="20"/>
        </w:rPr>
        <w:t>Laparoscopic</w:t>
      </w:r>
      <w:r>
        <w:rPr>
          <w:spacing w:val="-3"/>
          <w:sz w:val="20"/>
        </w:rPr>
        <w:t xml:space="preserve"> </w:t>
      </w:r>
      <w:r>
        <w:rPr>
          <w:sz w:val="20"/>
        </w:rPr>
        <w:t>and</w:t>
      </w:r>
      <w:r>
        <w:rPr>
          <w:spacing w:val="-5"/>
          <w:sz w:val="20"/>
        </w:rPr>
        <w:t xml:space="preserve"> </w:t>
      </w:r>
      <w:r>
        <w:rPr>
          <w:sz w:val="20"/>
        </w:rPr>
        <w:t xml:space="preserve">Open Repair with Mesh </w:t>
      </w:r>
      <w:proofErr w:type="gramStart"/>
      <w:r>
        <w:rPr>
          <w:sz w:val="20"/>
        </w:rPr>
        <w:t>For</w:t>
      </w:r>
      <w:proofErr w:type="gramEnd"/>
      <w:r>
        <w:rPr>
          <w:sz w:val="20"/>
        </w:rPr>
        <w:t xml:space="preserve"> Treatment Of Ventral Incisional Hernia. Arch Surg. 2010;145(4):322-8.</w:t>
      </w:r>
    </w:p>
    <w:p w14:paraId="57F1F17D" w14:textId="77777777" w:rsidR="00251C8D" w:rsidRDefault="00CA55ED">
      <w:pPr>
        <w:pStyle w:val="ListParagraph"/>
        <w:numPr>
          <w:ilvl w:val="0"/>
          <w:numId w:val="1"/>
        </w:numPr>
        <w:tabs>
          <w:tab w:val="left" w:pos="528"/>
          <w:tab w:val="left" w:pos="530"/>
        </w:tabs>
        <w:ind w:right="32"/>
        <w:jc w:val="both"/>
        <w:rPr>
          <w:sz w:val="20"/>
        </w:rPr>
      </w:pPr>
      <w:r>
        <w:rPr>
          <w:sz w:val="20"/>
        </w:rPr>
        <w:t xml:space="preserve">Tessier DJ, Swain JM, Harold KL. Safety of laparoscopic ventral hernia repair in older patients. Hernia. </w:t>
      </w:r>
      <w:proofErr w:type="gramStart"/>
      <w:r>
        <w:rPr>
          <w:sz w:val="20"/>
        </w:rPr>
        <w:t>2006;10:53</w:t>
      </w:r>
      <w:proofErr w:type="gramEnd"/>
      <w:r>
        <w:rPr>
          <w:sz w:val="20"/>
        </w:rPr>
        <w:t>-7.</w:t>
      </w:r>
    </w:p>
    <w:p w14:paraId="77CA37AD" w14:textId="77777777" w:rsidR="00251C8D" w:rsidRDefault="00CA55ED">
      <w:pPr>
        <w:pStyle w:val="ListParagraph"/>
        <w:numPr>
          <w:ilvl w:val="0"/>
          <w:numId w:val="1"/>
        </w:numPr>
        <w:tabs>
          <w:tab w:val="left" w:pos="530"/>
        </w:tabs>
        <w:ind w:right="33"/>
        <w:jc w:val="both"/>
        <w:rPr>
          <w:sz w:val="20"/>
        </w:rPr>
      </w:pPr>
      <w:r>
        <w:rPr>
          <w:sz w:val="20"/>
        </w:rPr>
        <w:t xml:space="preserve">Raftopoulos I, </w:t>
      </w:r>
      <w:proofErr w:type="spellStart"/>
      <w:r>
        <w:rPr>
          <w:sz w:val="20"/>
        </w:rPr>
        <w:t>Vanuno</w:t>
      </w:r>
      <w:proofErr w:type="spellEnd"/>
      <w:r>
        <w:rPr>
          <w:sz w:val="20"/>
        </w:rPr>
        <w:t xml:space="preserve"> D. Comparison of Open and Laparoscopic Prosthetic Repair of Large Ventral Hernias. JSLS. </w:t>
      </w:r>
      <w:proofErr w:type="gramStart"/>
      <w:r>
        <w:rPr>
          <w:sz w:val="20"/>
        </w:rPr>
        <w:t>2003;7:227</w:t>
      </w:r>
      <w:proofErr w:type="gramEnd"/>
      <w:r>
        <w:rPr>
          <w:sz w:val="20"/>
        </w:rPr>
        <w:t>-32.</w:t>
      </w:r>
    </w:p>
    <w:p w14:paraId="23C6DDF0" w14:textId="77777777" w:rsidR="00251C8D" w:rsidRDefault="00CA55ED">
      <w:pPr>
        <w:pStyle w:val="ListParagraph"/>
        <w:numPr>
          <w:ilvl w:val="0"/>
          <w:numId w:val="1"/>
        </w:numPr>
        <w:tabs>
          <w:tab w:val="left" w:pos="530"/>
        </w:tabs>
        <w:jc w:val="both"/>
        <w:rPr>
          <w:sz w:val="20"/>
        </w:rPr>
      </w:pPr>
      <w:r>
        <w:rPr>
          <w:sz w:val="20"/>
        </w:rPr>
        <w:t>Goodney PP, Birkmeyer CM. Short-term outcomes</w:t>
      </w:r>
      <w:r>
        <w:rPr>
          <w:spacing w:val="40"/>
          <w:sz w:val="20"/>
        </w:rPr>
        <w:t xml:space="preserve"> </w:t>
      </w:r>
      <w:r>
        <w:rPr>
          <w:sz w:val="20"/>
        </w:rPr>
        <w:t>of laparoscopic and open ventral hernia repair: a meta-analysis. Arch Surg. 2002;137(10):1161-5.</w:t>
      </w:r>
    </w:p>
    <w:p w14:paraId="1F3CFDDB" w14:textId="77777777" w:rsidR="00251C8D" w:rsidRDefault="00251C8D">
      <w:pPr>
        <w:pStyle w:val="BodyText"/>
        <w:spacing w:before="1"/>
        <w:rPr>
          <w:sz w:val="14"/>
        </w:rPr>
      </w:pPr>
    </w:p>
    <w:sectPr w:rsidR="00251C8D">
      <w:type w:val="continuous"/>
      <w:pgSz w:w="11910" w:h="16840"/>
      <w:pgMar w:top="560" w:right="992" w:bottom="900" w:left="850" w:header="710" w:footer="712" w:gutter="0"/>
      <w:cols w:num="2" w:space="720" w:equalWidth="0">
        <w:col w:w="4861" w:space="355"/>
        <w:col w:w="4852"/>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bhishek singh Rathore" w:date="2025-02-21T10:44:00Z" w:initials="AR">
    <w:p w14:paraId="2A649BAA" w14:textId="7DD6892C" w:rsidR="001B222E" w:rsidRDefault="001B222E">
      <w:pPr>
        <w:pStyle w:val="CommentText"/>
      </w:pPr>
      <w:r>
        <w:rPr>
          <w:rStyle w:val="CommentReference"/>
        </w:rPr>
        <w:annotationRef/>
      </w:r>
      <w:r>
        <w:t>Exclusion criteria must have – All the patients who are unfit for surgery</w:t>
      </w:r>
    </w:p>
  </w:comment>
  <w:comment w:id="1" w:author="Abhishek singh Rathore" w:date="2025-02-21T11:07:00Z" w:initials="AR">
    <w:p w14:paraId="64653D26" w14:textId="3457F32E" w:rsidR="00367516" w:rsidRDefault="00367516">
      <w:pPr>
        <w:pStyle w:val="CommentText"/>
      </w:pPr>
      <w:r>
        <w:rPr>
          <w:rStyle w:val="CommentReference"/>
        </w:rPr>
        <w:annotationRef/>
      </w:r>
      <w:r>
        <w:rPr>
          <w:rStyle w:val="CommentReference"/>
        </w:rPr>
        <w:t>A laparoscopic</w:t>
      </w:r>
      <w:r>
        <w:t xml:space="preserve"> hernia may be the preferred technique but not a gold standard. If any references kindly give new reference </w:t>
      </w:r>
      <w:proofErr w:type="gramStart"/>
      <w:r>
        <w:t>( 3</w:t>
      </w:r>
      <w:proofErr w:type="gramEnd"/>
      <w:r>
        <w:t xml:space="preserve"> to 5 year old) </w:t>
      </w:r>
    </w:p>
  </w:comment>
  <w:comment w:id="2" w:author="Abhishek singh Rathore" w:date="2025-02-21T11:55:00Z" w:initials="AR">
    <w:p w14:paraId="600D49E0" w14:textId="0926D609" w:rsidR="007D062B" w:rsidRDefault="007D062B">
      <w:pPr>
        <w:pStyle w:val="CommentText"/>
      </w:pPr>
      <w:r>
        <w:rPr>
          <w:rStyle w:val="CommentReference"/>
        </w:rPr>
        <w:annotationRef/>
      </w:r>
      <w:r>
        <w:t xml:space="preserve"> reference number</w:t>
      </w:r>
    </w:p>
  </w:comment>
  <w:comment w:id="3" w:author="Abhishek singh Rathore" w:date="2025-02-21T11:58:00Z" w:initials="AR">
    <w:p w14:paraId="14928995" w14:textId="77777777" w:rsidR="007D062B" w:rsidRDefault="007D062B">
      <w:pPr>
        <w:pStyle w:val="CommentText"/>
      </w:pPr>
      <w:r>
        <w:rPr>
          <w:rStyle w:val="CommentReference"/>
        </w:rPr>
        <w:annotationRef/>
      </w:r>
      <w:r>
        <w:t>reference</w:t>
      </w:r>
    </w:p>
    <w:p w14:paraId="31EDDFA7" w14:textId="20432AC8" w:rsidR="007D062B" w:rsidRDefault="007D062B">
      <w:pPr>
        <w:pStyle w:val="CommentText"/>
      </w:pPr>
    </w:p>
  </w:comment>
  <w:comment w:id="4" w:author="Abhishek singh Rathore" w:date="2025-02-21T12:00:00Z" w:initials="AR">
    <w:p w14:paraId="54B4C38A" w14:textId="690BAF8E" w:rsidR="007D062B" w:rsidRDefault="007D062B">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649BAA" w15:done="0"/>
  <w15:commentEx w15:paraId="64653D26" w15:done="0"/>
  <w15:commentEx w15:paraId="600D49E0" w15:done="0"/>
  <w15:commentEx w15:paraId="31EDDFA7" w15:done="0"/>
  <w15:commentEx w15:paraId="54B4C3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82D2D8" w16cex:dateUtc="2025-02-21T05:14:00Z"/>
  <w16cex:commentExtensible w16cex:durableId="12ABDAEE" w16cex:dateUtc="2025-02-21T05:37:00Z"/>
  <w16cex:commentExtensible w16cex:durableId="66252605" w16cex:dateUtc="2025-02-21T06:25:00Z"/>
  <w16cex:commentExtensible w16cex:durableId="0288437C" w16cex:dateUtc="2025-02-21T06:28:00Z"/>
  <w16cex:commentExtensible w16cex:durableId="2E2A750E" w16cex:dateUtc="2025-02-2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649BAA" w16cid:durableId="2282D2D8"/>
  <w16cid:commentId w16cid:paraId="64653D26" w16cid:durableId="12ABDAEE"/>
  <w16cid:commentId w16cid:paraId="600D49E0" w16cid:durableId="66252605"/>
  <w16cid:commentId w16cid:paraId="31EDDFA7" w16cid:durableId="0288437C"/>
  <w16cid:commentId w16cid:paraId="54B4C38A" w16cid:durableId="2E2A75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D1E1E" w14:textId="77777777" w:rsidR="00CF21B8" w:rsidRDefault="00CF21B8">
      <w:r>
        <w:separator/>
      </w:r>
    </w:p>
  </w:endnote>
  <w:endnote w:type="continuationSeparator" w:id="0">
    <w:p w14:paraId="226A8B4C" w14:textId="77777777" w:rsidR="00CF21B8" w:rsidRDefault="00CF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4781" w14:textId="77777777" w:rsidR="000B00CA" w:rsidRDefault="000B0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B1EE" w14:textId="77777777" w:rsidR="000B00CA" w:rsidRDefault="000B0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C0BE" w14:textId="77777777" w:rsidR="000B00CA" w:rsidRDefault="000B00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CB5A" w14:textId="77777777" w:rsidR="00251C8D" w:rsidRPr="000B00CA" w:rsidRDefault="00251C8D" w:rsidP="000B0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41EA" w14:textId="77777777" w:rsidR="00CF21B8" w:rsidRDefault="00CF21B8">
      <w:r>
        <w:separator/>
      </w:r>
    </w:p>
  </w:footnote>
  <w:footnote w:type="continuationSeparator" w:id="0">
    <w:p w14:paraId="134913BE" w14:textId="77777777" w:rsidR="00CF21B8" w:rsidRDefault="00CF2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E663" w14:textId="77777777" w:rsidR="000B00CA" w:rsidRDefault="00000000">
    <w:pPr>
      <w:pStyle w:val="Header"/>
    </w:pPr>
    <w:r>
      <w:rPr>
        <w:noProof/>
      </w:rPr>
      <w:pict w14:anchorId="77315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979219" o:spid="_x0000_s1026" type="#_x0000_t136" style="position:absolute;margin-left:0;margin-top:0;width:638.65pt;height:70.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7F54" w14:textId="77777777" w:rsidR="000B00CA" w:rsidRDefault="00000000">
    <w:pPr>
      <w:pStyle w:val="Header"/>
    </w:pPr>
    <w:r>
      <w:rPr>
        <w:noProof/>
      </w:rPr>
      <w:pict w14:anchorId="3C0E3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979220" o:spid="_x0000_s1027" type="#_x0000_t136" style="position:absolute;margin-left:0;margin-top:0;width:638.65pt;height:70.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6BC4" w14:textId="77777777" w:rsidR="000B00CA" w:rsidRDefault="00000000">
    <w:pPr>
      <w:pStyle w:val="Header"/>
    </w:pPr>
    <w:r>
      <w:rPr>
        <w:noProof/>
      </w:rPr>
      <w:pict w14:anchorId="08AB0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979218" o:spid="_x0000_s1025" type="#_x0000_t136" style="position:absolute;margin-left:0;margin-top:0;width:638.65pt;height:70.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F10C" w14:textId="77777777" w:rsidR="000B00CA" w:rsidRDefault="00000000">
    <w:pPr>
      <w:pStyle w:val="Header"/>
    </w:pPr>
    <w:r>
      <w:rPr>
        <w:noProof/>
      </w:rPr>
      <w:pict w14:anchorId="23920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979222" o:spid="_x0000_s1029" type="#_x0000_t136" style="position:absolute;margin-left:0;margin-top:0;width:638.65pt;height:70.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CB9C" w14:textId="77777777" w:rsidR="00251C8D" w:rsidRPr="000B00CA" w:rsidRDefault="00000000" w:rsidP="000B00CA">
    <w:pPr>
      <w:pStyle w:val="Header"/>
    </w:pPr>
    <w:r>
      <w:rPr>
        <w:noProof/>
      </w:rPr>
      <w:pict w14:anchorId="33E72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979223" o:spid="_x0000_s1030" type="#_x0000_t136" style="position:absolute;margin-left:0;margin-top:0;width:638.65pt;height:70.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02AA" w14:textId="77777777" w:rsidR="000B00CA" w:rsidRDefault="00000000">
    <w:pPr>
      <w:pStyle w:val="Header"/>
    </w:pPr>
    <w:r>
      <w:rPr>
        <w:noProof/>
      </w:rPr>
      <w:pict w14:anchorId="45B71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979221" o:spid="_x0000_s1028" type="#_x0000_t136" style="position:absolute;margin-left:0;margin-top:0;width:638.65pt;height:70.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0E95"/>
    <w:multiLevelType w:val="hybridMultilevel"/>
    <w:tmpl w:val="28E42A20"/>
    <w:lvl w:ilvl="0" w:tplc="96B08C24">
      <w:start w:val="1"/>
      <w:numFmt w:val="decimal"/>
      <w:lvlText w:val="%1."/>
      <w:lvlJc w:val="left"/>
      <w:pPr>
        <w:ind w:left="53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5C8CB10">
      <w:numFmt w:val="bullet"/>
      <w:lvlText w:val="•"/>
      <w:lvlJc w:val="left"/>
      <w:pPr>
        <w:ind w:left="972" w:hanging="361"/>
      </w:pPr>
      <w:rPr>
        <w:rFonts w:hint="default"/>
        <w:lang w:val="en-US" w:eastAsia="en-US" w:bidi="ar-SA"/>
      </w:rPr>
    </w:lvl>
    <w:lvl w:ilvl="2" w:tplc="A0963080">
      <w:numFmt w:val="bullet"/>
      <w:lvlText w:val="•"/>
      <w:lvlJc w:val="left"/>
      <w:pPr>
        <w:ind w:left="1404" w:hanging="361"/>
      </w:pPr>
      <w:rPr>
        <w:rFonts w:hint="default"/>
        <w:lang w:val="en-US" w:eastAsia="en-US" w:bidi="ar-SA"/>
      </w:rPr>
    </w:lvl>
    <w:lvl w:ilvl="3" w:tplc="EA02064E">
      <w:numFmt w:val="bullet"/>
      <w:lvlText w:val="•"/>
      <w:lvlJc w:val="left"/>
      <w:pPr>
        <w:ind w:left="1836" w:hanging="361"/>
      </w:pPr>
      <w:rPr>
        <w:rFonts w:hint="default"/>
        <w:lang w:val="en-US" w:eastAsia="en-US" w:bidi="ar-SA"/>
      </w:rPr>
    </w:lvl>
    <w:lvl w:ilvl="4" w:tplc="38BA9428">
      <w:numFmt w:val="bullet"/>
      <w:lvlText w:val="•"/>
      <w:lvlJc w:val="left"/>
      <w:pPr>
        <w:ind w:left="2268" w:hanging="361"/>
      </w:pPr>
      <w:rPr>
        <w:rFonts w:hint="default"/>
        <w:lang w:val="en-US" w:eastAsia="en-US" w:bidi="ar-SA"/>
      </w:rPr>
    </w:lvl>
    <w:lvl w:ilvl="5" w:tplc="45426C5E">
      <w:numFmt w:val="bullet"/>
      <w:lvlText w:val="•"/>
      <w:lvlJc w:val="left"/>
      <w:pPr>
        <w:ind w:left="2700" w:hanging="361"/>
      </w:pPr>
      <w:rPr>
        <w:rFonts w:hint="default"/>
        <w:lang w:val="en-US" w:eastAsia="en-US" w:bidi="ar-SA"/>
      </w:rPr>
    </w:lvl>
    <w:lvl w:ilvl="6" w:tplc="AB50866C">
      <w:numFmt w:val="bullet"/>
      <w:lvlText w:val="•"/>
      <w:lvlJc w:val="left"/>
      <w:pPr>
        <w:ind w:left="3132" w:hanging="361"/>
      </w:pPr>
      <w:rPr>
        <w:rFonts w:hint="default"/>
        <w:lang w:val="en-US" w:eastAsia="en-US" w:bidi="ar-SA"/>
      </w:rPr>
    </w:lvl>
    <w:lvl w:ilvl="7" w:tplc="5058B408">
      <w:numFmt w:val="bullet"/>
      <w:lvlText w:val="•"/>
      <w:lvlJc w:val="left"/>
      <w:pPr>
        <w:ind w:left="3564" w:hanging="361"/>
      </w:pPr>
      <w:rPr>
        <w:rFonts w:hint="default"/>
        <w:lang w:val="en-US" w:eastAsia="en-US" w:bidi="ar-SA"/>
      </w:rPr>
    </w:lvl>
    <w:lvl w:ilvl="8" w:tplc="3078EEE8">
      <w:numFmt w:val="bullet"/>
      <w:lvlText w:val="•"/>
      <w:lvlJc w:val="left"/>
      <w:pPr>
        <w:ind w:left="3996" w:hanging="361"/>
      </w:pPr>
      <w:rPr>
        <w:rFonts w:hint="default"/>
        <w:lang w:val="en-US" w:eastAsia="en-US" w:bidi="ar-SA"/>
      </w:rPr>
    </w:lvl>
  </w:abstractNum>
  <w:num w:numId="1" w16cid:durableId="12866970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singh Rathore">
    <w15:presenceInfo w15:providerId="Windows Live" w15:userId="2e1cc0b3a75c63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1C8D"/>
    <w:rsid w:val="000B00CA"/>
    <w:rsid w:val="001B222E"/>
    <w:rsid w:val="00251C8D"/>
    <w:rsid w:val="002D37EA"/>
    <w:rsid w:val="00367516"/>
    <w:rsid w:val="004B4604"/>
    <w:rsid w:val="006857E8"/>
    <w:rsid w:val="007D062B"/>
    <w:rsid w:val="008A6CF6"/>
    <w:rsid w:val="00CA55ED"/>
    <w:rsid w:val="00CF21B8"/>
    <w:rsid w:val="00F0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52E3B"/>
  <w15:docId w15:val="{8AAC37BF-6ED0-405D-80AC-C8F15A18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0"/>
      <w:outlineLvl w:val="0"/>
    </w:pPr>
    <w:rPr>
      <w:b/>
      <w:bCs/>
      <w:sz w:val="20"/>
      <w:szCs w:val="20"/>
    </w:rPr>
  </w:style>
  <w:style w:type="paragraph" w:styleId="Heading2">
    <w:name w:val="heading 2"/>
    <w:basedOn w:val="Normal"/>
    <w:uiPriority w:val="9"/>
    <w:unhideWhenUsed/>
    <w:qFormat/>
    <w:pPr>
      <w:ind w:left="139"/>
      <w:jc w:val="center"/>
      <w:outlineLvl w:val="1"/>
    </w:pPr>
    <w:rPr>
      <w:b/>
      <w:bCs/>
      <w:sz w:val="20"/>
      <w:szCs w:val="20"/>
    </w:rPr>
  </w:style>
  <w:style w:type="paragraph" w:styleId="Heading3">
    <w:name w:val="heading 3"/>
    <w:basedOn w:val="Normal"/>
    <w:uiPriority w:val="9"/>
    <w:unhideWhenUsed/>
    <w:qFormat/>
    <w:pPr>
      <w:ind w:left="170"/>
      <w:jc w:val="both"/>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38"/>
      <w:ind w:left="248" w:right="112"/>
      <w:jc w:val="center"/>
    </w:pPr>
    <w:rPr>
      <w:b/>
      <w:bCs/>
      <w:sz w:val="32"/>
      <w:szCs w:val="32"/>
    </w:rPr>
  </w:style>
  <w:style w:type="paragraph" w:styleId="ListParagraph">
    <w:name w:val="List Paragraph"/>
    <w:basedOn w:val="Normal"/>
    <w:uiPriority w:val="1"/>
    <w:qFormat/>
    <w:pPr>
      <w:ind w:left="530" w:right="29" w:hanging="361"/>
      <w:jc w:val="both"/>
    </w:pPr>
  </w:style>
  <w:style w:type="paragraph" w:customStyle="1" w:styleId="TableParagraph">
    <w:name w:val="Table Paragraph"/>
    <w:basedOn w:val="Normal"/>
    <w:uiPriority w:val="1"/>
    <w:qFormat/>
    <w:pPr>
      <w:spacing w:line="210" w:lineRule="exact"/>
      <w:ind w:left="107"/>
    </w:pPr>
  </w:style>
  <w:style w:type="paragraph" w:styleId="Header">
    <w:name w:val="header"/>
    <w:basedOn w:val="Normal"/>
    <w:link w:val="HeaderChar"/>
    <w:uiPriority w:val="99"/>
    <w:unhideWhenUsed/>
    <w:rsid w:val="000B00CA"/>
    <w:pPr>
      <w:tabs>
        <w:tab w:val="center" w:pos="4680"/>
        <w:tab w:val="right" w:pos="9360"/>
      </w:tabs>
    </w:pPr>
  </w:style>
  <w:style w:type="character" w:customStyle="1" w:styleId="HeaderChar">
    <w:name w:val="Header Char"/>
    <w:basedOn w:val="DefaultParagraphFont"/>
    <w:link w:val="Header"/>
    <w:uiPriority w:val="99"/>
    <w:rsid w:val="000B00CA"/>
    <w:rPr>
      <w:rFonts w:ascii="Times New Roman" w:eastAsia="Times New Roman" w:hAnsi="Times New Roman" w:cs="Times New Roman"/>
    </w:rPr>
  </w:style>
  <w:style w:type="paragraph" w:styleId="Footer">
    <w:name w:val="footer"/>
    <w:basedOn w:val="Normal"/>
    <w:link w:val="FooterChar"/>
    <w:uiPriority w:val="99"/>
    <w:unhideWhenUsed/>
    <w:rsid w:val="000B00CA"/>
    <w:pPr>
      <w:tabs>
        <w:tab w:val="center" w:pos="4680"/>
        <w:tab w:val="right" w:pos="9360"/>
      </w:tabs>
    </w:pPr>
  </w:style>
  <w:style w:type="character" w:customStyle="1" w:styleId="FooterChar">
    <w:name w:val="Footer Char"/>
    <w:basedOn w:val="DefaultParagraphFont"/>
    <w:link w:val="Footer"/>
    <w:uiPriority w:val="99"/>
    <w:rsid w:val="000B00C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6CF6"/>
    <w:rPr>
      <w:sz w:val="16"/>
      <w:szCs w:val="16"/>
    </w:rPr>
  </w:style>
  <w:style w:type="paragraph" w:styleId="CommentText">
    <w:name w:val="annotation text"/>
    <w:basedOn w:val="Normal"/>
    <w:link w:val="CommentTextChar"/>
    <w:uiPriority w:val="99"/>
    <w:semiHidden/>
    <w:unhideWhenUsed/>
    <w:rsid w:val="008A6CF6"/>
    <w:rPr>
      <w:sz w:val="20"/>
      <w:szCs w:val="20"/>
    </w:rPr>
  </w:style>
  <w:style w:type="character" w:customStyle="1" w:styleId="CommentTextChar">
    <w:name w:val="Comment Text Char"/>
    <w:basedOn w:val="DefaultParagraphFont"/>
    <w:link w:val="CommentText"/>
    <w:uiPriority w:val="99"/>
    <w:semiHidden/>
    <w:rsid w:val="008A6C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CF6"/>
    <w:rPr>
      <w:b/>
      <w:bCs/>
    </w:rPr>
  </w:style>
  <w:style w:type="character" w:customStyle="1" w:styleId="CommentSubjectChar">
    <w:name w:val="Comment Subject Char"/>
    <w:basedOn w:val="CommentTextChar"/>
    <w:link w:val="CommentSubject"/>
    <w:uiPriority w:val="99"/>
    <w:semiHidden/>
    <w:rsid w:val="008A6CF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png"/><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2525</Words>
  <Characters>13590</Characters>
  <Application>Microsoft Office Word</Application>
  <DocSecurity>0</DocSecurity>
  <Lines>522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abc;p</dc:creator>
  <cp:lastModifiedBy>Abhishek singh Rathore</cp:lastModifiedBy>
  <cp:revision>4</cp:revision>
  <dcterms:created xsi:type="dcterms:W3CDTF">2025-02-18T05:19:00Z</dcterms:created>
  <dcterms:modified xsi:type="dcterms:W3CDTF">2025-02-21T06:39:00Z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2013</vt:lpwstr>
  </property>
  <property fmtid="{D5CDD505-2E9C-101B-9397-08002B2CF9AE}" pid="4" name="LastSaved">
    <vt:filetime>2025-02-18T00:00:00Z</vt:filetime>
  </property>
  <property fmtid="{D5CDD505-2E9C-101B-9397-08002B2CF9AE}" pid="5" name="Producer">
    <vt:lpwstr>Microsoft® Word 2013</vt:lpwstr>
  </property>
  <property fmtid="{D5CDD505-2E9C-101B-9397-08002B2CF9AE}" pid="6" name="GrammarlyDocumentId">
    <vt:lpwstr>83783a3f1e278bf30de81f50f9258f5b29188781aab2f07f7367f05d09e4d9f4</vt:lpwstr>
  </property>
</Properties>
</file>