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079F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079F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5079F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079F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79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079F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E7F02E9" w:rsidR="0000007A" w:rsidRPr="005079F3" w:rsidRDefault="00D51EB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A6A01" w:rsidRPr="005079F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5079F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079F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79F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7F820D1" w:rsidR="0000007A" w:rsidRPr="005079F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07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07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07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44C81" w:rsidRPr="00507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4647</w:t>
            </w:r>
          </w:p>
        </w:tc>
      </w:tr>
      <w:tr w:rsidR="0000007A" w:rsidRPr="005079F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079F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79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AD6F346" w:rsidR="0000007A" w:rsidRPr="005079F3" w:rsidRDefault="004A6A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079F3">
              <w:rPr>
                <w:rFonts w:ascii="Arial" w:hAnsi="Arial" w:cs="Arial"/>
                <w:b/>
                <w:sz w:val="20"/>
                <w:szCs w:val="20"/>
                <w:lang w:val="en-GB"/>
              </w:rPr>
              <w:t>Temperature and Cultivar Influence on Enzyme Activity and Composition of the Microbial Community in the Rhizosphere of Sweet Potato during Early Growth Stage</w:t>
            </w:r>
          </w:p>
        </w:tc>
      </w:tr>
      <w:tr w:rsidR="00CF0BBB" w:rsidRPr="005079F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079F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79F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DDBABB6" w:rsidR="00CF0BBB" w:rsidRPr="005079F3" w:rsidRDefault="00644C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079F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079F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5079F3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5079F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079F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079F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079F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079F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079F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34CF7F1E" w:rsidR="00640538" w:rsidRPr="005079F3" w:rsidRDefault="00B53956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079F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49E6C2E4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5080" r="1270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08490FC1" w:rsidR="00E03C32" w:rsidRDefault="004A6A01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4A6A0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International Journal of Environment and Climate Change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</w:t>
                            </w:r>
                            <w:r w:rsidRPr="004A6A0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4A6A0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326-342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4A6A0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05288409" w:rsidR="00E03C32" w:rsidRPr="007B54A4" w:rsidRDefault="004A6A01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</w:t>
                            </w:r>
                            <w:r w:rsidR="005757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6D41FE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https://doi.org/10.9734/ijecc/2025/v15i24730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08490FC1" w:rsidR="00E03C32" w:rsidRDefault="004A6A01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4A6A0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International Journal of Environment and Climate Change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</w:t>
                      </w:r>
                      <w:r w:rsidRPr="004A6A0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4A6A0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326-342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4A6A0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05288409" w:rsidR="00E03C32" w:rsidRPr="007B54A4" w:rsidRDefault="004A6A01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</w:t>
                      </w:r>
                      <w:r w:rsidR="005757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 w:rsidRPr="006D41FE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https://doi.org/10.9734/ijecc/2025/v15i24730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5079F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079F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079F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9810"/>
        <w:gridCol w:w="5455"/>
      </w:tblGrid>
      <w:tr w:rsidR="00F1171E" w:rsidRPr="005079F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079F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5079F3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5079F3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5079F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079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079F3" w14:paraId="5EA12279" w14:textId="77777777" w:rsidTr="005079F3">
        <w:tc>
          <w:tcPr>
            <w:tcW w:w="1354" w:type="pct"/>
            <w:noWrap/>
          </w:tcPr>
          <w:p w14:paraId="7AE9682F" w14:textId="77777777" w:rsidR="00F1171E" w:rsidRPr="005079F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343" w:type="pct"/>
          </w:tcPr>
          <w:p w14:paraId="5B8DBE06" w14:textId="77777777" w:rsidR="00F1171E" w:rsidRPr="005079F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079F3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74F73B33" w:rsidR="00421DBF" w:rsidRPr="005079F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9F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303" w:type="pct"/>
          </w:tcPr>
          <w:p w14:paraId="57792C30" w14:textId="77777777" w:rsidR="00F1171E" w:rsidRPr="005079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079F3">
              <w:rPr>
                <w:rFonts w:ascii="Arial" w:hAnsi="Arial" w:cs="Arial"/>
                <w:lang w:val="en-GB"/>
              </w:rPr>
              <w:t>Author’s Feedback</w:t>
            </w:r>
            <w:r w:rsidRPr="005079F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079F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079F3" w14:paraId="5C0AB4EC" w14:textId="77777777" w:rsidTr="005079F3">
        <w:trPr>
          <w:trHeight w:val="77"/>
        </w:trPr>
        <w:tc>
          <w:tcPr>
            <w:tcW w:w="1354" w:type="pct"/>
            <w:noWrap/>
          </w:tcPr>
          <w:p w14:paraId="66B47184" w14:textId="48030299" w:rsidR="00F1171E" w:rsidRPr="005079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7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079F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43" w:type="pct"/>
          </w:tcPr>
          <w:p w14:paraId="7DBC9196" w14:textId="0F57D533" w:rsidR="00F1171E" w:rsidRPr="005079F3" w:rsidRDefault="00DE34FC" w:rsidP="00FF13B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7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“Temperature and Cultivar Influence on Enzyme Activity and Composition of the Microbial Community in the Rhizosphere of Sweet Potato during Early Growth Stage” showed the s</w:t>
            </w:r>
            <w:r w:rsidR="00FF13BA" w:rsidRPr="00507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ignificance about rhizosphere population</w:t>
            </w:r>
            <w:r w:rsidRPr="00507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F13BA" w:rsidRPr="00507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changes in biochemical parameters under influence of temperature.</w:t>
            </w:r>
          </w:p>
        </w:tc>
        <w:tc>
          <w:tcPr>
            <w:tcW w:w="1303" w:type="pct"/>
          </w:tcPr>
          <w:p w14:paraId="462A339C" w14:textId="77777777" w:rsidR="00F1171E" w:rsidRPr="005079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79F3" w14:paraId="0D8B5B2C" w14:textId="77777777" w:rsidTr="005079F3">
        <w:trPr>
          <w:trHeight w:val="746"/>
        </w:trPr>
        <w:tc>
          <w:tcPr>
            <w:tcW w:w="1354" w:type="pct"/>
            <w:noWrap/>
          </w:tcPr>
          <w:p w14:paraId="21CBA5FE" w14:textId="77777777" w:rsidR="00F1171E" w:rsidRPr="005079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7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079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7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079F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343" w:type="pct"/>
          </w:tcPr>
          <w:p w14:paraId="794AA9A7" w14:textId="39FCF910" w:rsidR="00F1171E" w:rsidRPr="005079F3" w:rsidRDefault="00FF13B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7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303" w:type="pct"/>
          </w:tcPr>
          <w:p w14:paraId="405B6701" w14:textId="77777777" w:rsidR="00F1171E" w:rsidRPr="005079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79F3" w14:paraId="5604762A" w14:textId="77777777" w:rsidTr="005079F3">
        <w:trPr>
          <w:trHeight w:val="710"/>
        </w:trPr>
        <w:tc>
          <w:tcPr>
            <w:tcW w:w="1354" w:type="pct"/>
            <w:noWrap/>
          </w:tcPr>
          <w:p w14:paraId="3635573D" w14:textId="77777777" w:rsidR="00F1171E" w:rsidRPr="005079F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079F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079F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343" w:type="pct"/>
          </w:tcPr>
          <w:p w14:paraId="0FB7E83A" w14:textId="38EBAF2F" w:rsidR="00F1171E" w:rsidRPr="005079F3" w:rsidRDefault="00FF13B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7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303" w:type="pct"/>
          </w:tcPr>
          <w:p w14:paraId="1D54B730" w14:textId="77777777" w:rsidR="00F1171E" w:rsidRPr="005079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79F3" w14:paraId="2F579F54" w14:textId="77777777" w:rsidTr="005079F3">
        <w:trPr>
          <w:trHeight w:val="859"/>
        </w:trPr>
        <w:tc>
          <w:tcPr>
            <w:tcW w:w="1354" w:type="pct"/>
            <w:noWrap/>
          </w:tcPr>
          <w:p w14:paraId="04361F46" w14:textId="368783AB" w:rsidR="00F1171E" w:rsidRPr="005079F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07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343" w:type="pct"/>
          </w:tcPr>
          <w:p w14:paraId="3395C371" w14:textId="62353A4B" w:rsidR="00FF13BA" w:rsidRPr="005079F3" w:rsidRDefault="00FF13BA" w:rsidP="00FF13BA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07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 has collected the </w:t>
            </w:r>
            <w:r w:rsidRPr="005079F3">
              <w:rPr>
                <w:rFonts w:ascii="Arial" w:eastAsia="Calibri" w:hAnsi="Arial" w:cs="Arial"/>
                <w:b/>
                <w:sz w:val="20"/>
                <w:szCs w:val="20"/>
              </w:rPr>
              <w:t>rhizosphere samples 65 days after planting (65 DAP) from both cultivars were collected. The microbial composition, including bacterial 16S rDNA and fungal ITS (Internal Transcribed Spacer), was analyzed using a standard DNA-Based Quantitative Technique The extracellular enzymes, Acid Phosphatases (P-acid), β-Glucosidase (GLU), N-</w:t>
            </w:r>
            <w:proofErr w:type="spellStart"/>
            <w:r w:rsidRPr="005079F3">
              <w:rPr>
                <w:rFonts w:ascii="Arial" w:eastAsia="Calibri" w:hAnsi="Arial" w:cs="Arial"/>
                <w:b/>
                <w:sz w:val="20"/>
                <w:szCs w:val="20"/>
              </w:rPr>
              <w:t>acetylglucosaminidase</w:t>
            </w:r>
            <w:proofErr w:type="spellEnd"/>
            <w:r w:rsidRPr="005079F3">
              <w:rPr>
                <w:rFonts w:ascii="Arial" w:eastAsia="Calibri" w:hAnsi="Arial" w:cs="Arial"/>
                <w:b/>
                <w:sz w:val="20"/>
                <w:szCs w:val="20"/>
              </w:rPr>
              <w:t xml:space="preserve"> (β-NAG) and phosphodiesterase (DIEST) were analyzed using fluorometric microplate enzyme assays. </w:t>
            </w:r>
            <w:r w:rsidRPr="005079F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But, the author could assessed the rhizosphere soil samples </w:t>
            </w:r>
            <w:r w:rsidR="00B53956" w:rsidRPr="005079F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before sowing the crop </w:t>
            </w:r>
            <w:r w:rsidRPr="005079F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for above parameters (microbial composition, including bacterial 16S rDNA and fungal ITS (Internal Transcribed Spacer, extracellular enzymes, Acid Phosphatases (P-acid), β-Glucosidase (GLU), N-</w:t>
            </w:r>
            <w:proofErr w:type="spellStart"/>
            <w:r w:rsidRPr="005079F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acetylglucosaminidase</w:t>
            </w:r>
            <w:proofErr w:type="spellEnd"/>
            <w:r w:rsidRPr="005079F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(β-NAG) and phosphodiesterase (DIEST) were analyzed using fluorometric microplate enzyme assays). This data is missing in the manuscript.</w:t>
            </w:r>
          </w:p>
          <w:p w14:paraId="2B5A7721" w14:textId="44AC65C8" w:rsidR="00FF13BA" w:rsidRPr="005079F3" w:rsidRDefault="00FF13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03" w:type="pct"/>
          </w:tcPr>
          <w:p w14:paraId="4898F764" w14:textId="77777777" w:rsidR="00F1171E" w:rsidRPr="005079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79F3" w14:paraId="73739464" w14:textId="77777777" w:rsidTr="005079F3">
        <w:trPr>
          <w:trHeight w:val="703"/>
        </w:trPr>
        <w:tc>
          <w:tcPr>
            <w:tcW w:w="1354" w:type="pct"/>
            <w:noWrap/>
          </w:tcPr>
          <w:p w14:paraId="09C25322" w14:textId="77777777" w:rsidR="00F1171E" w:rsidRPr="005079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7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079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079F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343" w:type="pct"/>
          </w:tcPr>
          <w:p w14:paraId="24FE0567" w14:textId="24C4220F" w:rsidR="00F1171E" w:rsidRPr="005079F3" w:rsidRDefault="00FF13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7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303" w:type="pct"/>
          </w:tcPr>
          <w:p w14:paraId="40220055" w14:textId="77777777" w:rsidR="00F1171E" w:rsidRPr="005079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79F3" w14:paraId="73CC4A50" w14:textId="77777777" w:rsidTr="005079F3">
        <w:trPr>
          <w:trHeight w:val="386"/>
        </w:trPr>
        <w:tc>
          <w:tcPr>
            <w:tcW w:w="1354" w:type="pct"/>
            <w:noWrap/>
          </w:tcPr>
          <w:p w14:paraId="029CE8D0" w14:textId="77777777" w:rsidR="00F1171E" w:rsidRPr="005079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079F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079F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079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3" w:type="pct"/>
          </w:tcPr>
          <w:p w14:paraId="6CBA4B2A" w14:textId="4AB934B0" w:rsidR="00F1171E" w:rsidRPr="005079F3" w:rsidRDefault="00FF13B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79F3">
              <w:rPr>
                <w:rFonts w:ascii="Arial" w:hAnsi="Arial" w:cs="Arial"/>
                <w:sz w:val="20"/>
                <w:szCs w:val="20"/>
                <w:lang w:val="en-GB"/>
              </w:rPr>
              <w:t>Suitable</w:t>
            </w:r>
          </w:p>
          <w:p w14:paraId="41E28118" w14:textId="77777777" w:rsidR="00F1171E" w:rsidRPr="005079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079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079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03" w:type="pct"/>
          </w:tcPr>
          <w:p w14:paraId="0351CA58" w14:textId="77777777" w:rsidR="00F1171E" w:rsidRPr="005079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079F3" w14:paraId="20A16C0C" w14:textId="77777777" w:rsidTr="005079F3">
        <w:trPr>
          <w:trHeight w:val="77"/>
        </w:trPr>
        <w:tc>
          <w:tcPr>
            <w:tcW w:w="1354" w:type="pct"/>
            <w:noWrap/>
          </w:tcPr>
          <w:p w14:paraId="7F4BCFAE" w14:textId="77777777" w:rsidR="00F1171E" w:rsidRPr="005079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079F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079F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079F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079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343" w:type="pct"/>
          </w:tcPr>
          <w:p w14:paraId="15DFD0E8" w14:textId="77777777" w:rsidR="00F1171E" w:rsidRPr="005079F3" w:rsidRDefault="00F1171E" w:rsidP="00043E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03" w:type="pct"/>
          </w:tcPr>
          <w:p w14:paraId="465E098E" w14:textId="77777777" w:rsidR="00F1171E" w:rsidRPr="005079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32DCA59" w14:textId="7CBBD6C1" w:rsidR="00867610" w:rsidRPr="005079F3" w:rsidRDefault="0086761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5079F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079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079F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079F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079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079F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079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079F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079F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079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079F3">
              <w:rPr>
                <w:rFonts w:ascii="Arial" w:hAnsi="Arial" w:cs="Arial"/>
                <w:lang w:val="en-GB"/>
              </w:rPr>
              <w:t>Author’s comment</w:t>
            </w:r>
            <w:r w:rsidRPr="005079F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079F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079F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079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079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079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079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079F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3F0D46E3" w14:textId="2F0A48B5" w:rsidR="00F1171E" w:rsidRPr="005079F3" w:rsidRDefault="00B53956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79F3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7B654B67" w14:textId="77777777" w:rsidR="00F1171E" w:rsidRPr="005079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079F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079F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079F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079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4D2A9C74" w:rsidR="004C3DF1" w:rsidRPr="005079F3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17A8ECB" w14:textId="77777777" w:rsidR="005079F3" w:rsidRPr="005079F3" w:rsidRDefault="005079F3" w:rsidP="005079F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079F3">
        <w:rPr>
          <w:rFonts w:ascii="Arial" w:hAnsi="Arial" w:cs="Arial"/>
          <w:b/>
          <w:u w:val="single"/>
        </w:rPr>
        <w:t>Reviewer details:</w:t>
      </w:r>
    </w:p>
    <w:p w14:paraId="25C4CE2D" w14:textId="77777777" w:rsidR="005079F3" w:rsidRPr="005079F3" w:rsidRDefault="005079F3" w:rsidP="005079F3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0A265251" w14:textId="7B30A937" w:rsidR="005079F3" w:rsidRPr="005079F3" w:rsidRDefault="005079F3" w:rsidP="005079F3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5079F3">
        <w:rPr>
          <w:rFonts w:ascii="Arial" w:hAnsi="Arial" w:cs="Arial"/>
          <w:color w:val="000000"/>
        </w:rPr>
        <w:t>Shrey</w:t>
      </w:r>
      <w:proofErr w:type="spellEnd"/>
      <w:r w:rsidRPr="005079F3">
        <w:rPr>
          <w:rFonts w:ascii="Arial" w:hAnsi="Arial" w:cs="Arial"/>
          <w:color w:val="000000"/>
        </w:rPr>
        <w:t xml:space="preserve"> </w:t>
      </w:r>
      <w:proofErr w:type="spellStart"/>
      <w:r w:rsidRPr="005079F3">
        <w:rPr>
          <w:rFonts w:ascii="Arial" w:hAnsi="Arial" w:cs="Arial"/>
          <w:color w:val="000000"/>
        </w:rPr>
        <w:t>Bodhankar</w:t>
      </w:r>
      <w:proofErr w:type="spellEnd"/>
      <w:r w:rsidRPr="005079F3">
        <w:rPr>
          <w:rFonts w:ascii="Arial" w:hAnsi="Arial" w:cs="Arial"/>
          <w:color w:val="000000"/>
        </w:rPr>
        <w:t>, Anurag University, India</w:t>
      </w:r>
    </w:p>
    <w:bookmarkEnd w:id="0"/>
    <w:p w14:paraId="76C0EF2B" w14:textId="77777777" w:rsidR="005079F3" w:rsidRPr="005079F3" w:rsidRDefault="005079F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079F3" w:rsidRPr="005079F3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1059E" w14:textId="77777777" w:rsidR="00D51EBE" w:rsidRPr="0000007A" w:rsidRDefault="00D51EBE" w:rsidP="0099583E">
      <w:r>
        <w:separator/>
      </w:r>
    </w:p>
  </w:endnote>
  <w:endnote w:type="continuationSeparator" w:id="0">
    <w:p w14:paraId="42F6BC0F" w14:textId="77777777" w:rsidR="00D51EBE" w:rsidRPr="0000007A" w:rsidRDefault="00D51EB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65A60" w14:textId="77777777" w:rsidR="00D51EBE" w:rsidRPr="0000007A" w:rsidRDefault="00D51EBE" w:rsidP="0099583E">
      <w:r>
        <w:separator/>
      </w:r>
    </w:p>
  </w:footnote>
  <w:footnote w:type="continuationSeparator" w:id="0">
    <w:p w14:paraId="30701797" w14:textId="77777777" w:rsidR="00D51EBE" w:rsidRPr="0000007A" w:rsidRDefault="00D51EB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3EE8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0107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6A01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79F3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4C81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5337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610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C79F1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3956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1EBE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34FC"/>
    <w:rsid w:val="00DE7D30"/>
    <w:rsid w:val="00DF04E3"/>
    <w:rsid w:val="00E03C32"/>
    <w:rsid w:val="00E242CA"/>
    <w:rsid w:val="00E3111A"/>
    <w:rsid w:val="00E426C9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E34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5079F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ijecc/2025/v15i247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9734/ijecc/2025/v15i247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</cp:revision>
  <dcterms:created xsi:type="dcterms:W3CDTF">2025-02-25T05:45:00Z</dcterms:created>
  <dcterms:modified xsi:type="dcterms:W3CDTF">2025-03-26T04:56:00Z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