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5766"/>
      </w:tblGrid>
      <w:tr w:rsidR="00602F7D" w:rsidRPr="00D872D9" w14:paraId="1643A4CA" w14:textId="77777777" w:rsidTr="00D872D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872D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872D9" w14:paraId="127EAD7E" w14:textId="77777777" w:rsidTr="00D872D9">
        <w:trPr>
          <w:trHeight w:val="413"/>
        </w:trPr>
        <w:tc>
          <w:tcPr>
            <w:tcW w:w="1282" w:type="pct"/>
          </w:tcPr>
          <w:p w14:paraId="3C159AA5" w14:textId="77777777" w:rsidR="0000007A" w:rsidRPr="00D872D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72D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872D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8D3EC59" w:rsidR="0000007A" w:rsidRPr="00D872D9" w:rsidRDefault="00AD790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314DB" w:rsidRPr="00D872D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D872D9" w14:paraId="73C90375" w14:textId="77777777" w:rsidTr="00D872D9">
        <w:trPr>
          <w:trHeight w:val="290"/>
        </w:trPr>
        <w:tc>
          <w:tcPr>
            <w:tcW w:w="1282" w:type="pct"/>
          </w:tcPr>
          <w:p w14:paraId="20D28135" w14:textId="77777777" w:rsidR="0000007A" w:rsidRPr="00D872D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72D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EFC5939" w:rsidR="0000007A" w:rsidRPr="00D872D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87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87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87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314DB" w:rsidRPr="00D87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4703</w:t>
            </w:r>
          </w:p>
        </w:tc>
      </w:tr>
      <w:tr w:rsidR="0000007A" w:rsidRPr="00D872D9" w14:paraId="05B60576" w14:textId="77777777" w:rsidTr="00D872D9">
        <w:trPr>
          <w:trHeight w:val="331"/>
        </w:trPr>
        <w:tc>
          <w:tcPr>
            <w:tcW w:w="1282" w:type="pct"/>
          </w:tcPr>
          <w:p w14:paraId="0196A627" w14:textId="77777777" w:rsidR="0000007A" w:rsidRPr="00D872D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72D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2067ED5" w:rsidR="0000007A" w:rsidRPr="00D872D9" w:rsidRDefault="00B314D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872D9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Effects of Luminal Α-Glucosidase Inhibition on Insulin-Linked Enzymes of Energy Metabolism</w:t>
            </w:r>
          </w:p>
        </w:tc>
      </w:tr>
      <w:tr w:rsidR="00CF0BBB" w:rsidRPr="00D872D9" w14:paraId="6D508B1C" w14:textId="77777777" w:rsidTr="00D872D9">
        <w:trPr>
          <w:trHeight w:val="332"/>
        </w:trPr>
        <w:tc>
          <w:tcPr>
            <w:tcW w:w="1282" w:type="pct"/>
          </w:tcPr>
          <w:p w14:paraId="32FC28F7" w14:textId="77777777" w:rsidR="00CF0BBB" w:rsidRPr="00D872D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72D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7BA2310" w:rsidR="00CF0BBB" w:rsidRPr="00D872D9" w:rsidRDefault="00B314D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872D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872D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872D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D872D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872D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872D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872D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872D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872D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872D9" w:rsidRDefault="00AD790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872D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8B32DC5" w14:textId="2BF154BD" w:rsidR="00B314DB" w:rsidRDefault="00B314DB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 w:rsidRPr="00B314D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SunText</w:t>
                  </w:r>
                  <w:proofErr w:type="spellEnd"/>
                  <w:r w:rsidRPr="00B314D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Review of Medical &amp; Clinical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B314DB">
                    <w:t xml:space="preserve"> </w:t>
                  </w:r>
                  <w:r w:rsidRPr="00B314D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6, Issue 1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Page 1-8, 2025</w:t>
                  </w:r>
                </w:p>
                <w:p w14:paraId="57E24C8C" w14:textId="71D55CDA" w:rsidR="00E03C32" w:rsidRPr="007B54A4" w:rsidRDefault="00AD790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B314DB" w:rsidRPr="00714B7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https://suntextreviews.org/doi/full/10.51737/2766-4813.2025.119</w:t>
                    </w:r>
                  </w:hyperlink>
                  <w:r w:rsidR="00B314D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872D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872D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872D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872D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872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872D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872D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872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872D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872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D872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872D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D872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872D9">
              <w:rPr>
                <w:rFonts w:ascii="Arial" w:hAnsi="Arial" w:cs="Arial"/>
                <w:lang w:val="en-GB"/>
              </w:rPr>
              <w:t>Author’s Feedback</w:t>
            </w:r>
            <w:r w:rsidRPr="00D872D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872D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872D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D872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7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872D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3707F3A" w:rsidR="00F1171E" w:rsidRPr="00D872D9" w:rsidRDefault="00E866C9" w:rsidP="00E866C9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872D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This manuscript </w:t>
            </w:r>
            <w:proofErr w:type="gramStart"/>
            <w:r w:rsidRPr="00D872D9">
              <w:rPr>
                <w:rFonts w:ascii="Arial" w:hAnsi="Arial" w:cs="Arial"/>
                <w:bCs/>
                <w:sz w:val="20"/>
                <w:szCs w:val="20"/>
                <w:lang w:val="en-GB"/>
              </w:rPr>
              <w:t>contain</w:t>
            </w:r>
            <w:proofErr w:type="gramEnd"/>
            <w:r w:rsidRPr="00D872D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findings regarding the effects of α-glucosidase inhibition via miglitol on </w:t>
            </w:r>
            <w:proofErr w:type="spellStart"/>
            <w:r w:rsidRPr="00D872D9">
              <w:rPr>
                <w:rFonts w:ascii="Arial" w:hAnsi="Arial" w:cs="Arial"/>
                <w:bCs/>
                <w:sz w:val="20"/>
                <w:szCs w:val="20"/>
                <w:lang w:val="en-GB"/>
              </w:rPr>
              <w:t>glycemic</w:t>
            </w:r>
            <w:proofErr w:type="spellEnd"/>
            <w:r w:rsidRPr="00D872D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lipogenic enzyme activities in an obese Type 2 Diabetes Mellitus (T2DM) rat model. Given the global rise in obesity and T2DM, the understanding of pharmacological interventions that modulate metabolic pathways is important. This study’s emphasis on insulin-linked enzymatic changes that show the potential therapeutic strategies for management of </w:t>
            </w:r>
            <w:proofErr w:type="spellStart"/>
            <w:r w:rsidRPr="00D872D9">
              <w:rPr>
                <w:rFonts w:ascii="Arial" w:hAnsi="Arial" w:cs="Arial"/>
                <w:bCs/>
                <w:sz w:val="20"/>
                <w:szCs w:val="20"/>
                <w:lang w:val="en-GB"/>
              </w:rPr>
              <w:t>hyperglycemia</w:t>
            </w:r>
            <w:proofErr w:type="spellEnd"/>
            <w:r w:rsidRPr="00D872D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lipid metabolism. </w:t>
            </w:r>
          </w:p>
        </w:tc>
        <w:tc>
          <w:tcPr>
            <w:tcW w:w="1523" w:type="pct"/>
          </w:tcPr>
          <w:p w14:paraId="462A339C" w14:textId="77777777" w:rsidR="00F1171E" w:rsidRPr="00D872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872D9" w14:paraId="0D8B5B2C" w14:textId="77777777" w:rsidTr="001C17E2">
        <w:trPr>
          <w:trHeight w:val="755"/>
        </w:trPr>
        <w:tc>
          <w:tcPr>
            <w:tcW w:w="1265" w:type="pct"/>
            <w:noWrap/>
          </w:tcPr>
          <w:p w14:paraId="21CBA5FE" w14:textId="77777777" w:rsidR="00F1171E" w:rsidRPr="00D872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7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872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7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872D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6BB02E4" w:rsidR="00F1171E" w:rsidRPr="00D872D9" w:rsidRDefault="00E866C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7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current title is suitable </w:t>
            </w:r>
          </w:p>
        </w:tc>
        <w:tc>
          <w:tcPr>
            <w:tcW w:w="1523" w:type="pct"/>
          </w:tcPr>
          <w:p w14:paraId="405B6701" w14:textId="77777777" w:rsidR="00F1171E" w:rsidRPr="00D872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872D9" w14:paraId="5604762A" w14:textId="77777777" w:rsidTr="001C17E2">
        <w:trPr>
          <w:trHeight w:val="890"/>
        </w:trPr>
        <w:tc>
          <w:tcPr>
            <w:tcW w:w="1265" w:type="pct"/>
            <w:noWrap/>
          </w:tcPr>
          <w:p w14:paraId="3635573D" w14:textId="77777777" w:rsidR="00F1171E" w:rsidRPr="00D872D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872D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872D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DB0AA68" w14:textId="77777777" w:rsidR="00F1171E" w:rsidRPr="00D872D9" w:rsidRDefault="00E866C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7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Statistical p-values for major findings should be mentioned.</w:t>
            </w:r>
          </w:p>
          <w:p w14:paraId="0FB7E83A" w14:textId="6B63D194" w:rsidR="00E866C9" w:rsidRPr="00D872D9" w:rsidRDefault="00E866C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7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Highlight implications for future research or clinical applications.</w:t>
            </w:r>
          </w:p>
        </w:tc>
        <w:tc>
          <w:tcPr>
            <w:tcW w:w="1523" w:type="pct"/>
          </w:tcPr>
          <w:p w14:paraId="1D54B730" w14:textId="77777777" w:rsidR="00F1171E" w:rsidRPr="00D872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872D9" w14:paraId="2F579F54" w14:textId="77777777" w:rsidTr="001C17E2">
        <w:trPr>
          <w:trHeight w:val="602"/>
        </w:trPr>
        <w:tc>
          <w:tcPr>
            <w:tcW w:w="1265" w:type="pct"/>
            <w:noWrap/>
          </w:tcPr>
          <w:p w14:paraId="04361F46" w14:textId="368783AB" w:rsidR="00F1171E" w:rsidRPr="00D872D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87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4CD941B" w:rsidR="00F1171E" w:rsidRPr="00D872D9" w:rsidRDefault="00E866C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7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D872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872D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872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7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872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872D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F25953F" w:rsidR="00F1171E" w:rsidRPr="00D872D9" w:rsidRDefault="00E866C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872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D872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872D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872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872D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872D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872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872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3C8887" w14:textId="33BCE093" w:rsidR="00E866C9" w:rsidRPr="00D872D9" w:rsidRDefault="00E866C9" w:rsidP="00E866C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72D9">
              <w:rPr>
                <w:rFonts w:ascii="Arial" w:hAnsi="Arial" w:cs="Arial"/>
                <w:sz w:val="20"/>
                <w:szCs w:val="20"/>
                <w:lang w:val="en-GB"/>
              </w:rPr>
              <w:t xml:space="preserve">Some sentences are lengthy, could be broken into shorter statements that would be </w:t>
            </w:r>
            <w:proofErr w:type="gramStart"/>
            <w:r w:rsidRPr="00D872D9">
              <w:rPr>
                <w:rFonts w:ascii="Arial" w:hAnsi="Arial" w:cs="Arial"/>
                <w:sz w:val="20"/>
                <w:szCs w:val="20"/>
                <w:lang w:val="en-GB"/>
              </w:rPr>
              <w:t>more clear</w:t>
            </w:r>
            <w:proofErr w:type="gramEnd"/>
            <w:r w:rsidRPr="00D872D9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reader.</w:t>
            </w:r>
          </w:p>
          <w:p w14:paraId="297F52DB" w14:textId="7B1EFCFD" w:rsidR="00F1171E" w:rsidRPr="00D872D9" w:rsidRDefault="00E866C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872D9">
              <w:rPr>
                <w:rFonts w:ascii="Arial" w:hAnsi="Arial" w:cs="Arial"/>
                <w:sz w:val="20"/>
                <w:szCs w:val="20"/>
                <w:lang w:val="en-GB"/>
              </w:rPr>
              <w:t>The discussion section has some redundancy that could be streamlined.</w:t>
            </w:r>
          </w:p>
          <w:p w14:paraId="149A6CEF" w14:textId="77777777" w:rsidR="00F1171E" w:rsidRPr="00D872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872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872D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872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872D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872D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872D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872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872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D872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D872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872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872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D872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D872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375E0" w:rsidRPr="00D872D9" w14:paraId="3BF990F4" w14:textId="77777777" w:rsidTr="00DF3FC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AAA1" w14:textId="77777777" w:rsidR="00C375E0" w:rsidRPr="00D872D9" w:rsidRDefault="00C375E0" w:rsidP="00C375E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872D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872D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75CBE33" w14:textId="77777777" w:rsidR="00C375E0" w:rsidRPr="00D872D9" w:rsidRDefault="00C375E0" w:rsidP="00C375E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375E0" w:rsidRPr="00D872D9" w14:paraId="62EA9760" w14:textId="77777777" w:rsidTr="00DF3FC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AC62A" w14:textId="77777777" w:rsidR="00C375E0" w:rsidRPr="00D872D9" w:rsidRDefault="00C375E0" w:rsidP="00C375E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13E2F" w14:textId="77777777" w:rsidR="00C375E0" w:rsidRPr="00D872D9" w:rsidRDefault="00C375E0" w:rsidP="00C375E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872D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B4B4D8B" w14:textId="77777777" w:rsidR="00C375E0" w:rsidRPr="00D872D9" w:rsidRDefault="00C375E0" w:rsidP="00C375E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872D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872D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872D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375E0" w:rsidRPr="00D872D9" w14:paraId="52AA489C" w14:textId="77777777" w:rsidTr="00DF3FC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E1B76" w14:textId="77777777" w:rsidR="00C375E0" w:rsidRPr="00D872D9" w:rsidRDefault="00C375E0" w:rsidP="00C375E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872D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43052B1" w14:textId="77777777" w:rsidR="00C375E0" w:rsidRPr="00D872D9" w:rsidRDefault="00C375E0" w:rsidP="00C375E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0F517" w14:textId="77777777" w:rsidR="00C375E0" w:rsidRPr="00D872D9" w:rsidRDefault="00C375E0" w:rsidP="00C375E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872D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872D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872D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D27544F" w14:textId="77777777" w:rsidR="00C375E0" w:rsidRPr="00D872D9" w:rsidRDefault="00C375E0" w:rsidP="00C375E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8DA5C8D" w14:textId="77777777" w:rsidR="00C375E0" w:rsidRPr="00D872D9" w:rsidRDefault="00C375E0" w:rsidP="00C375E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C1D5ED3" w14:textId="77777777" w:rsidR="00C375E0" w:rsidRPr="00D872D9" w:rsidRDefault="00C375E0" w:rsidP="00C375E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CB70B5" w14:textId="77777777" w:rsidR="00C375E0" w:rsidRPr="00D872D9" w:rsidRDefault="00C375E0" w:rsidP="00C375E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0AFC876" w14:textId="77777777" w:rsidR="00C375E0" w:rsidRPr="00D872D9" w:rsidRDefault="00C375E0" w:rsidP="00C375E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9B0582B" w14:textId="77777777" w:rsidR="00C375E0" w:rsidRPr="00D872D9" w:rsidRDefault="00C375E0" w:rsidP="00C375E0">
      <w:pPr>
        <w:rPr>
          <w:rFonts w:ascii="Arial" w:hAnsi="Arial" w:cs="Arial"/>
          <w:sz w:val="20"/>
          <w:szCs w:val="20"/>
        </w:rPr>
      </w:pPr>
    </w:p>
    <w:p w14:paraId="2D335F1C" w14:textId="77777777" w:rsidR="00C375E0" w:rsidRPr="00D872D9" w:rsidRDefault="00C375E0" w:rsidP="00C375E0">
      <w:pPr>
        <w:rPr>
          <w:rFonts w:ascii="Arial" w:hAnsi="Arial" w:cs="Arial"/>
          <w:sz w:val="20"/>
          <w:szCs w:val="20"/>
        </w:rPr>
      </w:pPr>
    </w:p>
    <w:p w14:paraId="26D487D2" w14:textId="77777777" w:rsidR="00C375E0" w:rsidRPr="00D872D9" w:rsidRDefault="00C375E0" w:rsidP="00C375E0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426B442D" w14:textId="77777777" w:rsidR="00C375E0" w:rsidRPr="00D872D9" w:rsidRDefault="00C375E0" w:rsidP="00C375E0">
      <w:pPr>
        <w:rPr>
          <w:rFonts w:ascii="Arial" w:hAnsi="Arial" w:cs="Arial"/>
          <w:sz w:val="20"/>
          <w:szCs w:val="20"/>
        </w:rPr>
      </w:pPr>
    </w:p>
    <w:p w14:paraId="4C0C3B06" w14:textId="77777777" w:rsidR="00D872D9" w:rsidRPr="00D872D9" w:rsidRDefault="00D872D9" w:rsidP="00D872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D872D9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Reviewer details:</w:t>
      </w:r>
    </w:p>
    <w:p w14:paraId="0C412A9A" w14:textId="77777777" w:rsidR="00D872D9" w:rsidRPr="00D872D9" w:rsidRDefault="00D872D9" w:rsidP="00D872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D872D9">
        <w:rPr>
          <w:rFonts w:ascii="Arial" w:hAnsi="Arial" w:cs="Arial"/>
          <w:b/>
          <w:bCs/>
          <w:sz w:val="20"/>
          <w:szCs w:val="20"/>
          <w:u w:val="single"/>
          <w:lang w:val="en-US"/>
        </w:rPr>
        <w:t>Muhammad Moazzam Ashraf, Federal Urdu University of Science, Pakistan</w:t>
      </w:r>
    </w:p>
    <w:p w14:paraId="702DA751" w14:textId="77777777" w:rsidR="00C375E0" w:rsidRPr="00D872D9" w:rsidRDefault="00C375E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p w14:paraId="108BE2F1" w14:textId="77777777" w:rsidR="00F1171E" w:rsidRPr="00D872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D872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D872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D872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D872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D872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D872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872D9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82D07" w14:textId="77777777" w:rsidR="00AD7908" w:rsidRPr="0000007A" w:rsidRDefault="00AD7908" w:rsidP="0099583E">
      <w:r>
        <w:separator/>
      </w:r>
    </w:p>
  </w:endnote>
  <w:endnote w:type="continuationSeparator" w:id="0">
    <w:p w14:paraId="6A822C2E" w14:textId="77777777" w:rsidR="00AD7908" w:rsidRPr="0000007A" w:rsidRDefault="00AD790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C2212" w14:textId="77777777" w:rsidR="00AD7908" w:rsidRPr="0000007A" w:rsidRDefault="00AD7908" w:rsidP="0099583E">
      <w:r>
        <w:separator/>
      </w:r>
    </w:p>
  </w:footnote>
  <w:footnote w:type="continuationSeparator" w:id="0">
    <w:p w14:paraId="50E0103A" w14:textId="77777777" w:rsidR="00AD7908" w:rsidRPr="0000007A" w:rsidRDefault="00AD790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3BBC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17E2"/>
    <w:rsid w:val="001D3A1D"/>
    <w:rsid w:val="001E477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00F5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2EED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2AE4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0BC0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4B1B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D7908"/>
    <w:rsid w:val="00AE0E9B"/>
    <w:rsid w:val="00AE54CD"/>
    <w:rsid w:val="00AF3016"/>
    <w:rsid w:val="00B03A45"/>
    <w:rsid w:val="00B2236C"/>
    <w:rsid w:val="00B22FE6"/>
    <w:rsid w:val="00B3033D"/>
    <w:rsid w:val="00B314DB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75E0"/>
    <w:rsid w:val="00C435C6"/>
    <w:rsid w:val="00C635B6"/>
    <w:rsid w:val="00C70DFC"/>
    <w:rsid w:val="00C82466"/>
    <w:rsid w:val="00C84097"/>
    <w:rsid w:val="00C95CFF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042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5122"/>
    <w:rsid w:val="00D709EB"/>
    <w:rsid w:val="00D7603E"/>
    <w:rsid w:val="00D872D9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2584C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66C9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textreviews.org/doi/full/10.51737/2766-4813.2025.1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107</cp:revision>
  <dcterms:created xsi:type="dcterms:W3CDTF">2023-08-30T09:21:00Z</dcterms:created>
  <dcterms:modified xsi:type="dcterms:W3CDTF">2025-02-26T06:42:00Z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