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0E3839" w:rsidRPr="00C02088" w:rsidTr="00C0208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E3839" w:rsidRPr="00C02088" w:rsidTr="00C02088">
        <w:trPr>
          <w:trHeight w:val="413"/>
        </w:trPr>
        <w:tc>
          <w:tcPr>
            <w:tcW w:w="1282" w:type="pct"/>
          </w:tcPr>
          <w:p w:rsidR="000E3839" w:rsidRPr="00C02088" w:rsidRDefault="00D16ED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39" w:rsidRPr="00C02088" w:rsidRDefault="00A64595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16ED9" w:rsidRPr="00C0208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E3839" w:rsidRPr="00C02088" w:rsidTr="00C02088">
        <w:trPr>
          <w:trHeight w:val="290"/>
        </w:trPr>
        <w:tc>
          <w:tcPr>
            <w:tcW w:w="1282" w:type="pct"/>
          </w:tcPr>
          <w:p w:rsidR="000E3839" w:rsidRPr="00C02088" w:rsidRDefault="00D16ED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39" w:rsidRPr="00C02088" w:rsidRDefault="00D16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Ms_BPR_4732</w:t>
            </w:r>
          </w:p>
        </w:tc>
      </w:tr>
      <w:tr w:rsidR="000E3839" w:rsidRPr="00C02088" w:rsidTr="00C02088">
        <w:trPr>
          <w:trHeight w:val="331"/>
        </w:trPr>
        <w:tc>
          <w:tcPr>
            <w:tcW w:w="1282" w:type="pct"/>
          </w:tcPr>
          <w:p w:rsidR="000E3839" w:rsidRPr="00C02088" w:rsidRDefault="00D16ED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39" w:rsidRPr="00C02088" w:rsidRDefault="00D16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02088">
              <w:rPr>
                <w:rFonts w:ascii="Arial" w:hAnsi="Arial" w:cs="Arial"/>
                <w:b/>
                <w:sz w:val="20"/>
                <w:szCs w:val="20"/>
                <w:lang w:val="en-GB"/>
              </w:rPr>
              <w:t>Racial Disparity in Quadruple Negative Breast Cancer: Aggressive Biology and Potential Therapeutic Targeting and Prevention</w:t>
            </w:r>
          </w:p>
        </w:tc>
      </w:tr>
      <w:tr w:rsidR="000E3839" w:rsidRPr="00C02088" w:rsidTr="00C02088">
        <w:trPr>
          <w:trHeight w:val="332"/>
        </w:trPr>
        <w:tc>
          <w:tcPr>
            <w:tcW w:w="1282" w:type="pct"/>
          </w:tcPr>
          <w:p w:rsidR="000E3839" w:rsidRPr="00C02088" w:rsidRDefault="00D16ED9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39" w:rsidRPr="00C02088" w:rsidRDefault="00D16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E3839" w:rsidRPr="00C02088" w:rsidRDefault="000E383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E3839" w:rsidRPr="00C02088" w:rsidRDefault="000E383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E3839" w:rsidRPr="00C02088" w:rsidRDefault="000E3839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0E3839" w:rsidRPr="00C02088" w:rsidRDefault="000E383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0E3839" w:rsidRPr="00C02088" w:rsidRDefault="00D16ED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0208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0E3839" w:rsidRPr="00C02088" w:rsidRDefault="000E3839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0E3839" w:rsidRPr="00C02088" w:rsidRDefault="00D16ED9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0208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0E3839" w:rsidRPr="00C02088" w:rsidRDefault="00A6459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0208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1026" o:spid="_x0000_s1026" style="position:absolute;left:0;text-align:left;margin-left:-9.6pt;margin-top:14.25pt;width:1071.35pt;height:124.7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0E3839" w:rsidRDefault="00D16ED9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0E3839" w:rsidRDefault="000E3839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0E3839" w:rsidRDefault="00D16ED9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0E3839" w:rsidRDefault="000E383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0E3839" w:rsidRDefault="00D16ED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Cancers, Volume 14(Issue 18): 1-15, 2022.</w:t>
                  </w:r>
                </w:p>
                <w:p w:rsidR="000E3839" w:rsidRDefault="00A64595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D16ED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https://doi.org/10.3390/cancers14184484</w:t>
                    </w:r>
                  </w:hyperlink>
                  <w:r w:rsidR="00D16ED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:rsidR="000E3839" w:rsidRPr="00C02088" w:rsidRDefault="00D16ED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0208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0E3839" w:rsidRPr="00C02088" w:rsidRDefault="000E3839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E3839" w:rsidRPr="00C0208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0E3839" w:rsidRPr="00C02088" w:rsidRDefault="00D16E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208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02088">
              <w:rPr>
                <w:rFonts w:ascii="Arial" w:hAnsi="Arial" w:cs="Arial"/>
                <w:lang w:val="en-GB"/>
              </w:rPr>
              <w:t xml:space="preserve"> Comments</w:t>
            </w: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3839" w:rsidRPr="00C02088">
        <w:tc>
          <w:tcPr>
            <w:tcW w:w="1265" w:type="pct"/>
            <w:noWrap/>
          </w:tcPr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0E3839" w:rsidRPr="00C02088" w:rsidRDefault="00D16E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208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0E3839" w:rsidRPr="00C02088" w:rsidRDefault="00D16E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2088">
              <w:rPr>
                <w:rFonts w:ascii="Arial" w:hAnsi="Arial" w:cs="Arial"/>
                <w:lang w:val="en-GB"/>
              </w:rPr>
              <w:t>Author’s Feedback</w:t>
            </w:r>
            <w:r w:rsidRPr="00C0208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208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E3839" w:rsidRPr="00C02088">
        <w:trPr>
          <w:trHeight w:val="1264"/>
        </w:trPr>
        <w:tc>
          <w:tcPr>
            <w:tcW w:w="1265" w:type="pct"/>
            <w:noWrap/>
          </w:tcPr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0E3839" w:rsidRPr="00C02088" w:rsidRDefault="000E383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E3839" w:rsidRPr="00C02088" w:rsidRDefault="00D16E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It sheds light on the emerging subtype of quadruple-negative breast cancer (QNBC) and its disproportionate impact on Black/African-American (AA) women.</w:t>
            </w:r>
          </w:p>
          <w:p w:rsidR="000E3839" w:rsidRPr="00C02088" w:rsidRDefault="00D16E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By examining both molecular distinctions and potential non-genetic risk factors, this study enhances our understanding of racial disparities in breast cancer outcomes.</w:t>
            </w:r>
          </w:p>
          <w:p w:rsidR="000E3839" w:rsidRPr="00C02088" w:rsidRDefault="00D16E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The insights provided could inform the development of targeted therapies and prevention strategies, ultimately contributing to improved survival and quality of life for Black/AA women affected by QNBC.</w:t>
            </w:r>
          </w:p>
          <w:p w:rsidR="000E3839" w:rsidRPr="00C02088" w:rsidRDefault="00D16E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This research establishes a critical foundation for future studies aimed at reducing racial disparities in breast cancer treatment and prognosis.</w:t>
            </w:r>
          </w:p>
        </w:tc>
        <w:tc>
          <w:tcPr>
            <w:tcW w:w="1523" w:type="pct"/>
          </w:tcPr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E3839" w:rsidRPr="00C02088" w:rsidTr="00F017F0">
        <w:trPr>
          <w:trHeight w:val="710"/>
        </w:trPr>
        <w:tc>
          <w:tcPr>
            <w:tcW w:w="1265" w:type="pct"/>
            <w:noWrap/>
          </w:tcPr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"Addressing Racial Disparities in Quadruple-Negative Breast Cancer: Insights into Aggressive Biology, Therapeutic Targets, and Prevention Strategies"</w:t>
            </w:r>
          </w:p>
        </w:tc>
        <w:tc>
          <w:tcPr>
            <w:tcW w:w="1523" w:type="pct"/>
          </w:tcPr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E3839" w:rsidRPr="00C02088">
        <w:trPr>
          <w:trHeight w:val="1262"/>
        </w:trPr>
        <w:tc>
          <w:tcPr>
            <w:tcW w:w="1265" w:type="pct"/>
            <w:noWrap/>
          </w:tcPr>
          <w:p w:rsidR="000E3839" w:rsidRPr="00C02088" w:rsidRDefault="00D16ED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0208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color w:val="36363D"/>
                <w:sz w:val="20"/>
                <w:szCs w:val="20"/>
              </w:rPr>
              <w:t xml:space="preserve">                              Addition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Briefly mention key molecular pathways or genetic/epigenetic modifications implicated in QNBC to strengthen the scientific basis.</w:t>
            </w:r>
          </w:p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Expand on Non-Genetic Risk Factors: Since the simple summary mentions non-genetic risk factors, briefly alluding to them in the abstract (e.g., socioeconomic, environmental, or lifestyle factors) would improve alignment.</w:t>
            </w:r>
          </w:p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Potential Therapeutic Strategies: While the abstract discusses "therapeutic targets," specifying a few promising avenues (e.g., immunotherapy, targeted drugs) could make the research direction clearer.</w:t>
            </w:r>
          </w:p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Deletion</w:t>
            </w:r>
          </w:p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The phrase "Black/AA women" appears frequently—consider rewording for better flow. Example: "QNBC likely plays a key role in survival disparities among Black/AA women."</w:t>
            </w:r>
          </w:p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="00F017F0" w:rsidRPr="00C020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Instead of stating the goal twice ("immediate goal" vs. "ultimate goal"), unify the conclusion to emphasize the impact of your findings on reducing disparities.</w:t>
            </w:r>
          </w:p>
        </w:tc>
        <w:tc>
          <w:tcPr>
            <w:tcW w:w="1523" w:type="pct"/>
          </w:tcPr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E3839" w:rsidRPr="00C02088">
        <w:trPr>
          <w:trHeight w:val="859"/>
        </w:trPr>
        <w:tc>
          <w:tcPr>
            <w:tcW w:w="1265" w:type="pct"/>
            <w:noWrap/>
          </w:tcPr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0E3839" w:rsidRPr="00C02088" w:rsidRDefault="00D16E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E3839" w:rsidRPr="00C02088">
        <w:trPr>
          <w:trHeight w:val="703"/>
        </w:trPr>
        <w:tc>
          <w:tcPr>
            <w:tcW w:w="1265" w:type="pct"/>
            <w:noWrap/>
          </w:tcPr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0E3839" w:rsidRPr="00C02088" w:rsidRDefault="00D16ED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0E3839" w:rsidRPr="00C02088" w:rsidRDefault="00D16ED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523" w:type="pct"/>
          </w:tcPr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E3839" w:rsidRPr="00C02088">
        <w:trPr>
          <w:trHeight w:val="386"/>
        </w:trPr>
        <w:tc>
          <w:tcPr>
            <w:tcW w:w="1265" w:type="pct"/>
            <w:noWrap/>
          </w:tcPr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0E3839" w:rsidRPr="00C02088" w:rsidRDefault="00D16ED9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0208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E3839" w:rsidRPr="00C02088" w:rsidRDefault="00D16ED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E3839" w:rsidRPr="00C02088">
        <w:trPr>
          <w:trHeight w:val="1178"/>
        </w:trPr>
        <w:tc>
          <w:tcPr>
            <w:tcW w:w="1265" w:type="pct"/>
            <w:noWrap/>
          </w:tcPr>
          <w:p w:rsidR="000E3839" w:rsidRPr="00C02088" w:rsidRDefault="00D16ED9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0208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0208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0208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0E3839" w:rsidRPr="00C02088" w:rsidRDefault="000E383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E3839" w:rsidRPr="00C02088" w:rsidRDefault="000E383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E3839" w:rsidRPr="00C02088" w:rsidRDefault="000E383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E3839" w:rsidRPr="00C02088" w:rsidRDefault="000E383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E3839" w:rsidRPr="00C02088" w:rsidRDefault="000E383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E3839" w:rsidRPr="00C02088" w:rsidRDefault="000E383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E3839" w:rsidRDefault="000E383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C02088" w:rsidRPr="00C02088" w:rsidRDefault="00C02088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E3839" w:rsidRPr="00C0208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39" w:rsidRPr="00C02088" w:rsidRDefault="00D16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0208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0208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E3839" w:rsidRPr="00C02088" w:rsidRDefault="000E3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E3839" w:rsidRPr="00C0208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39" w:rsidRPr="00C02088" w:rsidRDefault="000E3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3839" w:rsidRPr="00C02088" w:rsidRDefault="00D16ED9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0208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0E3839" w:rsidRPr="00C02088" w:rsidRDefault="00D16ED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02088">
              <w:rPr>
                <w:rFonts w:ascii="Arial" w:hAnsi="Arial" w:cs="Arial"/>
                <w:lang w:val="en-GB"/>
              </w:rPr>
              <w:t>Author’s comment</w:t>
            </w:r>
            <w:r w:rsidRPr="00C0208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0208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E3839" w:rsidRPr="00C0208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39" w:rsidRPr="00C02088" w:rsidRDefault="00D16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0208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E3839" w:rsidRPr="00C02088" w:rsidRDefault="000E3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3839" w:rsidRPr="00C02088" w:rsidRDefault="00D16ED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020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020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0208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0E3839" w:rsidRPr="00C02088" w:rsidRDefault="000E3839" w:rsidP="00A908D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0E3839" w:rsidRPr="00C02088" w:rsidRDefault="000E38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E3839" w:rsidRPr="00C02088" w:rsidRDefault="000E38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E3839" w:rsidRDefault="00C0208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C02088" w:rsidRPr="00C02088" w:rsidRDefault="00C02088" w:rsidP="00C02088">
      <w:pPr>
        <w:rPr>
          <w:rFonts w:ascii="Arial" w:hAnsi="Arial" w:cs="Arial"/>
          <w:b/>
          <w:sz w:val="20"/>
          <w:szCs w:val="20"/>
          <w:u w:val="single"/>
        </w:rPr>
      </w:pPr>
      <w:r w:rsidRPr="00C02088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C02088" w:rsidRPr="00C02088" w:rsidRDefault="00C02088" w:rsidP="00C02088">
      <w:pPr>
        <w:rPr>
          <w:rFonts w:ascii="Arial" w:hAnsi="Arial" w:cs="Arial"/>
          <w:b/>
          <w:sz w:val="20"/>
          <w:szCs w:val="20"/>
        </w:rPr>
      </w:pPr>
      <w:r w:rsidRPr="00C02088">
        <w:rPr>
          <w:rFonts w:ascii="Arial" w:hAnsi="Arial" w:cs="Arial"/>
          <w:b/>
          <w:sz w:val="20"/>
          <w:szCs w:val="20"/>
        </w:rPr>
        <w:t xml:space="preserve">Sadaf </w:t>
      </w:r>
      <w:proofErr w:type="spellStart"/>
      <w:r w:rsidRPr="00C02088">
        <w:rPr>
          <w:rFonts w:ascii="Arial" w:hAnsi="Arial" w:cs="Arial"/>
          <w:b/>
          <w:sz w:val="20"/>
          <w:szCs w:val="20"/>
        </w:rPr>
        <w:t>Shafi</w:t>
      </w:r>
      <w:proofErr w:type="spellEnd"/>
      <w:r w:rsidRPr="00C020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02088">
        <w:rPr>
          <w:rFonts w:ascii="Arial" w:hAnsi="Arial" w:cs="Arial"/>
          <w:b/>
          <w:sz w:val="20"/>
          <w:szCs w:val="20"/>
        </w:rPr>
        <w:t>Gadoo</w:t>
      </w:r>
      <w:proofErr w:type="spellEnd"/>
      <w:r w:rsidRPr="00C02088">
        <w:rPr>
          <w:rFonts w:ascii="Arial" w:hAnsi="Arial" w:cs="Arial"/>
          <w:b/>
          <w:sz w:val="20"/>
          <w:szCs w:val="20"/>
        </w:rPr>
        <w:t>, Government Medical College Srinagar, India</w:t>
      </w:r>
    </w:p>
    <w:p w:rsidR="00C02088" w:rsidRPr="00C02088" w:rsidRDefault="00C02088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02088" w:rsidRPr="00C0208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595" w:rsidRDefault="00A64595">
      <w:r>
        <w:separator/>
      </w:r>
    </w:p>
  </w:endnote>
  <w:endnote w:type="continuationSeparator" w:id="0">
    <w:p w:rsidR="00A64595" w:rsidRDefault="00A64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39" w:rsidRDefault="00D16ED9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595" w:rsidRDefault="00A64595">
      <w:r>
        <w:separator/>
      </w:r>
    </w:p>
  </w:footnote>
  <w:footnote w:type="continuationSeparator" w:id="0">
    <w:p w:rsidR="00A64595" w:rsidRDefault="00A64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39" w:rsidRDefault="000E383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0E3839" w:rsidRDefault="000E3839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0E3839" w:rsidRDefault="00D16ED9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A74729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839"/>
    <w:rsid w:val="000E3839"/>
    <w:rsid w:val="008E0A70"/>
    <w:rsid w:val="00A64595"/>
    <w:rsid w:val="00A908DA"/>
    <w:rsid w:val="00C02088"/>
    <w:rsid w:val="00D16ED9"/>
    <w:rsid w:val="00F0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3A82925"/>
  <w15:docId w15:val="{6D0D5403-5114-4BF7-95C1-9C5EA44A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ancers141844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554</Words>
  <Characters>3160</Characters>
  <Application>Microsoft Office Word</Application>
  <DocSecurity>0</DocSecurity>
  <Lines>26</Lines>
  <Paragraphs>7</Paragraphs>
  <ScaleCrop>false</ScaleCrop>
  <Company>HP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105</cp:revision>
  <dcterms:created xsi:type="dcterms:W3CDTF">2023-08-30T09:21:00Z</dcterms:created>
  <dcterms:modified xsi:type="dcterms:W3CDTF">2025-03-05T09:51:00Z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13659cdc0a4649bda278fbfb6d269f42</vt:lpwstr>
  </property>
</Properties>
</file>