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67F5C" w14:paraId="1643A4CA" w14:textId="77777777" w:rsidTr="00567F5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67F5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67F5C" w14:paraId="127EAD7E" w14:textId="77777777" w:rsidTr="00567F5C">
        <w:trPr>
          <w:trHeight w:val="413"/>
        </w:trPr>
        <w:tc>
          <w:tcPr>
            <w:tcW w:w="1266" w:type="pct"/>
          </w:tcPr>
          <w:p w14:paraId="3C159AA5" w14:textId="77777777" w:rsidR="0000007A" w:rsidRPr="00567F5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67F5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A6542B" w:rsidR="0000007A" w:rsidRPr="00567F5C" w:rsidRDefault="00A961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35A4" w:rsidRPr="00567F5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67F5C" w14:paraId="73C90375" w14:textId="77777777" w:rsidTr="00567F5C">
        <w:trPr>
          <w:trHeight w:val="290"/>
        </w:trPr>
        <w:tc>
          <w:tcPr>
            <w:tcW w:w="1266" w:type="pct"/>
          </w:tcPr>
          <w:p w14:paraId="20D28135" w14:textId="77777777" w:rsidR="0000007A" w:rsidRPr="00567F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8776B6" w:rsidR="0000007A" w:rsidRPr="00567F5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35A4"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4784</w:t>
            </w:r>
          </w:p>
        </w:tc>
      </w:tr>
      <w:tr w:rsidR="0000007A" w:rsidRPr="00567F5C" w14:paraId="05B60576" w14:textId="77777777" w:rsidTr="00567F5C">
        <w:trPr>
          <w:trHeight w:val="331"/>
        </w:trPr>
        <w:tc>
          <w:tcPr>
            <w:tcW w:w="1266" w:type="pct"/>
          </w:tcPr>
          <w:p w14:paraId="0196A627" w14:textId="77777777" w:rsidR="0000007A" w:rsidRPr="00567F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9DC6C8" w:rsidR="0000007A" w:rsidRPr="00567F5C" w:rsidRDefault="00E335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67F5C">
              <w:rPr>
                <w:rFonts w:ascii="Arial" w:hAnsi="Arial" w:cs="Arial"/>
                <w:b/>
                <w:sz w:val="20"/>
                <w:szCs w:val="20"/>
                <w:lang w:val="en-GB"/>
              </w:rPr>
              <w:t>BONE MATURATION AND HEIGHT PREDICTION: HISTORICAL REVIEW OF THE CALCULATION METHODS</w:t>
            </w:r>
          </w:p>
        </w:tc>
      </w:tr>
      <w:tr w:rsidR="00CF0BBB" w:rsidRPr="00567F5C" w14:paraId="6D508B1C" w14:textId="77777777" w:rsidTr="00567F5C">
        <w:trPr>
          <w:trHeight w:val="332"/>
        </w:trPr>
        <w:tc>
          <w:tcPr>
            <w:tcW w:w="1266" w:type="pct"/>
          </w:tcPr>
          <w:p w14:paraId="32FC28F7" w14:textId="77777777" w:rsidR="00CF0BBB" w:rsidRPr="00567F5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93DF52" w:rsidR="00CF0BBB" w:rsidRPr="00567F5C" w:rsidRDefault="00E335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67F5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67F5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567F5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67F5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7F5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67F5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67F5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67F5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A840059" w:rsidR="00640538" w:rsidRPr="00567F5C" w:rsidRDefault="00F3278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7F5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27841E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898AAF5" w:rsidR="00E03C32" w:rsidRDefault="0032652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2652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International Research in Medical and Pharmaceutical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32652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24-33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9ED6DE0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32652C" w:rsidRPr="0032652C">
                              <w:t xml:space="preserve"> </w:t>
                            </w:r>
                            <w:hyperlink r:id="rId8" w:history="1">
                              <w:r w:rsidR="0032652C" w:rsidRPr="005747C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https://ikprress.org/index.php/JIRMEPS/article/view/3104</w:t>
                              </w:r>
                            </w:hyperlink>
                            <w:r w:rsidR="0032652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898AAF5" w:rsidR="00E03C32" w:rsidRDefault="0032652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2652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International Research in Medical and Pharmaceutical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32652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24-33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9ED6DE0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32652C" w:rsidRPr="0032652C">
                        <w:t xml:space="preserve"> </w:t>
                      </w:r>
                      <w:hyperlink r:id="rId9" w:history="1">
                        <w:r w:rsidR="0032652C" w:rsidRPr="005747C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https://ikprress.org/index.php/JIRMEPS/article/view/3104</w:t>
                        </w:r>
                      </w:hyperlink>
                      <w:r w:rsidR="0032652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67F5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67F5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67F5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67F5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7F5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67F5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7F5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7F5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67F5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67F5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7F5C">
              <w:rPr>
                <w:rFonts w:ascii="Arial" w:hAnsi="Arial" w:cs="Arial"/>
                <w:lang w:val="en-GB"/>
              </w:rPr>
              <w:t>Author’s Feedback</w:t>
            </w:r>
            <w:r w:rsidRPr="00567F5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7F5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67F5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67F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67F5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4BA21EF" w14:textId="11E44FDA" w:rsidR="000D0D3B" w:rsidRPr="00567F5C" w:rsidRDefault="000D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creates an awareness that bone maturation and height prediction are variable</w:t>
            </w:r>
          </w:p>
          <w:p w14:paraId="7ED82406" w14:textId="1139149F" w:rsidR="000D0D3B" w:rsidRPr="00567F5C" w:rsidRDefault="000D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Various parts of the body can be used to determine bone maturation</w:t>
            </w:r>
          </w:p>
          <w:p w14:paraId="7DBC9196" w14:textId="7EE57B5A" w:rsidR="00F1171E" w:rsidRPr="00567F5C" w:rsidRDefault="000D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important for generation of specific equations or models tailored to different genetic makeups.</w:t>
            </w:r>
          </w:p>
        </w:tc>
        <w:tc>
          <w:tcPr>
            <w:tcW w:w="1523" w:type="pct"/>
          </w:tcPr>
          <w:p w14:paraId="462A339C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7F5C" w14:paraId="0D8B5B2C" w14:textId="77777777" w:rsidTr="00422899">
        <w:trPr>
          <w:trHeight w:val="368"/>
        </w:trPr>
        <w:tc>
          <w:tcPr>
            <w:tcW w:w="1265" w:type="pct"/>
            <w:noWrap/>
          </w:tcPr>
          <w:p w14:paraId="21CBA5FE" w14:textId="77777777" w:rsidR="00F1171E" w:rsidRPr="00567F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67F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3C4A9E" w:rsidR="00F1171E" w:rsidRPr="00567F5C" w:rsidRDefault="000D0D3B" w:rsidP="000D0D3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7F5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67F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67F5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B4C026F" w:rsidR="00F1171E" w:rsidRPr="00567F5C" w:rsidRDefault="000D0D3B" w:rsidP="000D0D3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addition of a sentence indicating why the historical review is important and not wait till the body of the text.</w:t>
            </w:r>
          </w:p>
        </w:tc>
        <w:tc>
          <w:tcPr>
            <w:tcW w:w="1523" w:type="pct"/>
          </w:tcPr>
          <w:p w14:paraId="1D54B730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7F5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67F5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1F274B" w:rsidR="00F1171E" w:rsidRPr="00567F5C" w:rsidRDefault="000D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898F764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7F5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67F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67F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C952C87" w:rsidR="00F1171E" w:rsidRPr="00567F5C" w:rsidRDefault="000D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sufficient. It is a historical review, so bound to have some older references.</w:t>
            </w:r>
          </w:p>
        </w:tc>
        <w:tc>
          <w:tcPr>
            <w:tcW w:w="1523" w:type="pct"/>
          </w:tcPr>
          <w:p w14:paraId="40220055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7F5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67F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67F5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692C3C7" w:rsidR="00F1171E" w:rsidRPr="00567F5C" w:rsidRDefault="000D0D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sz w:val="20"/>
                <w:szCs w:val="20"/>
                <w:lang w:val="en-GB"/>
              </w:rPr>
              <w:t>Except for some minor errors which have been highlighted, it is suitable for scholarly communication.</w:t>
            </w:r>
          </w:p>
          <w:p w14:paraId="6CBA4B2A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7F5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67F5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67F5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67F5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67F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67F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67F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67F5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7F5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67F5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67F5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7F5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67F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7F5C">
              <w:rPr>
                <w:rFonts w:ascii="Arial" w:hAnsi="Arial" w:cs="Arial"/>
                <w:lang w:val="en-GB"/>
              </w:rPr>
              <w:t>Author’s comment</w:t>
            </w:r>
            <w:r w:rsidRPr="00567F5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7F5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67F5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7F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7F5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7F5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7F5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67F5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67F5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67F5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67F5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7C2EDAC" w:rsidR="004C3DF1" w:rsidRDefault="00567F5C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8967C89" w14:textId="77777777" w:rsidR="00567F5C" w:rsidRPr="00567F5C" w:rsidRDefault="00567F5C" w:rsidP="00567F5C">
      <w:pPr>
        <w:rPr>
          <w:rFonts w:ascii="Arial" w:hAnsi="Arial" w:cs="Arial"/>
          <w:b/>
          <w:sz w:val="20"/>
          <w:szCs w:val="20"/>
        </w:rPr>
      </w:pPr>
      <w:r w:rsidRPr="00567F5C">
        <w:rPr>
          <w:rFonts w:ascii="Arial" w:hAnsi="Arial" w:cs="Arial"/>
          <w:b/>
          <w:sz w:val="20"/>
          <w:szCs w:val="20"/>
        </w:rPr>
        <w:t>Reviewers:</w:t>
      </w:r>
    </w:p>
    <w:p w14:paraId="10345855" w14:textId="77777777" w:rsidR="00567F5C" w:rsidRPr="00567F5C" w:rsidRDefault="00567F5C" w:rsidP="00567F5C">
      <w:pPr>
        <w:rPr>
          <w:rFonts w:ascii="Arial" w:hAnsi="Arial" w:cs="Arial"/>
          <w:b/>
          <w:sz w:val="20"/>
          <w:szCs w:val="20"/>
        </w:rPr>
      </w:pPr>
      <w:r w:rsidRPr="00567F5C">
        <w:rPr>
          <w:rFonts w:ascii="Arial" w:hAnsi="Arial" w:cs="Arial"/>
          <w:b/>
          <w:sz w:val="20"/>
          <w:szCs w:val="20"/>
        </w:rPr>
        <w:t xml:space="preserve">Maureen </w:t>
      </w:r>
      <w:proofErr w:type="spellStart"/>
      <w:r w:rsidRPr="00567F5C">
        <w:rPr>
          <w:rFonts w:ascii="Arial" w:hAnsi="Arial" w:cs="Arial"/>
          <w:b/>
          <w:sz w:val="20"/>
          <w:szCs w:val="20"/>
        </w:rPr>
        <w:t>Anikpe</w:t>
      </w:r>
      <w:proofErr w:type="spellEnd"/>
      <w:r w:rsidRPr="0056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67F5C">
        <w:rPr>
          <w:rFonts w:ascii="Arial" w:hAnsi="Arial" w:cs="Arial"/>
          <w:b/>
          <w:sz w:val="20"/>
          <w:szCs w:val="20"/>
        </w:rPr>
        <w:t>Okumoko</w:t>
      </w:r>
      <w:proofErr w:type="spellEnd"/>
      <w:r w:rsidRPr="00567F5C">
        <w:rPr>
          <w:rFonts w:ascii="Arial" w:hAnsi="Arial" w:cs="Arial"/>
          <w:b/>
          <w:sz w:val="20"/>
          <w:szCs w:val="20"/>
        </w:rPr>
        <w:t>, Niger Delta University Teaching Hospital, Nigeria</w:t>
      </w:r>
    </w:p>
    <w:p w14:paraId="432D7013" w14:textId="77777777" w:rsidR="00567F5C" w:rsidRPr="00567F5C" w:rsidRDefault="00567F5C" w:rsidP="00567F5C">
      <w:pPr>
        <w:rPr>
          <w:rFonts w:ascii="Arial" w:hAnsi="Arial" w:cs="Arial"/>
          <w:b/>
          <w:sz w:val="20"/>
          <w:szCs w:val="20"/>
        </w:rPr>
      </w:pPr>
    </w:p>
    <w:p w14:paraId="1C24BC8C" w14:textId="77777777" w:rsidR="00567F5C" w:rsidRPr="00567F5C" w:rsidRDefault="00567F5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567F5C" w:rsidRPr="00567F5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5900" w14:textId="77777777" w:rsidR="00A961D7" w:rsidRPr="0000007A" w:rsidRDefault="00A961D7" w:rsidP="0099583E">
      <w:r>
        <w:separator/>
      </w:r>
    </w:p>
  </w:endnote>
  <w:endnote w:type="continuationSeparator" w:id="0">
    <w:p w14:paraId="0EF7BCDD" w14:textId="77777777" w:rsidR="00A961D7" w:rsidRPr="0000007A" w:rsidRDefault="00A961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48CB" w14:textId="77777777" w:rsidR="00A961D7" w:rsidRPr="0000007A" w:rsidRDefault="00A961D7" w:rsidP="0099583E">
      <w:r>
        <w:separator/>
      </w:r>
    </w:p>
  </w:footnote>
  <w:footnote w:type="continuationSeparator" w:id="0">
    <w:p w14:paraId="4495DEF5" w14:textId="77777777" w:rsidR="00A961D7" w:rsidRPr="0000007A" w:rsidRDefault="00A961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C6C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D3B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3F0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52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8CC"/>
    <w:rsid w:val="003A6E1A"/>
    <w:rsid w:val="003B1D0B"/>
    <w:rsid w:val="003B2172"/>
    <w:rsid w:val="003D1BDE"/>
    <w:rsid w:val="003E746A"/>
    <w:rsid w:val="00401C12"/>
    <w:rsid w:val="00421DBF"/>
    <w:rsid w:val="0042289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6EF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67F5C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3E4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1D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256"/>
    <w:rsid w:val="00C635B6"/>
    <w:rsid w:val="00C664F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5A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781"/>
    <w:rsid w:val="00F3295A"/>
    <w:rsid w:val="00F32A9A"/>
    <w:rsid w:val="00F33C84"/>
    <w:rsid w:val="00F3669D"/>
    <w:rsid w:val="00F405F8"/>
    <w:rsid w:val="00F46E1D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6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rress.org/index.php/JIRMEPS/article/view/31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kprress.org/index.php/JIRMEPS/article/view/3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2025-03-02T03:04:00Z</dcterms:created>
  <dcterms:modified xsi:type="dcterms:W3CDTF">2025-03-06T05:11:00Z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