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D9033E" w14:paraId="64AC18A7" w14:textId="77777777" w:rsidTr="003E2ECE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1FD121A" w14:textId="77777777" w:rsidR="00602F7D" w:rsidRPr="00D9033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9033E" w14:paraId="60F1D6BA" w14:textId="77777777" w:rsidTr="003E2ECE">
        <w:trPr>
          <w:trHeight w:val="413"/>
        </w:trPr>
        <w:tc>
          <w:tcPr>
            <w:tcW w:w="1266" w:type="pct"/>
          </w:tcPr>
          <w:p w14:paraId="393ABB20" w14:textId="77777777" w:rsidR="0000007A" w:rsidRPr="00D9033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033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9033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9A028" w14:textId="77777777" w:rsidR="0000007A" w:rsidRPr="00D9033E" w:rsidRDefault="00E1569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200A2" w:rsidRPr="00D9033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D9033E" w14:paraId="2665A26A" w14:textId="77777777" w:rsidTr="003E2ECE">
        <w:trPr>
          <w:trHeight w:val="290"/>
        </w:trPr>
        <w:tc>
          <w:tcPr>
            <w:tcW w:w="1266" w:type="pct"/>
          </w:tcPr>
          <w:p w14:paraId="38C78040" w14:textId="77777777" w:rsidR="0000007A" w:rsidRPr="00D9033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033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FF98E" w14:textId="77777777" w:rsidR="0000007A" w:rsidRPr="00D9033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903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903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903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3454C" w:rsidRPr="00D903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4822</w:t>
            </w:r>
          </w:p>
        </w:tc>
      </w:tr>
      <w:tr w:rsidR="0000007A" w:rsidRPr="00D9033E" w14:paraId="1B37742D" w14:textId="77777777" w:rsidTr="003E2ECE">
        <w:trPr>
          <w:trHeight w:val="331"/>
        </w:trPr>
        <w:tc>
          <w:tcPr>
            <w:tcW w:w="1266" w:type="pct"/>
          </w:tcPr>
          <w:p w14:paraId="24149094" w14:textId="77777777" w:rsidR="0000007A" w:rsidRPr="00D9033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033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B4FF6" w14:textId="77777777" w:rsidR="0000007A" w:rsidRPr="00D9033E" w:rsidRDefault="004513D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9033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Comparative Evaluation of Surface Roughness and </w:t>
            </w:r>
            <w:proofErr w:type="spellStart"/>
            <w:r w:rsidRPr="00D9033E">
              <w:rPr>
                <w:rFonts w:ascii="Arial" w:hAnsi="Arial" w:cs="Arial"/>
                <w:b/>
                <w:sz w:val="20"/>
                <w:szCs w:val="20"/>
                <w:lang w:val="en-GB"/>
              </w:rPr>
              <w:t>Color</w:t>
            </w:r>
            <w:proofErr w:type="spellEnd"/>
            <w:r w:rsidRPr="00D9033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Stability Between Single-Shade Composite and Multi-Shade Composite: An In Vitro Study</w:t>
            </w:r>
          </w:p>
        </w:tc>
      </w:tr>
      <w:tr w:rsidR="00CF0BBB" w:rsidRPr="00D9033E" w14:paraId="6590619A" w14:textId="77777777" w:rsidTr="003E2ECE">
        <w:trPr>
          <w:trHeight w:val="332"/>
        </w:trPr>
        <w:tc>
          <w:tcPr>
            <w:tcW w:w="1266" w:type="pct"/>
          </w:tcPr>
          <w:p w14:paraId="397093BA" w14:textId="77777777" w:rsidR="00CF0BBB" w:rsidRPr="00D9033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033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014F2" w14:textId="77777777" w:rsidR="00CF0BBB" w:rsidRPr="00D9033E" w:rsidRDefault="00F3454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9033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6EFD3B0B" w14:textId="77777777" w:rsidR="00037D52" w:rsidRPr="00D9033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3CEF6A2" w14:textId="77777777" w:rsidR="00605952" w:rsidRPr="00D9033E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5D84C0A" w14:textId="77777777" w:rsidR="00D9392F" w:rsidRPr="00D9033E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1A139AB7" w14:textId="77777777" w:rsidR="0086369B" w:rsidRPr="00D9033E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D2315C6" w14:textId="77777777" w:rsidR="00626025" w:rsidRPr="00D9033E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9033E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46074F15" w14:textId="77777777" w:rsidR="007B54A4" w:rsidRPr="00D9033E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21719FBD" w14:textId="77777777" w:rsidR="007B54A4" w:rsidRPr="00D9033E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9033E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1F09D799" w14:textId="576D7912" w:rsidR="00640538" w:rsidRPr="00D9033E" w:rsidRDefault="00ED003D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9033E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C8B800" wp14:editId="308AC9D3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5080" r="12700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20ACA" w14:textId="77777777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0404AFE4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2DC634B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1BDA0732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1652BF91" w14:textId="77777777" w:rsidR="00E03C32" w:rsidRDefault="004513D7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proofErr w:type="spellStart"/>
                            <w:r w:rsidRPr="004513D7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Cureus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,</w:t>
                            </w:r>
                            <w:r w:rsidRPr="004513D7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16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7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1-10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2024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7F8BCC34" w14:textId="77777777" w:rsidR="00E03C32" w:rsidRPr="007B54A4" w:rsidRDefault="004513D7" w:rsidP="007B54A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DOI</w:t>
                            </w:r>
                            <w:r w:rsidR="005757CF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Pr="004513D7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10.7759/cureus.65396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8B800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">
                <v:textbox>
                  <w:txbxContent>
                    <w:p w14:paraId="1B220ACA" w14:textId="77777777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0404AFE4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42DC634B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1BDA0732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1652BF91" w14:textId="77777777" w:rsidR="00E03C32" w:rsidRDefault="004513D7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proofErr w:type="spellStart"/>
                      <w:r w:rsidRPr="004513D7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Cureus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,</w:t>
                      </w:r>
                      <w:r w:rsidRPr="004513D7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16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7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1-10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2024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7F8BCC34" w14:textId="77777777" w:rsidR="00E03C32" w:rsidRPr="007B54A4" w:rsidRDefault="004513D7" w:rsidP="007B54A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DOI</w:t>
                      </w:r>
                      <w:r w:rsidR="005757CF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  <w:r w:rsidRPr="004513D7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10.7759/cureus.65396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7A0DC6D" w14:textId="77777777" w:rsidR="00D9392F" w:rsidRPr="00D9033E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9033E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1352540" w14:textId="77777777" w:rsidR="00D27A79" w:rsidRPr="00D9033E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D9033E" w14:paraId="77034F59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7EE2F86A" w14:textId="77777777" w:rsidR="00F1171E" w:rsidRPr="00D9033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9033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9033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6460F77C" w14:textId="77777777" w:rsidR="00F1171E" w:rsidRPr="00D903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9033E" w14:paraId="75E28B61" w14:textId="77777777" w:rsidTr="007222C8">
        <w:tc>
          <w:tcPr>
            <w:tcW w:w="1265" w:type="pct"/>
            <w:noWrap/>
          </w:tcPr>
          <w:p w14:paraId="5507FA79" w14:textId="77777777" w:rsidR="00F1171E" w:rsidRPr="00D9033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E20D896" w14:textId="77777777" w:rsidR="00F1171E" w:rsidRPr="00D9033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9033E">
              <w:rPr>
                <w:rFonts w:ascii="Arial" w:hAnsi="Arial" w:cs="Arial"/>
                <w:lang w:val="en-GB"/>
              </w:rPr>
              <w:t>Reviewer’s comment</w:t>
            </w:r>
          </w:p>
          <w:p w14:paraId="3D21CA29" w14:textId="77777777" w:rsidR="00421DBF" w:rsidRPr="00D9033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9033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54554E4D" w14:textId="77777777" w:rsidR="00421DBF" w:rsidRPr="00D9033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7A9BDC8" w14:textId="77777777" w:rsidR="00F1171E" w:rsidRPr="00D903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9033E">
              <w:rPr>
                <w:rFonts w:ascii="Arial" w:hAnsi="Arial" w:cs="Arial"/>
                <w:lang w:val="en-GB"/>
              </w:rPr>
              <w:t>Author’s Feedback</w:t>
            </w:r>
            <w:r w:rsidRPr="00D9033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9033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9033E" w14:paraId="7D539625" w14:textId="77777777" w:rsidTr="007222C8">
        <w:trPr>
          <w:trHeight w:val="1264"/>
        </w:trPr>
        <w:tc>
          <w:tcPr>
            <w:tcW w:w="1265" w:type="pct"/>
            <w:noWrap/>
          </w:tcPr>
          <w:p w14:paraId="0F09ED65" w14:textId="77777777" w:rsidR="00F1171E" w:rsidRPr="00D903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03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AE4F790" w14:textId="77777777" w:rsidR="00F1171E" w:rsidRPr="00D9033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CFA07D0" w14:textId="593B0B71" w:rsidR="00F1171E" w:rsidRPr="00D9033E" w:rsidRDefault="00ED003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033E">
              <w:rPr>
                <w:rFonts w:ascii="Arial" w:hAnsi="Arial" w:cs="Arial"/>
                <w:sz w:val="20"/>
                <w:szCs w:val="20"/>
              </w:rPr>
              <w:t xml:space="preserve">The manuscript provides valuable insights into the </w:t>
            </w:r>
            <w:r w:rsidRPr="00D9033E">
              <w:rPr>
                <w:rStyle w:val="Strong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comparative evaluation of surface roughness and color stability between single-shade and multi-shade composite resins</w:t>
            </w:r>
            <w:r w:rsidRPr="00D9033E">
              <w:rPr>
                <w:rFonts w:ascii="Arial" w:hAnsi="Arial" w:cs="Arial"/>
                <w:sz w:val="20"/>
                <w:szCs w:val="20"/>
              </w:rPr>
              <w:t>. The methodology is well-explained, and the statistical analysis is appropriate. However, some areas could be improved.</w:t>
            </w:r>
          </w:p>
        </w:tc>
        <w:tc>
          <w:tcPr>
            <w:tcW w:w="1523" w:type="pct"/>
          </w:tcPr>
          <w:p w14:paraId="6F0A6863" w14:textId="77777777" w:rsidR="00F1171E" w:rsidRPr="00D903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9033E" w14:paraId="5ECBF149" w14:textId="77777777" w:rsidTr="00620B13">
        <w:trPr>
          <w:trHeight w:val="737"/>
        </w:trPr>
        <w:tc>
          <w:tcPr>
            <w:tcW w:w="1265" w:type="pct"/>
            <w:noWrap/>
          </w:tcPr>
          <w:p w14:paraId="0AB41722" w14:textId="77777777" w:rsidR="00F1171E" w:rsidRPr="00D903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03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9E83969" w14:textId="77777777" w:rsidR="00F1171E" w:rsidRPr="00D903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03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CEF449E" w14:textId="77777777" w:rsidR="00F1171E" w:rsidRPr="00D9033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2282237" w14:textId="310040D9" w:rsidR="00F1171E" w:rsidRPr="00D9033E" w:rsidRDefault="00ED003D" w:rsidP="00ED003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033E">
              <w:rPr>
                <w:rFonts w:ascii="Arial" w:hAnsi="Arial" w:cs="Arial"/>
                <w:sz w:val="20"/>
                <w:szCs w:val="20"/>
              </w:rPr>
              <w:t>Yes, the title is appropriate.</w:t>
            </w:r>
          </w:p>
        </w:tc>
        <w:tc>
          <w:tcPr>
            <w:tcW w:w="1523" w:type="pct"/>
          </w:tcPr>
          <w:p w14:paraId="78B55006" w14:textId="77777777" w:rsidR="00F1171E" w:rsidRPr="00D903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9033E" w14:paraId="0D321777" w14:textId="77777777" w:rsidTr="007222C8">
        <w:trPr>
          <w:trHeight w:val="1262"/>
        </w:trPr>
        <w:tc>
          <w:tcPr>
            <w:tcW w:w="1265" w:type="pct"/>
            <w:noWrap/>
          </w:tcPr>
          <w:p w14:paraId="50F46824" w14:textId="77777777" w:rsidR="00F1171E" w:rsidRPr="00D9033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9033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4B4C1920" w14:textId="77777777" w:rsidR="00F1171E" w:rsidRPr="00D9033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16CB79E" w14:textId="1070F245" w:rsidR="00F1171E" w:rsidRPr="00D9033E" w:rsidRDefault="00ED003D" w:rsidP="00ED003D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033E">
              <w:rPr>
                <w:rFonts w:ascii="Arial" w:hAnsi="Arial" w:cs="Arial"/>
                <w:sz w:val="20"/>
                <w:szCs w:val="20"/>
              </w:rPr>
              <w:t xml:space="preserve">The abstract is mostly comprehensive, but the </w:t>
            </w:r>
            <w:r w:rsidRPr="00D9033E">
              <w:rPr>
                <w:rStyle w:val="Strong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methodology section</w:t>
            </w:r>
            <w:r w:rsidRPr="00D9033E">
              <w:rPr>
                <w:rFonts w:ascii="Arial" w:hAnsi="Arial" w:cs="Arial"/>
                <w:sz w:val="20"/>
                <w:szCs w:val="20"/>
              </w:rPr>
              <w:t xml:space="preserve"> could include details about the </w:t>
            </w:r>
            <w:r w:rsidRPr="00D9033E">
              <w:rPr>
                <w:rStyle w:val="Strong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duration of the toothbrushing simulation.</w:t>
            </w:r>
          </w:p>
        </w:tc>
        <w:tc>
          <w:tcPr>
            <w:tcW w:w="1523" w:type="pct"/>
          </w:tcPr>
          <w:p w14:paraId="02CCFDD2" w14:textId="77777777" w:rsidR="00F1171E" w:rsidRPr="00D903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9033E" w14:paraId="06578352" w14:textId="77777777" w:rsidTr="007222C8">
        <w:trPr>
          <w:trHeight w:val="859"/>
        </w:trPr>
        <w:tc>
          <w:tcPr>
            <w:tcW w:w="1265" w:type="pct"/>
            <w:noWrap/>
          </w:tcPr>
          <w:p w14:paraId="55BAF038" w14:textId="77777777" w:rsidR="00F1171E" w:rsidRPr="00D9033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903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7F9E89D2" w14:textId="2D34604F" w:rsidR="00F1171E" w:rsidRPr="00D9033E" w:rsidRDefault="00ED003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033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D9033E">
              <w:rPr>
                <w:rStyle w:val="Strong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statistical tests</w:t>
            </w:r>
            <w:r w:rsidRPr="00D9033E">
              <w:rPr>
                <w:rFonts w:ascii="Arial" w:hAnsi="Arial" w:cs="Arial"/>
                <w:sz w:val="20"/>
                <w:szCs w:val="20"/>
              </w:rPr>
              <w:t xml:space="preserve"> are appropriate, and the </w:t>
            </w:r>
            <w:r w:rsidRPr="00D9033E">
              <w:rPr>
                <w:rStyle w:val="Strong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results are well-presented</w:t>
            </w:r>
            <w:r w:rsidRPr="00D9033E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001A2704" w14:textId="77777777" w:rsidR="00F1171E" w:rsidRPr="00D903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9033E" w14:paraId="57C40436" w14:textId="77777777" w:rsidTr="007222C8">
        <w:trPr>
          <w:trHeight w:val="703"/>
        </w:trPr>
        <w:tc>
          <w:tcPr>
            <w:tcW w:w="1265" w:type="pct"/>
            <w:noWrap/>
          </w:tcPr>
          <w:p w14:paraId="6655A37A" w14:textId="77777777" w:rsidR="00F1171E" w:rsidRPr="00D903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03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6D5A7E" w14:textId="77777777" w:rsidR="00F1171E" w:rsidRPr="00D903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9033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44357F4C" w14:textId="53ACBAF0" w:rsidR="00F1171E" w:rsidRPr="00D9033E" w:rsidRDefault="00ED003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033E">
              <w:rPr>
                <w:rFonts w:ascii="Arial" w:hAnsi="Arial" w:cs="Arial"/>
                <w:sz w:val="20"/>
                <w:szCs w:val="20"/>
              </w:rPr>
              <w:t xml:space="preserve">The references are generally relevant, but some sources from </w:t>
            </w:r>
            <w:r w:rsidRPr="00D9033E">
              <w:rPr>
                <w:rStyle w:val="Strong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2015 or earlier</w:t>
            </w:r>
            <w:r w:rsidRPr="00D9033E">
              <w:rPr>
                <w:rFonts w:ascii="Arial" w:hAnsi="Arial" w:cs="Arial"/>
                <w:sz w:val="20"/>
                <w:szCs w:val="20"/>
              </w:rPr>
              <w:t xml:space="preserve"> could be supplemented with </w:t>
            </w:r>
            <w:r w:rsidRPr="00D9033E">
              <w:rPr>
                <w:rStyle w:val="Strong"/>
                <w:rFonts w:ascii="Arial" w:eastAsia="Arial Unicode MS" w:hAnsi="Arial" w:cs="Arial"/>
                <w:b w:val="0"/>
                <w:bCs w:val="0"/>
                <w:sz w:val="20"/>
                <w:szCs w:val="20"/>
              </w:rPr>
              <w:t>more recent studies</w:t>
            </w:r>
            <w:r w:rsidRPr="00D9033E">
              <w:rPr>
                <w:rFonts w:ascii="Arial" w:hAnsi="Arial" w:cs="Arial"/>
                <w:sz w:val="20"/>
                <w:szCs w:val="20"/>
              </w:rPr>
              <w:t xml:space="preserve"> to reflect the latest advancements.</w:t>
            </w:r>
          </w:p>
        </w:tc>
        <w:tc>
          <w:tcPr>
            <w:tcW w:w="1523" w:type="pct"/>
          </w:tcPr>
          <w:p w14:paraId="53615343" w14:textId="77777777" w:rsidR="00F1171E" w:rsidRPr="00D903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9033E" w14:paraId="3A513522" w14:textId="77777777" w:rsidTr="007222C8">
        <w:trPr>
          <w:trHeight w:val="386"/>
        </w:trPr>
        <w:tc>
          <w:tcPr>
            <w:tcW w:w="1265" w:type="pct"/>
            <w:noWrap/>
          </w:tcPr>
          <w:p w14:paraId="15E2616A" w14:textId="77777777" w:rsidR="00F1171E" w:rsidRPr="00D903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28BFD229" w14:textId="77777777" w:rsidR="00F1171E" w:rsidRPr="00D9033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9033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61EE40A4" w14:textId="77777777" w:rsidR="00F1171E" w:rsidRPr="00D903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C32B3F0" w14:textId="77777777" w:rsidR="00F1171E" w:rsidRPr="00D903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02DC84B" w14:textId="77777777" w:rsidR="00F1171E" w:rsidRPr="00D903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769B160" w14:textId="0DC3896B" w:rsidR="00F1171E" w:rsidRPr="00D9033E" w:rsidRDefault="00ED003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9033E">
              <w:rPr>
                <w:rFonts w:ascii="Arial" w:hAnsi="Arial" w:cs="Arial"/>
                <w:sz w:val="20"/>
                <w:szCs w:val="20"/>
              </w:rPr>
              <w:t>The manuscript is well-written and understandable.</w:t>
            </w:r>
          </w:p>
          <w:p w14:paraId="3CC67855" w14:textId="77777777" w:rsidR="00F1171E" w:rsidRPr="00D903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032128" w14:textId="77777777" w:rsidR="00F1171E" w:rsidRPr="00D903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41BD1ED" w14:textId="77777777" w:rsidR="00F1171E" w:rsidRPr="00D903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9033E" w14:paraId="1E3C2E32" w14:textId="77777777" w:rsidTr="007222C8">
        <w:trPr>
          <w:trHeight w:val="1178"/>
        </w:trPr>
        <w:tc>
          <w:tcPr>
            <w:tcW w:w="1265" w:type="pct"/>
            <w:noWrap/>
          </w:tcPr>
          <w:p w14:paraId="5870307E" w14:textId="77777777" w:rsidR="00F1171E" w:rsidRPr="00D903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9033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9033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9033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63013520" w14:textId="77777777" w:rsidR="00F1171E" w:rsidRPr="00D903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40600748" w14:textId="77777777" w:rsidR="00F1171E" w:rsidRPr="00D903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F043C42" w14:textId="77777777" w:rsidR="00F1171E" w:rsidRPr="00D903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088876C" w14:textId="77777777" w:rsidR="00F1171E" w:rsidRPr="00D903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0BFECBD" w14:textId="77777777" w:rsidR="00F1171E" w:rsidRPr="00D903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DE9D278" w14:textId="77777777" w:rsidR="00F1171E" w:rsidRPr="00D903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247ED1D" w14:textId="77777777" w:rsidR="00F1171E" w:rsidRPr="00D9033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D9033E" w14:paraId="10595C77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03CD6" w14:textId="77777777" w:rsidR="00F1171E" w:rsidRPr="00D903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9033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9033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30ACCA3" w14:textId="77777777" w:rsidR="00F1171E" w:rsidRPr="00D903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9033E" w14:paraId="619EC6A7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CED23" w14:textId="77777777" w:rsidR="00F1171E" w:rsidRPr="00D903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2427C" w14:textId="77777777" w:rsidR="00F1171E" w:rsidRPr="00D9033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9033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279D8908" w14:textId="77777777" w:rsidR="00F1171E" w:rsidRPr="00D903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9033E">
              <w:rPr>
                <w:rFonts w:ascii="Arial" w:hAnsi="Arial" w:cs="Arial"/>
                <w:lang w:val="en-GB"/>
              </w:rPr>
              <w:t>Author’s comment</w:t>
            </w:r>
            <w:r w:rsidRPr="00D9033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9033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9033E" w14:paraId="109B0A24" w14:textId="77777777" w:rsidTr="00F52528">
        <w:trPr>
          <w:trHeight w:val="1034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7F133" w14:textId="77777777" w:rsidR="00F1171E" w:rsidRPr="00D903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9033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42D0706" w14:textId="77777777" w:rsidR="00F1171E" w:rsidRPr="00D903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32E52" w14:textId="77777777" w:rsidR="00F1171E" w:rsidRPr="00D903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9033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9033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9033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63C4E205" w14:textId="77777777" w:rsidR="00F1171E" w:rsidRPr="00D903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31FB8AE" w14:textId="7B47E951" w:rsidR="00F1171E" w:rsidRPr="00D903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42FC9D0A" w14:textId="77777777" w:rsidR="00F1171E" w:rsidRPr="00D9033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0215A74" w14:textId="77777777" w:rsidR="00F1171E" w:rsidRPr="00D9033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7FB77" w14:textId="77777777" w:rsidR="00F1171E" w:rsidRPr="00D9033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396F0A7" w14:textId="77777777" w:rsidR="00F1171E" w:rsidRPr="00D903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7E33DDA" w14:textId="299E54BA" w:rsidR="00B05500" w:rsidRDefault="00B05500">
      <w:pPr>
        <w:rPr>
          <w:rFonts w:ascii="Arial" w:hAnsi="Arial" w:cs="Arial"/>
          <w:sz w:val="20"/>
          <w:szCs w:val="20"/>
        </w:rPr>
      </w:pPr>
    </w:p>
    <w:p w14:paraId="3A253C5C" w14:textId="418978A1" w:rsidR="00D9033E" w:rsidRDefault="00D9033E">
      <w:pPr>
        <w:rPr>
          <w:rFonts w:ascii="Arial" w:hAnsi="Arial" w:cs="Arial"/>
          <w:sz w:val="20"/>
          <w:szCs w:val="20"/>
        </w:rPr>
      </w:pPr>
    </w:p>
    <w:p w14:paraId="040AD446" w14:textId="77777777" w:rsidR="00D9033E" w:rsidRPr="00D9033E" w:rsidRDefault="00D9033E" w:rsidP="00D9033E">
      <w:pPr>
        <w:rPr>
          <w:rFonts w:ascii="Arial" w:hAnsi="Arial" w:cs="Arial"/>
          <w:b/>
          <w:sz w:val="20"/>
          <w:szCs w:val="20"/>
          <w:u w:val="single"/>
        </w:rPr>
      </w:pPr>
      <w:r w:rsidRPr="00D9033E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2E7E3056" w14:textId="77777777" w:rsidR="00D9033E" w:rsidRPr="00D9033E" w:rsidRDefault="00D9033E" w:rsidP="00D9033E">
      <w:pPr>
        <w:rPr>
          <w:rFonts w:ascii="Arial" w:hAnsi="Arial" w:cs="Arial"/>
          <w:b/>
          <w:sz w:val="20"/>
          <w:szCs w:val="20"/>
        </w:rPr>
      </w:pPr>
      <w:proofErr w:type="spellStart"/>
      <w:r w:rsidRPr="00D9033E">
        <w:rPr>
          <w:rFonts w:ascii="Arial" w:hAnsi="Arial" w:cs="Arial"/>
          <w:b/>
          <w:sz w:val="20"/>
          <w:szCs w:val="20"/>
        </w:rPr>
        <w:t>Hulya</w:t>
      </w:r>
      <w:proofErr w:type="spellEnd"/>
      <w:r w:rsidRPr="00D9033E">
        <w:rPr>
          <w:rFonts w:ascii="Arial" w:hAnsi="Arial" w:cs="Arial"/>
          <w:b/>
          <w:sz w:val="20"/>
          <w:szCs w:val="20"/>
        </w:rPr>
        <w:t xml:space="preserve"> Cerci </w:t>
      </w:r>
      <w:proofErr w:type="spellStart"/>
      <w:r w:rsidRPr="00D9033E">
        <w:rPr>
          <w:rFonts w:ascii="Arial" w:hAnsi="Arial" w:cs="Arial"/>
          <w:b/>
          <w:sz w:val="20"/>
          <w:szCs w:val="20"/>
        </w:rPr>
        <w:t>Akcay</w:t>
      </w:r>
      <w:proofErr w:type="spellEnd"/>
      <w:r w:rsidRPr="00D9033E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D9033E">
        <w:rPr>
          <w:rFonts w:ascii="Arial" w:hAnsi="Arial" w:cs="Arial"/>
          <w:b/>
          <w:sz w:val="20"/>
          <w:szCs w:val="20"/>
        </w:rPr>
        <w:t>Kocaeli</w:t>
      </w:r>
      <w:proofErr w:type="spellEnd"/>
      <w:r w:rsidRPr="00D9033E">
        <w:rPr>
          <w:rFonts w:ascii="Arial" w:hAnsi="Arial" w:cs="Arial"/>
          <w:b/>
          <w:sz w:val="20"/>
          <w:szCs w:val="20"/>
        </w:rPr>
        <w:t xml:space="preserve"> Health and Technology University, Turkey</w:t>
      </w:r>
    </w:p>
    <w:p w14:paraId="51E57ED8" w14:textId="77777777" w:rsidR="00D9033E" w:rsidRPr="00D9033E" w:rsidRDefault="00D9033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D9033E" w:rsidRPr="00D9033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80F36" w14:textId="77777777" w:rsidR="00E15692" w:rsidRPr="0000007A" w:rsidRDefault="00E15692" w:rsidP="0099583E">
      <w:r>
        <w:separator/>
      </w:r>
    </w:p>
  </w:endnote>
  <w:endnote w:type="continuationSeparator" w:id="0">
    <w:p w14:paraId="04FF9442" w14:textId="77777777" w:rsidR="00E15692" w:rsidRPr="0000007A" w:rsidRDefault="00E1569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43014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030F5" w14:textId="77777777" w:rsidR="00E15692" w:rsidRPr="0000007A" w:rsidRDefault="00E15692" w:rsidP="0099583E">
      <w:r>
        <w:separator/>
      </w:r>
    </w:p>
  </w:footnote>
  <w:footnote w:type="continuationSeparator" w:id="0">
    <w:p w14:paraId="4ADB9087" w14:textId="77777777" w:rsidR="00E15692" w:rsidRPr="0000007A" w:rsidRDefault="00E1569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4E24C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92A7559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CE4ABED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4871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2ECE"/>
    <w:rsid w:val="003E746A"/>
    <w:rsid w:val="00401C12"/>
    <w:rsid w:val="00421DBF"/>
    <w:rsid w:val="0042465A"/>
    <w:rsid w:val="00435B36"/>
    <w:rsid w:val="00442B24"/>
    <w:rsid w:val="004430CD"/>
    <w:rsid w:val="0044519B"/>
    <w:rsid w:val="004513D7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0B13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00A2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683E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72B33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5500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033E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53E1"/>
    <w:rsid w:val="00E03C32"/>
    <w:rsid w:val="00E1569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003D"/>
    <w:rsid w:val="00ED6B12"/>
    <w:rsid w:val="00ED7400"/>
    <w:rsid w:val="00EE46DC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454C"/>
    <w:rsid w:val="00F3669D"/>
    <w:rsid w:val="00F405F8"/>
    <w:rsid w:val="00F4700F"/>
    <w:rsid w:val="00F52528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893A2F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D00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6</cp:revision>
  <dcterms:created xsi:type="dcterms:W3CDTF">2025-02-28T20:04:00Z</dcterms:created>
  <dcterms:modified xsi:type="dcterms:W3CDTF">2025-03-06T06:41:00Z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