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A1B43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BA1B4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A1B43" w:rsidTr="00F33C84">
        <w:trPr>
          <w:trHeight w:val="413"/>
        </w:trPr>
        <w:tc>
          <w:tcPr>
            <w:tcW w:w="1234" w:type="pct"/>
          </w:tcPr>
          <w:p w:rsidR="0000007A" w:rsidRPr="00BA1B4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A1B4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A1B43" w:rsidRDefault="004A3F7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D2EB1" w:rsidRPr="00BA1B43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BA1B43" w:rsidTr="002E7787">
        <w:trPr>
          <w:trHeight w:val="290"/>
        </w:trPr>
        <w:tc>
          <w:tcPr>
            <w:tcW w:w="1234" w:type="pct"/>
          </w:tcPr>
          <w:p w:rsidR="0000007A" w:rsidRPr="00BA1B4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A1B4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A1B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A1B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BA1B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D2EB1" w:rsidRPr="00BA1B43">
              <w:rPr>
                <w:rFonts w:ascii="Arial" w:hAnsi="Arial" w:cs="Arial"/>
                <w:b/>
                <w:bCs/>
                <w:sz w:val="20"/>
                <w:szCs w:val="20"/>
              </w:rPr>
              <w:t>4828</w:t>
            </w:r>
          </w:p>
        </w:tc>
      </w:tr>
      <w:tr w:rsidR="0000007A" w:rsidRPr="00BA1B43" w:rsidTr="002109D6">
        <w:trPr>
          <w:trHeight w:val="331"/>
        </w:trPr>
        <w:tc>
          <w:tcPr>
            <w:tcW w:w="1234" w:type="pct"/>
          </w:tcPr>
          <w:p w:rsidR="0000007A" w:rsidRPr="00BA1B4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BA1B43" w:rsidRDefault="00FD2EB1" w:rsidP="00FD2EB1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b/>
                <w:sz w:val="20"/>
                <w:szCs w:val="20"/>
                <w:lang w:val="en-GB"/>
              </w:rPr>
              <w:t>Enhanced rooting and regeneration of canola (Brassica napus L.) cultivars after a brief period (shock) on growth regulator-free Murashige and Skoog (MS) medium</w:t>
            </w:r>
          </w:p>
        </w:tc>
      </w:tr>
      <w:tr w:rsidR="00CF0BBB" w:rsidRPr="00BA1B43" w:rsidTr="002E7787">
        <w:trPr>
          <w:trHeight w:val="332"/>
        </w:trPr>
        <w:tc>
          <w:tcPr>
            <w:tcW w:w="1234" w:type="pct"/>
          </w:tcPr>
          <w:p w:rsidR="00CF0BBB" w:rsidRPr="00BA1B4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BA1B43" w:rsidRDefault="00FD2EB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BA1B4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BA1B4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BA1B43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9B239B" w:rsidRPr="00BA1B43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BA1B43">
        <w:rPr>
          <w:rFonts w:ascii="Arial" w:hAnsi="Arial" w:cs="Arial"/>
          <w:sz w:val="20"/>
          <w:szCs w:val="20"/>
        </w:rPr>
        <w:t xml:space="preserve"> </w:t>
      </w:r>
    </w:p>
    <w:p w:rsidR="00626025" w:rsidRPr="00BA1B4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86369B" w:rsidRPr="00BA1B4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BA1B4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A1B4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BA1B4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BA1B4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A1B4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BA1B43" w:rsidRDefault="004A3F7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A1B4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FD2EB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D2EB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African Journal of Biotechnology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FD2EB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Vol. 23(9), pp.273-279, September 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E03C32" w:rsidRPr="007B54A4" w:rsidRDefault="004A3F7F" w:rsidP="00FD2EB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FD2EB1" w:rsidRPr="006454B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https://doi.org/10.5897/AJB2024.17652</w:t>
                    </w:r>
                  </w:hyperlink>
                  <w:r w:rsidR="00FD2EB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D9392F" w:rsidRPr="00BA1B4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A1B4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BA1B4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A1B43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BA1B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1B4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A1B43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BA1B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A1B43" w:rsidTr="007222C8">
        <w:tc>
          <w:tcPr>
            <w:tcW w:w="1265" w:type="pct"/>
            <w:noWrap/>
          </w:tcPr>
          <w:p w:rsidR="00F1171E" w:rsidRPr="00BA1B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BA1B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1B43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BA1B4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1B4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BA1B4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A1B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A1B43">
              <w:rPr>
                <w:rFonts w:ascii="Arial" w:hAnsi="Arial" w:cs="Arial"/>
                <w:lang w:val="en-GB"/>
              </w:rPr>
              <w:t>Author’s Feedback</w:t>
            </w:r>
            <w:r w:rsidRPr="00BA1B4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A1B4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A1B43" w:rsidTr="00A641BC">
        <w:trPr>
          <w:trHeight w:val="1025"/>
        </w:trPr>
        <w:tc>
          <w:tcPr>
            <w:tcW w:w="1265" w:type="pct"/>
            <w:noWrap/>
          </w:tcPr>
          <w:p w:rsidR="00F1171E" w:rsidRPr="00BA1B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1171E" w:rsidRPr="00BA1B4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BA1B43" w:rsidRDefault="006931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 idea of enhancing shoot and root generation from hypocotyls and cotyledons by placing for short in absence of plant growth regulators in MS medium. </w:t>
            </w:r>
          </w:p>
        </w:tc>
        <w:tc>
          <w:tcPr>
            <w:tcW w:w="1523" w:type="pct"/>
          </w:tcPr>
          <w:p w:rsidR="00F1171E" w:rsidRPr="00BA1B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1B43" w:rsidTr="00A641BC">
        <w:trPr>
          <w:trHeight w:val="593"/>
        </w:trPr>
        <w:tc>
          <w:tcPr>
            <w:tcW w:w="1265" w:type="pct"/>
            <w:noWrap/>
          </w:tcPr>
          <w:p w:rsidR="00F1171E" w:rsidRPr="00BA1B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BA1B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BA1B4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BA1B43" w:rsidRDefault="0069317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BA1B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1B43" w:rsidTr="00A641BC">
        <w:trPr>
          <w:trHeight w:val="791"/>
        </w:trPr>
        <w:tc>
          <w:tcPr>
            <w:tcW w:w="1265" w:type="pct"/>
            <w:noWrap/>
          </w:tcPr>
          <w:p w:rsidR="00F1171E" w:rsidRPr="00BA1B4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A1B4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BA1B4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BA1B43" w:rsidRDefault="0069317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O.K.</w:t>
            </w:r>
          </w:p>
        </w:tc>
        <w:tc>
          <w:tcPr>
            <w:tcW w:w="1523" w:type="pct"/>
          </w:tcPr>
          <w:p w:rsidR="00F1171E" w:rsidRPr="00BA1B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1B43" w:rsidTr="007222C8">
        <w:trPr>
          <w:trHeight w:val="859"/>
        </w:trPr>
        <w:tc>
          <w:tcPr>
            <w:tcW w:w="1265" w:type="pct"/>
            <w:noWrap/>
          </w:tcPr>
          <w:p w:rsidR="00F1171E" w:rsidRPr="00BA1B4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A1B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F1171E" w:rsidRPr="00BA1B43" w:rsidRDefault="006931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O.K.</w:t>
            </w:r>
          </w:p>
        </w:tc>
        <w:tc>
          <w:tcPr>
            <w:tcW w:w="1523" w:type="pct"/>
          </w:tcPr>
          <w:p w:rsidR="00F1171E" w:rsidRPr="00BA1B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1B43" w:rsidTr="007222C8">
        <w:trPr>
          <w:trHeight w:val="703"/>
        </w:trPr>
        <w:tc>
          <w:tcPr>
            <w:tcW w:w="1265" w:type="pct"/>
            <w:noWrap/>
          </w:tcPr>
          <w:p w:rsidR="00F1171E" w:rsidRPr="00BA1B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BA1B4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A1B4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BA1B43" w:rsidRDefault="006931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sufficient and </w:t>
            </w:r>
            <w:proofErr w:type="spellStart"/>
            <w:r w:rsidRPr="00BA1B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upto</w:t>
            </w:r>
            <w:proofErr w:type="spellEnd"/>
            <w:r w:rsidRPr="00BA1B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recent.</w:t>
            </w:r>
          </w:p>
        </w:tc>
        <w:tc>
          <w:tcPr>
            <w:tcW w:w="1523" w:type="pct"/>
          </w:tcPr>
          <w:p w:rsidR="00F1171E" w:rsidRPr="00BA1B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1B43" w:rsidTr="007222C8">
        <w:trPr>
          <w:trHeight w:val="386"/>
        </w:trPr>
        <w:tc>
          <w:tcPr>
            <w:tcW w:w="1265" w:type="pct"/>
            <w:noWrap/>
          </w:tcPr>
          <w:p w:rsidR="00F1171E" w:rsidRPr="00BA1B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BA1B4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A1B4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BA1B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BA1B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A1B43" w:rsidRDefault="00BF15E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sz w:val="20"/>
                <w:szCs w:val="20"/>
                <w:lang w:val="en-GB"/>
              </w:rPr>
              <w:t>English quality is suitable.</w:t>
            </w:r>
          </w:p>
          <w:p w:rsidR="00F1171E" w:rsidRPr="00BA1B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A1B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A1B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A1B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A1B43" w:rsidTr="007222C8">
        <w:trPr>
          <w:trHeight w:val="1178"/>
        </w:trPr>
        <w:tc>
          <w:tcPr>
            <w:tcW w:w="1265" w:type="pct"/>
            <w:noWrap/>
          </w:tcPr>
          <w:p w:rsidR="00F1171E" w:rsidRPr="00BA1B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A1B4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A1B4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A1B4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BA1B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BA1B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A1B43" w:rsidRDefault="00BF15E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sz w:val="20"/>
                <w:szCs w:val="20"/>
                <w:lang w:val="en-GB"/>
              </w:rPr>
              <w:t xml:space="preserve">The article is worth publishing as </w:t>
            </w:r>
            <w:proofErr w:type="spellStart"/>
            <w:r w:rsidRPr="00BA1B43">
              <w:rPr>
                <w:rFonts w:ascii="Arial" w:hAnsi="Arial" w:cs="Arial"/>
                <w:sz w:val="20"/>
                <w:szCs w:val="20"/>
                <w:lang w:val="en-GB"/>
              </w:rPr>
              <w:t>abook</w:t>
            </w:r>
            <w:proofErr w:type="spellEnd"/>
            <w:r w:rsidRPr="00BA1B43">
              <w:rPr>
                <w:rFonts w:ascii="Arial" w:hAnsi="Arial" w:cs="Arial"/>
                <w:sz w:val="20"/>
                <w:szCs w:val="20"/>
                <w:lang w:val="en-GB"/>
              </w:rPr>
              <w:t xml:space="preserve"> Chapter.</w:t>
            </w:r>
          </w:p>
          <w:p w:rsidR="00F1171E" w:rsidRPr="00BA1B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BA1B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BA1B4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BA1B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BA1B4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A1B43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BA1B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A1B4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A1B4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F1171E" w:rsidRPr="00BA1B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A1B43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BA1B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BA1B4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1B4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BA1B4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A1B43">
              <w:rPr>
                <w:rFonts w:ascii="Arial" w:hAnsi="Arial" w:cs="Arial"/>
                <w:lang w:val="en-GB"/>
              </w:rPr>
              <w:t>Author’s comment</w:t>
            </w:r>
            <w:r w:rsidRPr="00BA1B4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A1B4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A1B43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BA1B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1B4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BA1B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BA1B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A1B4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A1B4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A1B4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F1171E" w:rsidRPr="00BA1B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BA1B4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BA1B4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BA1B4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BA1B4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BA1B43" w:rsidRPr="00BA1B43" w:rsidRDefault="00BA1B43" w:rsidP="00BA1B43">
      <w:pPr>
        <w:rPr>
          <w:rFonts w:ascii="Arial" w:hAnsi="Arial" w:cs="Arial"/>
          <w:b/>
          <w:sz w:val="20"/>
          <w:szCs w:val="20"/>
          <w:u w:val="single"/>
        </w:rPr>
      </w:pPr>
      <w:r w:rsidRPr="00BA1B43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BA1B43" w:rsidRPr="00BA1B43" w:rsidRDefault="00BA1B43" w:rsidP="00BA1B43">
      <w:pPr>
        <w:rPr>
          <w:rFonts w:ascii="Arial" w:hAnsi="Arial" w:cs="Arial"/>
          <w:b/>
          <w:sz w:val="20"/>
          <w:szCs w:val="20"/>
        </w:rPr>
      </w:pPr>
    </w:p>
    <w:p w:rsidR="00BA1B43" w:rsidRPr="00BA1B43" w:rsidRDefault="00BA1B43" w:rsidP="00BA1B43">
      <w:pPr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BA1B43">
        <w:rPr>
          <w:rFonts w:ascii="Arial" w:hAnsi="Arial" w:cs="Arial"/>
          <w:b/>
          <w:sz w:val="20"/>
          <w:szCs w:val="20"/>
        </w:rPr>
        <w:t>P.Basuchaudhuri</w:t>
      </w:r>
      <w:proofErr w:type="spellEnd"/>
      <w:proofErr w:type="gramEnd"/>
      <w:r w:rsidRPr="00BA1B43">
        <w:rPr>
          <w:rFonts w:ascii="Arial" w:hAnsi="Arial" w:cs="Arial"/>
          <w:b/>
          <w:sz w:val="20"/>
          <w:szCs w:val="20"/>
        </w:rPr>
        <w:t>, India</w:t>
      </w:r>
    </w:p>
    <w:p w:rsidR="00BA1B43" w:rsidRPr="00BA1B43" w:rsidRDefault="00BA1B43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BA1B43" w:rsidRPr="00BA1B4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F7F" w:rsidRPr="0000007A" w:rsidRDefault="004A3F7F" w:rsidP="0099583E">
      <w:r>
        <w:separator/>
      </w:r>
    </w:p>
  </w:endnote>
  <w:endnote w:type="continuationSeparator" w:id="0">
    <w:p w:rsidR="004A3F7F" w:rsidRPr="0000007A" w:rsidRDefault="004A3F7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F7F" w:rsidRPr="0000007A" w:rsidRDefault="004A3F7F" w:rsidP="0099583E">
      <w:r>
        <w:separator/>
      </w:r>
    </w:p>
  </w:footnote>
  <w:footnote w:type="continuationSeparator" w:id="0">
    <w:p w:rsidR="004A3F7F" w:rsidRPr="0000007A" w:rsidRDefault="004A3F7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5996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128A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322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3F7F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1CE2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172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3EEF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549A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7D03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41BC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1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1B4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15EB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74F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6EEC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2EB1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BC3E31"/>
  <w15:docId w15:val="{F98513C4-083E-4AB4-A9E5-7E5930CD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1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1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897/AJB2024.176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