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72A3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72A3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D72A3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72A3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72A3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A74C13" w:rsidR="0000007A" w:rsidRPr="00D72A3F" w:rsidRDefault="008001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45A76" w:rsidRPr="00D72A3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Research: Recent Advances and Trends</w:t>
              </w:r>
            </w:hyperlink>
          </w:p>
        </w:tc>
      </w:tr>
      <w:tr w:rsidR="0000007A" w:rsidRPr="00D72A3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72A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2BEB607" w:rsidR="0000007A" w:rsidRPr="00D72A3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A0EEC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3767</w:t>
            </w:r>
          </w:p>
        </w:tc>
      </w:tr>
      <w:tr w:rsidR="0000007A" w:rsidRPr="00D72A3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72A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396211" w:rsidR="0000007A" w:rsidRPr="00D72A3F" w:rsidRDefault="00AA0E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72A3F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BORTEZOMIB IN BULK AND ITS PHARMACEUTICAL DOSAGE FORMS BY USING A NOVEL VALIDATED ACCURATE REVERSE PHASE HIGH PERFORMANCE LIQUID CHROMATOGRAPHY</w:t>
            </w:r>
          </w:p>
        </w:tc>
      </w:tr>
      <w:tr w:rsidR="00CF0BBB" w:rsidRPr="00D72A3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72A3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42B497" w:rsidR="00CF0BBB" w:rsidRPr="00D72A3F" w:rsidRDefault="006F6B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72A3F" w:rsidRDefault="00D27A79" w:rsidP="00D72A3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72A3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2A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2A3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2A3F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2A3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72A3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2A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2A3F">
              <w:rPr>
                <w:rFonts w:ascii="Arial" w:hAnsi="Arial" w:cs="Arial"/>
                <w:lang w:val="en-GB"/>
              </w:rPr>
              <w:t>Author’s Feedback</w:t>
            </w:r>
            <w:r w:rsidRPr="00D72A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2A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72A3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D72A3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49A1858" w:rsidR="00F1171E" w:rsidRPr="00D72A3F" w:rsidRDefault="00C93C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</w:rPr>
              <w:t>This manuscript is important for the scientific community as it addresses a methodology for the quantification of B</w:t>
            </w:r>
            <w:r w:rsidRPr="00D72A3F">
              <w:rPr>
                <w:rFonts w:ascii="Arial" w:hAnsi="Arial" w:cs="Arial"/>
                <w:b/>
                <w:sz w:val="20"/>
                <w:szCs w:val="20"/>
              </w:rPr>
              <w:t>ortezomib. I like the title of this article. This article methodology might implement for the quantification of Bortezomib in pharmaceutical preparation.</w:t>
            </w:r>
          </w:p>
        </w:tc>
        <w:tc>
          <w:tcPr>
            <w:tcW w:w="1523" w:type="pct"/>
          </w:tcPr>
          <w:p w14:paraId="462A339C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2A3F" w14:paraId="0D8B5B2C" w14:textId="77777777" w:rsidTr="003D25AA">
        <w:trPr>
          <w:trHeight w:val="395"/>
        </w:trPr>
        <w:tc>
          <w:tcPr>
            <w:tcW w:w="1265" w:type="pct"/>
            <w:noWrap/>
          </w:tcPr>
          <w:p w14:paraId="21CBA5FE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7B3E255" w:rsidR="00F1171E" w:rsidRPr="00D72A3F" w:rsidRDefault="00D057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2A3F" w14:paraId="5604762A" w14:textId="77777777" w:rsidTr="003D25AA">
        <w:trPr>
          <w:trHeight w:val="413"/>
        </w:trPr>
        <w:tc>
          <w:tcPr>
            <w:tcW w:w="1265" w:type="pct"/>
            <w:noWrap/>
          </w:tcPr>
          <w:p w14:paraId="3635573D" w14:textId="77777777" w:rsidR="00F1171E" w:rsidRPr="00D72A3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2A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EF902F4" w:rsidR="00F1171E" w:rsidRPr="00D72A3F" w:rsidRDefault="00EF46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2A3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730B92A" w14:textId="71DFCCC0" w:rsidR="00F1171E" w:rsidRPr="00D72A3F" w:rsidRDefault="00D05711" w:rsidP="00D05711">
            <w:pPr>
              <w:pStyle w:val="ListParagraph"/>
              <w:numPr>
                <w:ilvl w:val="0"/>
                <w:numId w:val="11"/>
              </w:numPr>
              <w:ind w:left="136" w:hanging="1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Subsection: Instrumentation under materials and methods</w:t>
            </w:r>
          </w:p>
          <w:p w14:paraId="30D7CC7F" w14:textId="77777777" w:rsidR="00D05711" w:rsidRPr="00D72A3F" w:rsidRDefault="00D0571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used column specification should be </w:t>
            </w:r>
            <w:r w:rsidRPr="00D72A3F">
              <w:rPr>
                <w:rFonts w:ascii="Arial" w:hAnsi="Arial" w:cs="Arial"/>
                <w:sz w:val="20"/>
                <w:szCs w:val="20"/>
              </w:rPr>
              <w:t>BDS</w:t>
            </w:r>
            <w:r w:rsidRPr="00D72A3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Hypersil</w:t>
            </w:r>
            <w:proofErr w:type="spellEnd"/>
            <w:r w:rsidRPr="00D72A3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C8</w:t>
            </w:r>
            <w:r w:rsidRPr="00D72A3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(250</w:t>
            </w:r>
            <w:r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x</w:t>
            </w:r>
            <w:r w:rsidRPr="00D72A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4.6mm, 5μ) column instead of BDS</w:t>
            </w:r>
            <w:r w:rsidRPr="00D72A3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Hypersil</w:t>
            </w:r>
            <w:proofErr w:type="spellEnd"/>
            <w:r w:rsidRPr="00D72A3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C8</w:t>
            </w:r>
            <w:r w:rsidRPr="00D72A3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(250</w:t>
            </w:r>
            <w:r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x</w:t>
            </w:r>
            <w:r w:rsidRPr="00D72A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>4.6μ, 5μ) column</w:t>
            </w:r>
          </w:p>
          <w:p w14:paraId="06EBF52C" w14:textId="2CDA3E5D" w:rsidR="00D77FEB" w:rsidRPr="00D72A3F" w:rsidRDefault="00D77FEB" w:rsidP="00B917BF">
            <w:pPr>
              <w:pStyle w:val="ListParagraph"/>
              <w:numPr>
                <w:ilvl w:val="0"/>
                <w:numId w:val="11"/>
              </w:numPr>
              <w:ind w:left="136" w:hanging="1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</w:rPr>
              <w:t>Table-5: System suitability study</w:t>
            </w:r>
            <w:r w:rsidR="00B917BF" w:rsidRPr="00D72A3F">
              <w:rPr>
                <w:rFonts w:ascii="Arial" w:hAnsi="Arial" w:cs="Arial"/>
                <w:b/>
                <w:bCs/>
                <w:sz w:val="20"/>
                <w:szCs w:val="20"/>
              </w:rPr>
              <w:t>: LOD and LOQ Failed to meet the acceptance criteria.</w:t>
            </w:r>
          </w:p>
          <w:p w14:paraId="71DC0732" w14:textId="25E80CEC" w:rsidR="00D77FEB" w:rsidRPr="00D72A3F" w:rsidRDefault="00D77FEB" w:rsidP="00B917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acceptance criteria for LOD:</w:t>
            </w:r>
            <w:r w:rsidR="00B917BF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S/N ratio for</w:t>
            </w: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LOD should be NLT 2:1 or 3:1 </w:t>
            </w:r>
            <w:r w:rsidR="00B917BF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(As per ICH Q2R2)</w:t>
            </w:r>
          </w:p>
          <w:p w14:paraId="177BA03F" w14:textId="77777777" w:rsidR="003D3FDC" w:rsidRPr="00D72A3F" w:rsidRDefault="00D77FEB" w:rsidP="003D3FD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acceptance criteria for LOQ: </w:t>
            </w:r>
            <w:r w:rsidR="00B917BF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S/N ratio for </w:t>
            </w: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LOQ should be NLT </w:t>
            </w:r>
            <w:proofErr w:type="gramStart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10:1</w:t>
            </w:r>
            <w:r w:rsidR="00B917BF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(</w:t>
            </w:r>
            <w:proofErr w:type="gramEnd"/>
            <w:r w:rsidR="00B917BF"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per ICH Q2R2)</w:t>
            </w:r>
          </w:p>
          <w:p w14:paraId="3C83FEE0" w14:textId="77777777" w:rsidR="003D3FDC" w:rsidRPr="00D72A3F" w:rsidRDefault="003D3FDC" w:rsidP="00EF46B8">
            <w:pPr>
              <w:pStyle w:val="ListParagraph"/>
              <w:numPr>
                <w:ilvl w:val="0"/>
                <w:numId w:val="11"/>
              </w:numPr>
              <w:ind w:left="136" w:hanging="1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Selection of mobile phase: </w:t>
            </w:r>
          </w:p>
          <w:p w14:paraId="2B5A7721" w14:textId="741275B0" w:rsidR="003D3FDC" w:rsidRPr="00D72A3F" w:rsidRDefault="003D3FDC" w:rsidP="003D25AA">
            <w:pPr>
              <w:pStyle w:val="BodyText"/>
              <w:spacing w:before="112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Sentence making should update. It can be “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solubility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stability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Pr="00D72A3F">
              <w:rPr>
                <w:rFonts w:ascii="Arial" w:hAnsi="Arial" w:cs="Arial"/>
                <w:sz w:val="20"/>
                <w:szCs w:val="20"/>
              </w:rPr>
              <w:t>suitability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> ;</w:t>
            </w:r>
            <w:proofErr w:type="gramEnd"/>
            <w:r w:rsidRPr="00D72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v</w:t>
            </w:r>
            <w:r w:rsidRPr="00D72A3F">
              <w:rPr>
                <w:rFonts w:ascii="Arial" w:hAnsi="Arial" w:cs="Arial"/>
                <w:sz w:val="20"/>
                <w:szCs w:val="20"/>
              </w:rPr>
              <w:t>arious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 mobile</w:t>
            </w:r>
            <w:r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2A3F">
              <w:rPr>
                <w:rFonts w:ascii="Arial" w:hAnsi="Arial" w:cs="Arial"/>
                <w:sz w:val="20"/>
                <w:szCs w:val="20"/>
              </w:rPr>
              <w:t xml:space="preserve">phases and compositions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given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trial </w:t>
            </w:r>
            <w:r w:rsidRPr="00D72A3F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get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 a good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Pr="00D72A3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sharp</w:t>
            </w:r>
            <w:proofErr w:type="spellEnd"/>
            <w:r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2A3F">
              <w:rPr>
                <w:rFonts w:ascii="Arial" w:hAnsi="Arial" w:cs="Arial"/>
                <w:sz w:val="20"/>
                <w:szCs w:val="20"/>
              </w:rPr>
              <w:t>peak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instead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solubility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stability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suitability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mobile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phases and compositions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tried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get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a good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sharp</w:t>
            </w:r>
            <w:proofErr w:type="spellEnd"/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peak</w:t>
            </w:r>
            <w:proofErr w:type="spellEnd"/>
            <w:r w:rsidR="00EF46B8" w:rsidRPr="00D72A3F">
              <w:rPr>
                <w:rFonts w:ascii="Arial" w:hAnsi="Arial" w:cs="Arial"/>
                <w:sz w:val="20"/>
                <w:szCs w:val="20"/>
              </w:rPr>
              <w:t>.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The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standard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solution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was</w:t>
            </w:r>
            <w:proofErr w:type="spellEnd"/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run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in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F46B8" w:rsidRPr="00D72A3F">
              <w:rPr>
                <w:rFonts w:ascii="Arial" w:hAnsi="Arial" w:cs="Arial"/>
                <w:sz w:val="20"/>
                <w:szCs w:val="20"/>
              </w:rPr>
              <w:t>different</w:t>
            </w:r>
            <w:proofErr w:type="spellEnd"/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mobile</w:t>
            </w:r>
            <w:r w:rsidR="00EF46B8" w:rsidRPr="00D72A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F46B8" w:rsidRPr="00D72A3F">
              <w:rPr>
                <w:rFonts w:ascii="Arial" w:hAnsi="Arial" w:cs="Arial"/>
                <w:sz w:val="20"/>
                <w:szCs w:val="20"/>
              </w:rPr>
              <w:t>phases.</w:t>
            </w:r>
          </w:p>
        </w:tc>
        <w:tc>
          <w:tcPr>
            <w:tcW w:w="1523" w:type="pct"/>
          </w:tcPr>
          <w:p w14:paraId="4898F764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2A3F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284AF1CE" w:rsidR="00F1171E" w:rsidRPr="00D72A3F" w:rsidRDefault="00EF46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aim of this manuscript is well and good. In this manuscript, various mobile phase </w:t>
            </w:r>
            <w:proofErr w:type="gramStart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were</w:t>
            </w:r>
            <w:proofErr w:type="gramEnd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prepared for eluting the target peak but only the </w:t>
            </w:r>
            <w:proofErr w:type="spellStart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succesfull</w:t>
            </w:r>
            <w:proofErr w:type="spellEnd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with chromatogram has given; no scientific data related to the unsatisfactory results found. So, I think it will better if the author </w:t>
            </w:r>
            <w:proofErr w:type="gramStart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</w:t>
            </w:r>
            <w:proofErr w:type="gramEnd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failed data also for the other prepared mobile phase, it will be much more scientific and logical.</w:t>
            </w:r>
          </w:p>
        </w:tc>
        <w:tc>
          <w:tcPr>
            <w:tcW w:w="1523" w:type="pct"/>
          </w:tcPr>
          <w:p w14:paraId="4614DFC3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2A3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72A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547ACC" w:rsidR="00F1171E" w:rsidRPr="00D72A3F" w:rsidRDefault="00EF46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suggestions</w:t>
            </w:r>
          </w:p>
        </w:tc>
        <w:tc>
          <w:tcPr>
            <w:tcW w:w="1523" w:type="pct"/>
          </w:tcPr>
          <w:p w14:paraId="40220055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2A3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2A3F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D72A3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72A3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2A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339DA07" w:rsidR="00F1171E" w:rsidRPr="00D72A3F" w:rsidRDefault="00EF46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sz w:val="20"/>
                <w:szCs w:val="20"/>
                <w:lang w:val="en-GB"/>
              </w:rPr>
              <w:t>Average quality of English.</w:t>
            </w:r>
          </w:p>
          <w:p w14:paraId="149A6CEF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2A3F" w14:paraId="20A16C0C" w14:textId="77777777" w:rsidTr="00D72A3F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2A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72A3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72A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72A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72A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72A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50526" w:rsidRPr="00D72A3F" w14:paraId="5D4DB801" w14:textId="77777777" w:rsidTr="00D72A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A2D8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D72A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372FC81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50526" w:rsidRPr="00D72A3F" w14:paraId="34C9DE5E" w14:textId="77777777" w:rsidTr="00D72A3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E1B9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2423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2F39D1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72A3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50526" w:rsidRPr="00D72A3F" w14:paraId="2AF9CF56" w14:textId="77777777" w:rsidTr="00D72A3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9504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0B57E44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B8F1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2A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2A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8F8BEE7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9C09D73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D653697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EEC3BC2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7BD79E3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C93CFDD" w14:textId="77777777" w:rsidR="00F50526" w:rsidRPr="00D72A3F" w:rsidRDefault="00F50526" w:rsidP="00F505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50526" w:rsidRPr="00D72A3F" w14:paraId="22ED859A" w14:textId="77777777" w:rsidTr="00D72A3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026B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FF19BA9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50526" w:rsidRPr="00D72A3F" w14:paraId="5F96B21E" w14:textId="77777777" w:rsidTr="00D72A3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B4E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1851" w14:textId="3ADC8562" w:rsidR="00F50526" w:rsidRPr="00D72A3F" w:rsidRDefault="00D72A3F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Md </w:t>
            </w:r>
            <w:proofErr w:type="spellStart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Nazmus</w:t>
            </w:r>
            <w:proofErr w:type="spellEnd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Sakib</w:t>
            </w:r>
            <w:proofErr w:type="spellEnd"/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Chowdhury</w:t>
            </w:r>
          </w:p>
        </w:tc>
      </w:tr>
      <w:tr w:rsidR="00F50526" w:rsidRPr="00D72A3F" w14:paraId="7E42BD69" w14:textId="77777777" w:rsidTr="00D72A3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08CF" w14:textId="77777777" w:rsidR="00F50526" w:rsidRPr="00D72A3F" w:rsidRDefault="00F50526" w:rsidP="00F5052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B3DC" w14:textId="59B52557" w:rsidR="00F50526" w:rsidRPr="00D72A3F" w:rsidRDefault="00D72A3F" w:rsidP="00D72A3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Bangabandhu Sheikh Mujibur Rahman Science and Technology University</w:t>
            </w: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72A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Bangladesh</w:t>
            </w:r>
          </w:p>
        </w:tc>
      </w:tr>
    </w:tbl>
    <w:p w14:paraId="616951B7" w14:textId="77777777" w:rsidR="00F50526" w:rsidRPr="00D72A3F" w:rsidRDefault="00F50526" w:rsidP="00F505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2070BAF7" w14:textId="77777777" w:rsidR="00F50526" w:rsidRPr="00D72A3F" w:rsidRDefault="00F50526" w:rsidP="00F505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D72A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72A3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F735" w14:textId="77777777" w:rsidR="00800111" w:rsidRPr="0000007A" w:rsidRDefault="00800111" w:rsidP="0099583E">
      <w:r>
        <w:separator/>
      </w:r>
    </w:p>
  </w:endnote>
  <w:endnote w:type="continuationSeparator" w:id="0">
    <w:p w14:paraId="1EC644E2" w14:textId="77777777" w:rsidR="00800111" w:rsidRPr="0000007A" w:rsidRDefault="008001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8FAF" w14:textId="77777777" w:rsidR="00800111" w:rsidRPr="0000007A" w:rsidRDefault="00800111" w:rsidP="0099583E">
      <w:r>
        <w:separator/>
      </w:r>
    </w:p>
  </w:footnote>
  <w:footnote w:type="continuationSeparator" w:id="0">
    <w:p w14:paraId="050D2DE3" w14:textId="77777777" w:rsidR="00800111" w:rsidRPr="0000007A" w:rsidRDefault="008001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E83E81"/>
    <w:multiLevelType w:val="hybridMultilevel"/>
    <w:tmpl w:val="6C8A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85B"/>
    <w:rsid w:val="00121FFA"/>
    <w:rsid w:val="0012616A"/>
    <w:rsid w:val="001309DC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103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217"/>
    <w:rsid w:val="002320EB"/>
    <w:rsid w:val="0023696A"/>
    <w:rsid w:val="002422CB"/>
    <w:rsid w:val="002455D2"/>
    <w:rsid w:val="00245A76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CA1"/>
    <w:rsid w:val="00353718"/>
    <w:rsid w:val="0035728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5AA"/>
    <w:rsid w:val="003D3FDC"/>
    <w:rsid w:val="003D67B4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527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949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D3F"/>
    <w:rsid w:val="00581FF9"/>
    <w:rsid w:val="005A4F17"/>
    <w:rsid w:val="005C25A0"/>
    <w:rsid w:val="005C3CCA"/>
    <w:rsid w:val="005D230D"/>
    <w:rsid w:val="005E11DC"/>
    <w:rsid w:val="005E29CE"/>
    <w:rsid w:val="005E3241"/>
    <w:rsid w:val="005E7FB0"/>
    <w:rsid w:val="005F184C"/>
    <w:rsid w:val="00602F7D"/>
    <w:rsid w:val="00605952"/>
    <w:rsid w:val="00605B5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DD7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BF9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011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EE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91C"/>
    <w:rsid w:val="00B917BF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CB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711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A3F"/>
    <w:rsid w:val="00D7603E"/>
    <w:rsid w:val="00D77FEB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6B8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526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research-recent-advances-and-trend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106</cp:revision>
  <dcterms:created xsi:type="dcterms:W3CDTF">2023-08-30T09:21:00Z</dcterms:created>
  <dcterms:modified xsi:type="dcterms:W3CDTF">2025-04-11T09:02:00Z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