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531A8D" w14:paraId="1643A4CA" w14:textId="77777777" w:rsidTr="00531A8D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531A8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531A8D" w14:paraId="127EAD7E" w14:textId="77777777" w:rsidTr="00531A8D">
        <w:trPr>
          <w:trHeight w:val="413"/>
        </w:trPr>
        <w:tc>
          <w:tcPr>
            <w:tcW w:w="1266" w:type="pct"/>
          </w:tcPr>
          <w:p w14:paraId="3C159AA5" w14:textId="77777777" w:rsidR="0000007A" w:rsidRPr="00531A8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31A8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531A8D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B51F982" w:rsidR="0000007A" w:rsidRPr="00531A8D" w:rsidRDefault="00955394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814E6B" w:rsidRPr="00531A8D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Current Research Progress in Agricultural Sciences</w:t>
              </w:r>
            </w:hyperlink>
          </w:p>
        </w:tc>
      </w:tr>
      <w:tr w:rsidR="0000007A" w:rsidRPr="00531A8D" w14:paraId="73C90375" w14:textId="77777777" w:rsidTr="00531A8D">
        <w:trPr>
          <w:trHeight w:val="290"/>
        </w:trPr>
        <w:tc>
          <w:tcPr>
            <w:tcW w:w="1266" w:type="pct"/>
          </w:tcPr>
          <w:p w14:paraId="20D28135" w14:textId="77777777" w:rsidR="0000007A" w:rsidRPr="00531A8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31A8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B8D98B7" w:rsidR="0000007A" w:rsidRPr="00531A8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531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531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531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3E4BDB" w:rsidRPr="00531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4795</w:t>
            </w:r>
          </w:p>
        </w:tc>
      </w:tr>
      <w:tr w:rsidR="0000007A" w:rsidRPr="00531A8D" w14:paraId="05B60576" w14:textId="77777777" w:rsidTr="00531A8D">
        <w:trPr>
          <w:trHeight w:val="331"/>
        </w:trPr>
        <w:tc>
          <w:tcPr>
            <w:tcW w:w="1266" w:type="pct"/>
          </w:tcPr>
          <w:p w14:paraId="0196A627" w14:textId="77777777" w:rsidR="0000007A" w:rsidRPr="00531A8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31A8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2B446DE" w:rsidR="0000007A" w:rsidRPr="00531A8D" w:rsidRDefault="00814E6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531A8D">
              <w:rPr>
                <w:rFonts w:ascii="Arial" w:hAnsi="Arial" w:cs="Arial"/>
                <w:b/>
                <w:sz w:val="20"/>
                <w:szCs w:val="20"/>
                <w:lang w:val="en-GB"/>
              </w:rPr>
              <w:t>Impact of Two Compound Fertilizer Types on the Performance of Three Cassava Varieties (Manihot esculenta Crantz) in Humid Tropics, Port Harcourt, Nigeria</w:t>
            </w:r>
          </w:p>
        </w:tc>
      </w:tr>
      <w:tr w:rsidR="00CF0BBB" w:rsidRPr="00531A8D" w14:paraId="6D508B1C" w14:textId="77777777" w:rsidTr="00531A8D">
        <w:trPr>
          <w:trHeight w:val="332"/>
        </w:trPr>
        <w:tc>
          <w:tcPr>
            <w:tcW w:w="1266" w:type="pct"/>
          </w:tcPr>
          <w:p w14:paraId="32FC28F7" w14:textId="77777777" w:rsidR="00CF0BBB" w:rsidRPr="00531A8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31A8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E795920" w:rsidR="00CF0BBB" w:rsidRPr="00531A8D" w:rsidRDefault="003E4BD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31A8D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531A8D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531A8D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531A8D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37E43B60" w14:textId="77777777" w:rsidR="0086369B" w:rsidRPr="00531A8D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531A8D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531A8D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531A8D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531A8D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531A8D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531A8D" w:rsidRDefault="0095539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531A8D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4BCBC897" w:rsidR="00E03C32" w:rsidRDefault="00814E6B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814E6B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Asian Journal of Plant and Soil Sciences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, 8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814E6B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109-116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814E6B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2FB3644A" w:rsidR="00E03C32" w:rsidRPr="007B54A4" w:rsidRDefault="00814E6B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</w:t>
                  </w:r>
                  <w:r w:rsidR="005757C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: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hyperlink r:id="rId8" w:history="1">
                    <w:r w:rsidRPr="002B1366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https://doi.org/10.56557/ajopss/2023/v8i190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531A8D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531A8D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531A8D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531A8D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531A8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31A8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531A8D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531A8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31A8D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531A8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531A8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31A8D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531A8D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A8D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531A8D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531A8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31A8D">
              <w:rPr>
                <w:rFonts w:ascii="Arial" w:hAnsi="Arial" w:cs="Arial"/>
                <w:lang w:val="en-GB"/>
              </w:rPr>
              <w:t>Author’s Feedback</w:t>
            </w:r>
            <w:r w:rsidRPr="00531A8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31A8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531A8D" w14:paraId="5C0AB4EC" w14:textId="77777777" w:rsidTr="00B31D76">
        <w:trPr>
          <w:trHeight w:val="1007"/>
        </w:trPr>
        <w:tc>
          <w:tcPr>
            <w:tcW w:w="1265" w:type="pct"/>
            <w:noWrap/>
          </w:tcPr>
          <w:p w14:paraId="66B47184" w14:textId="48030299" w:rsidR="00F1171E" w:rsidRPr="00531A8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31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531A8D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51B1DB93" w:rsidR="00F1171E" w:rsidRPr="00531A8D" w:rsidRDefault="0040170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31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research is going to be helpful </w:t>
            </w:r>
            <w:r w:rsidR="003345D0" w:rsidRPr="00531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 selecting more productive cassava varieties </w:t>
            </w:r>
            <w:r w:rsidR="002C0E97" w:rsidRPr="00531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while applying </w:t>
            </w:r>
            <w:r w:rsidR="0043092F" w:rsidRPr="00531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</w:t>
            </w:r>
            <w:r w:rsidR="002C0E97" w:rsidRPr="00531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fertilizer </w:t>
            </w:r>
            <w:r w:rsidR="00236423" w:rsidRPr="00531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that will enhance their optimum productivity </w:t>
            </w:r>
            <w:r w:rsidR="002C0E97" w:rsidRPr="00531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 </w:t>
            </w:r>
            <w:r w:rsidR="00C1326F" w:rsidRPr="00531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</w:t>
            </w:r>
            <w:r w:rsidR="002C0E97" w:rsidRPr="00531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humid region of Nigeria</w:t>
            </w:r>
          </w:p>
        </w:tc>
        <w:tc>
          <w:tcPr>
            <w:tcW w:w="1523" w:type="pct"/>
          </w:tcPr>
          <w:p w14:paraId="462A339C" w14:textId="77777777" w:rsidR="00F1171E" w:rsidRPr="00531A8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31A8D" w14:paraId="0D8B5B2C" w14:textId="77777777" w:rsidTr="00B31D76">
        <w:trPr>
          <w:trHeight w:val="377"/>
        </w:trPr>
        <w:tc>
          <w:tcPr>
            <w:tcW w:w="1265" w:type="pct"/>
            <w:noWrap/>
          </w:tcPr>
          <w:p w14:paraId="21CBA5FE" w14:textId="77777777" w:rsidR="00F1171E" w:rsidRPr="00531A8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31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531A8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31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531A8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10C9CAE7" w:rsidR="00F1171E" w:rsidRPr="00531A8D" w:rsidRDefault="00C2643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31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531A8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31A8D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531A8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31A8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531A8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FAE03EA" w14:textId="77777777" w:rsidR="00F1171E" w:rsidRPr="00531A8D" w:rsidRDefault="00863D5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31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abs</w:t>
            </w:r>
            <w:r w:rsidR="00F80F3B" w:rsidRPr="00531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tract is okay, but some adjustments needs to be done </w:t>
            </w:r>
          </w:p>
          <w:p w14:paraId="41252DFE" w14:textId="77777777" w:rsidR="0024170E" w:rsidRPr="00531A8D" w:rsidRDefault="00F80F3B" w:rsidP="00F80F3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31A8D">
              <w:rPr>
                <w:rFonts w:ascii="Arial" w:eastAsia="Calibri" w:hAnsi="Arial" w:cs="Arial"/>
                <w:sz w:val="20"/>
                <w:szCs w:val="20"/>
              </w:rPr>
              <w:t xml:space="preserve">What do you mean by </w:t>
            </w:r>
            <w:r w:rsidR="001D35F4" w:rsidRPr="00531A8D">
              <w:rPr>
                <w:rFonts w:ascii="Arial" w:eastAsia="Calibri" w:hAnsi="Arial" w:cs="Arial"/>
                <w:sz w:val="20"/>
                <w:szCs w:val="20"/>
              </w:rPr>
              <w:t xml:space="preserve">“Parameters evaluated were number of branches and canopy diameter at four weekly intervals starting </w:t>
            </w:r>
            <w:r w:rsidR="001D35F4" w:rsidRPr="00531A8D">
              <w:rPr>
                <w:rFonts w:ascii="Arial" w:eastAsia="Calibri" w:hAnsi="Arial" w:cs="Arial"/>
                <w:sz w:val="20"/>
                <w:szCs w:val="20"/>
                <w:highlight w:val="yellow"/>
              </w:rPr>
              <w:t>from</w:t>
            </w:r>
            <w:r w:rsidR="00135D1F" w:rsidRPr="00531A8D">
              <w:rPr>
                <w:rFonts w:ascii="Arial" w:eastAsia="Calibri" w:hAnsi="Arial" w:cs="Arial"/>
                <w:sz w:val="20"/>
                <w:szCs w:val="20"/>
                <w:highlight w:val="yellow"/>
              </w:rPr>
              <w:t xml:space="preserve"> </w:t>
            </w:r>
            <w:r w:rsidRPr="00531A8D">
              <w:rPr>
                <w:rFonts w:ascii="Arial" w:eastAsia="Calibri" w:hAnsi="Arial" w:cs="Arial"/>
                <w:sz w:val="20"/>
                <w:szCs w:val="20"/>
                <w:highlight w:val="yellow"/>
              </w:rPr>
              <w:t>tenth weeks after planting and ending to fresh/dry pulp weight and fresh/dry peel weight were also taken</w:t>
            </w:r>
            <w:r w:rsidRPr="00531A8D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135D1F" w:rsidRPr="00531A8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656E7920" w14:textId="77777777" w:rsidR="00F80F3B" w:rsidRPr="00531A8D" w:rsidRDefault="0024170E" w:rsidP="0024170E">
            <w:pPr>
              <w:pStyle w:val="ListParagraph"/>
              <w:rPr>
                <w:rFonts w:ascii="Arial" w:eastAsia="Calibri" w:hAnsi="Arial" w:cs="Arial"/>
                <w:sz w:val="20"/>
                <w:szCs w:val="20"/>
              </w:rPr>
            </w:pPr>
            <w:r w:rsidRPr="00531A8D">
              <w:rPr>
                <w:rFonts w:ascii="Arial" w:eastAsia="Calibri" w:hAnsi="Arial" w:cs="Arial"/>
                <w:sz w:val="20"/>
                <w:szCs w:val="20"/>
              </w:rPr>
              <w:t xml:space="preserve">Suggesting have been made on the manuscript as comments </w:t>
            </w:r>
          </w:p>
          <w:p w14:paraId="24E4A7DC" w14:textId="77777777" w:rsidR="0024170E" w:rsidRPr="00531A8D" w:rsidRDefault="00694993" w:rsidP="0024170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31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is always advisable to give future research directives </w:t>
            </w:r>
            <w:r w:rsidR="008030DF" w:rsidRPr="00531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ending the abstract </w:t>
            </w:r>
          </w:p>
          <w:p w14:paraId="06A3E3CD" w14:textId="77777777" w:rsidR="003864C2" w:rsidRPr="00531A8D" w:rsidRDefault="003864C2" w:rsidP="008030DF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EA983F" w14:textId="19EF267A" w:rsidR="008030DF" w:rsidRPr="00531A8D" w:rsidRDefault="003864C2" w:rsidP="008030DF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A8D">
              <w:rPr>
                <w:rFonts w:ascii="Arial" w:hAnsi="Arial" w:cs="Arial"/>
                <w:b/>
                <w:bCs/>
                <w:sz w:val="20"/>
                <w:szCs w:val="20"/>
              </w:rPr>
              <w:t>For instance,</w:t>
            </w:r>
          </w:p>
          <w:p w14:paraId="4DD25AB8" w14:textId="77777777" w:rsidR="003864C2" w:rsidRPr="00531A8D" w:rsidRDefault="003864C2" w:rsidP="008030DF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B7E83A" w14:textId="4363D4FA" w:rsidR="008030DF" w:rsidRPr="00531A8D" w:rsidRDefault="008030DF" w:rsidP="00B31D76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A8D">
              <w:rPr>
                <w:rFonts w:ascii="Arial" w:hAnsi="Arial" w:cs="Arial"/>
                <w:b/>
                <w:bCs/>
                <w:sz w:val="20"/>
                <w:szCs w:val="20"/>
              </w:rPr>
              <w:t>Further, growth and yield were mostly enhanced with NPK 15-15-15 fertilizer application compared to NPK 20-10-10. However, more field research on these fertilizers are needed to better understand their effect on cassava performance.</w:t>
            </w:r>
          </w:p>
        </w:tc>
        <w:tc>
          <w:tcPr>
            <w:tcW w:w="1523" w:type="pct"/>
          </w:tcPr>
          <w:p w14:paraId="1D54B730" w14:textId="77777777" w:rsidR="00F1171E" w:rsidRPr="00531A8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31A8D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531A8D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31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0311180C" w:rsidR="00DC12F9" w:rsidRPr="00531A8D" w:rsidRDefault="00C2643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31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r w:rsidR="00501C44" w:rsidRPr="00531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but the authors reported some of the results </w:t>
            </w:r>
            <w:r w:rsidR="003769D1" w:rsidRPr="00531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incorrectly</w:t>
            </w:r>
            <w:r w:rsidR="00501C44" w:rsidRPr="00531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</w:t>
            </w:r>
            <w:r w:rsidR="003769D1" w:rsidRPr="00531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</w:t>
            </w:r>
            <w:r w:rsidR="00501C44" w:rsidRPr="00531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manuscript, </w:t>
            </w:r>
            <w:r w:rsidR="00CC3756" w:rsidRPr="00531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comments on the incorrect reported results were made as well as </w:t>
            </w:r>
            <w:r w:rsidR="005B2519" w:rsidRPr="00531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suggestions</w:t>
            </w:r>
            <w:r w:rsidR="00826540" w:rsidRPr="00531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</w:t>
            </w:r>
          </w:p>
        </w:tc>
        <w:tc>
          <w:tcPr>
            <w:tcW w:w="1523" w:type="pct"/>
          </w:tcPr>
          <w:p w14:paraId="4898F764" w14:textId="77777777" w:rsidR="00F1171E" w:rsidRPr="00531A8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31A8D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531A8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31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531A8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31A8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66B4BEE7" w14:textId="37CA6229" w:rsidR="00E651AB" w:rsidRPr="00531A8D" w:rsidRDefault="006E61F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31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Consider </w:t>
            </w:r>
            <w:r w:rsidR="00D93891" w:rsidRPr="00531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adding</w:t>
            </w:r>
            <w:r w:rsidRPr="00531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this recent reference </w:t>
            </w:r>
            <w:r w:rsidR="00E651AB" w:rsidRPr="00531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about TME419</w:t>
            </w:r>
            <w:r w:rsidR="0007046C" w:rsidRPr="00531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 give the manuscript more strength and </w:t>
            </w:r>
            <w:r w:rsidR="00D93891" w:rsidRPr="00531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 more </w:t>
            </w:r>
            <w:r w:rsidR="0007046C" w:rsidRPr="00531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recent reference</w:t>
            </w:r>
            <w:r w:rsidR="00E651AB" w:rsidRPr="00531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</w:t>
            </w:r>
          </w:p>
          <w:p w14:paraId="08958CF3" w14:textId="77777777" w:rsidR="0007046C" w:rsidRPr="00531A8D" w:rsidRDefault="0007046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4FE0567" w14:textId="5C4DC534" w:rsidR="00F1171E" w:rsidRPr="00531A8D" w:rsidRDefault="0085664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31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Liman et al. </w:t>
            </w:r>
            <w:r w:rsidR="00E651AB" w:rsidRPr="00531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</w:t>
            </w:r>
            <w:r w:rsidRPr="00531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2025</w:t>
            </w:r>
            <w:r w:rsidR="00E651AB" w:rsidRPr="00531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) also worked on </w:t>
            </w:r>
            <w:r w:rsidR="00D93891" w:rsidRPr="00531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different</w:t>
            </w:r>
            <w:r w:rsidR="00E651AB" w:rsidRPr="00531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F60E98" w:rsidRPr="00531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cassava varieties</w:t>
            </w:r>
            <w:r w:rsidR="0007046C" w:rsidRPr="00531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</w:t>
            </w:r>
            <w:r w:rsidR="00F60E98" w:rsidRPr="00531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they</w:t>
            </w:r>
            <w:r w:rsidR="0007046C" w:rsidRPr="00531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(Liman et al. 20</w:t>
            </w:r>
            <w:r w:rsidR="00D93891" w:rsidRPr="00531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25)</w:t>
            </w:r>
            <w:r w:rsidR="00F60E98" w:rsidRPr="00531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reported high branching quality </w:t>
            </w:r>
            <w:r w:rsidR="00B47121" w:rsidRPr="00531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and root weight </w:t>
            </w:r>
            <w:r w:rsidR="00F60E98" w:rsidRPr="00531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of TME 419</w:t>
            </w:r>
            <w:r w:rsidR="00D93891" w:rsidRPr="00531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</w:t>
            </w:r>
            <w:r w:rsidRPr="00531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pct"/>
          </w:tcPr>
          <w:p w14:paraId="40220055" w14:textId="77777777" w:rsidR="00F1171E" w:rsidRPr="00531A8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31A8D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531A8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531A8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31A8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531A8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531A8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3B20BD02" w:rsidR="00F1171E" w:rsidRPr="00531A8D" w:rsidRDefault="00604E14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1A8D">
              <w:rPr>
                <w:rFonts w:ascii="Arial" w:hAnsi="Arial" w:cs="Arial"/>
                <w:sz w:val="20"/>
                <w:szCs w:val="20"/>
                <w:lang w:val="en-GB"/>
              </w:rPr>
              <w:t xml:space="preserve">Yes, </w:t>
            </w:r>
            <w:r w:rsidR="00E45063" w:rsidRPr="00531A8D">
              <w:rPr>
                <w:rFonts w:ascii="Arial" w:hAnsi="Arial" w:cs="Arial"/>
                <w:sz w:val="20"/>
                <w:szCs w:val="20"/>
                <w:lang w:val="en-GB"/>
              </w:rPr>
              <w:t>b</w:t>
            </w:r>
            <w:r w:rsidR="008C17D9" w:rsidRPr="00531A8D">
              <w:rPr>
                <w:rFonts w:ascii="Arial" w:hAnsi="Arial" w:cs="Arial"/>
                <w:sz w:val="20"/>
                <w:szCs w:val="20"/>
                <w:lang w:val="en-GB"/>
              </w:rPr>
              <w:t>ut consider most of the</w:t>
            </w:r>
            <w:r w:rsidRPr="00531A8D">
              <w:rPr>
                <w:rFonts w:ascii="Arial" w:hAnsi="Arial" w:cs="Arial"/>
                <w:sz w:val="20"/>
                <w:szCs w:val="20"/>
                <w:lang w:val="en-GB"/>
              </w:rPr>
              <w:t xml:space="preserve"> suggestion</w:t>
            </w:r>
            <w:r w:rsidR="008C17D9" w:rsidRPr="00531A8D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531A8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8C17D9" w:rsidRPr="00531A8D">
              <w:rPr>
                <w:rFonts w:ascii="Arial" w:hAnsi="Arial" w:cs="Arial"/>
                <w:sz w:val="20"/>
                <w:szCs w:val="20"/>
                <w:lang w:val="en-GB"/>
              </w:rPr>
              <w:t>(comments)</w:t>
            </w:r>
            <w:r w:rsidRPr="00531A8D">
              <w:rPr>
                <w:rFonts w:ascii="Arial" w:hAnsi="Arial" w:cs="Arial"/>
                <w:sz w:val="20"/>
                <w:szCs w:val="20"/>
                <w:lang w:val="en-GB"/>
              </w:rPr>
              <w:t>on the manus</w:t>
            </w:r>
            <w:r w:rsidR="008C17D9" w:rsidRPr="00531A8D">
              <w:rPr>
                <w:rFonts w:ascii="Arial" w:hAnsi="Arial" w:cs="Arial"/>
                <w:sz w:val="20"/>
                <w:szCs w:val="20"/>
                <w:lang w:val="en-GB"/>
              </w:rPr>
              <w:t xml:space="preserve">cript. </w:t>
            </w:r>
          </w:p>
          <w:p w14:paraId="149A6CEF" w14:textId="318CB167" w:rsidR="00F1171E" w:rsidRPr="00531A8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531A8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31A8D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531A8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31A8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531A8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531A8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531A8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5E946A0E" w14:textId="09971FCF" w:rsidR="00F1171E" w:rsidRPr="00531A8D" w:rsidRDefault="00225B8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1A8D">
              <w:rPr>
                <w:rFonts w:ascii="Arial" w:hAnsi="Arial" w:cs="Arial"/>
                <w:sz w:val="20"/>
                <w:szCs w:val="20"/>
                <w:lang w:val="en-GB"/>
              </w:rPr>
              <w:t xml:space="preserve">Table 1. the authors should make number of branches </w:t>
            </w:r>
            <w:r w:rsidR="00AC1CA6" w:rsidRPr="00531A8D">
              <w:rPr>
                <w:rFonts w:ascii="Arial" w:hAnsi="Arial" w:cs="Arial"/>
                <w:sz w:val="20"/>
                <w:szCs w:val="20"/>
                <w:lang w:val="en-GB"/>
              </w:rPr>
              <w:t xml:space="preserve">countable. </w:t>
            </w:r>
          </w:p>
          <w:p w14:paraId="2DAD19A0" w14:textId="77777777" w:rsidR="00AC1CA6" w:rsidRPr="00531A8D" w:rsidRDefault="00AC1CA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6E889A5F" w:rsidR="00F1171E" w:rsidRPr="00531A8D" w:rsidRDefault="00AC1CA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1A8D">
              <w:rPr>
                <w:rFonts w:ascii="Arial" w:hAnsi="Arial" w:cs="Arial"/>
                <w:sz w:val="20"/>
                <w:szCs w:val="20"/>
                <w:lang w:val="en-GB"/>
              </w:rPr>
              <w:t>Consider the comments on the manuscript</w:t>
            </w:r>
            <w:r w:rsidR="0043092F" w:rsidRPr="00531A8D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Pr="00531A8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FB36A3" w:rsidRPr="00531A8D">
              <w:rPr>
                <w:rFonts w:ascii="Arial" w:hAnsi="Arial" w:cs="Arial"/>
                <w:sz w:val="20"/>
                <w:szCs w:val="20"/>
                <w:lang w:val="en-GB"/>
              </w:rPr>
              <w:t xml:space="preserve">and I wish the authors best wishes. </w:t>
            </w:r>
          </w:p>
        </w:tc>
        <w:tc>
          <w:tcPr>
            <w:tcW w:w="1523" w:type="pct"/>
          </w:tcPr>
          <w:p w14:paraId="465E098E" w14:textId="77777777" w:rsidR="00F1171E" w:rsidRPr="00531A8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531A8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531A8D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531A8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531A8D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531A8D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531A8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531A8D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531A8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531A8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31A8D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531A8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31A8D">
              <w:rPr>
                <w:rFonts w:ascii="Arial" w:hAnsi="Arial" w:cs="Arial"/>
                <w:lang w:val="en-GB"/>
              </w:rPr>
              <w:t>Author’s comment</w:t>
            </w:r>
            <w:r w:rsidRPr="00531A8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31A8D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531A8D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531A8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31A8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531A8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531A8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31A8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31A8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31A8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531A8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531A8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531A8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531A8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531A8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531A8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688A32A" w14:textId="77777777" w:rsidR="009B3E1C" w:rsidRPr="009B3E1C" w:rsidRDefault="009B3E1C" w:rsidP="009B3E1C">
      <w:pPr>
        <w:rPr>
          <w:rFonts w:ascii="Arial" w:hAnsi="Arial" w:cs="Arial"/>
          <w:b/>
          <w:sz w:val="20"/>
          <w:szCs w:val="20"/>
          <w:u w:val="single"/>
        </w:rPr>
      </w:pPr>
      <w:r w:rsidRPr="009B3E1C">
        <w:rPr>
          <w:rFonts w:ascii="Arial" w:hAnsi="Arial" w:cs="Arial"/>
          <w:b/>
          <w:sz w:val="20"/>
          <w:szCs w:val="20"/>
          <w:u w:val="single"/>
        </w:rPr>
        <w:lastRenderedPageBreak/>
        <w:t>Reviewer details:</w:t>
      </w:r>
    </w:p>
    <w:p w14:paraId="62E836C8" w14:textId="77777777" w:rsidR="009B3E1C" w:rsidRPr="009B3E1C" w:rsidRDefault="009B3E1C" w:rsidP="009B3E1C">
      <w:pPr>
        <w:rPr>
          <w:rFonts w:ascii="Arial" w:hAnsi="Arial" w:cs="Arial"/>
          <w:b/>
          <w:sz w:val="20"/>
          <w:szCs w:val="20"/>
        </w:rPr>
      </w:pPr>
      <w:r w:rsidRPr="009B3E1C">
        <w:rPr>
          <w:rFonts w:ascii="Arial" w:hAnsi="Arial" w:cs="Arial"/>
          <w:b/>
          <w:sz w:val="20"/>
          <w:szCs w:val="20"/>
        </w:rPr>
        <w:t xml:space="preserve">Abdullahi </w:t>
      </w:r>
      <w:proofErr w:type="spellStart"/>
      <w:r w:rsidRPr="009B3E1C">
        <w:rPr>
          <w:rFonts w:ascii="Arial" w:hAnsi="Arial" w:cs="Arial"/>
          <w:b/>
          <w:sz w:val="20"/>
          <w:szCs w:val="20"/>
        </w:rPr>
        <w:t>Hussaini</w:t>
      </w:r>
      <w:proofErr w:type="spellEnd"/>
      <w:r w:rsidRPr="009B3E1C">
        <w:rPr>
          <w:rFonts w:ascii="Arial" w:hAnsi="Arial" w:cs="Arial"/>
          <w:b/>
          <w:sz w:val="20"/>
          <w:szCs w:val="20"/>
        </w:rPr>
        <w:t xml:space="preserve"> Liman, New Mexico State University (NMSU), USA</w:t>
      </w:r>
    </w:p>
    <w:p w14:paraId="48DC05A4" w14:textId="77777777" w:rsidR="004C3DF1" w:rsidRPr="00531A8D" w:rsidRDefault="004C3DF1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4C3DF1" w:rsidRPr="00531A8D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22A18" w14:textId="77777777" w:rsidR="00955394" w:rsidRPr="0000007A" w:rsidRDefault="00955394" w:rsidP="0099583E">
      <w:r>
        <w:separator/>
      </w:r>
    </w:p>
  </w:endnote>
  <w:endnote w:type="continuationSeparator" w:id="0">
    <w:p w14:paraId="0B8189F7" w14:textId="77777777" w:rsidR="00955394" w:rsidRPr="0000007A" w:rsidRDefault="0095539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10B8E" w14:textId="77777777" w:rsidR="00955394" w:rsidRPr="0000007A" w:rsidRDefault="00955394" w:rsidP="0099583E">
      <w:r>
        <w:separator/>
      </w:r>
    </w:p>
  </w:footnote>
  <w:footnote w:type="continuationSeparator" w:id="0">
    <w:p w14:paraId="2F099782" w14:textId="77777777" w:rsidR="00955394" w:rsidRPr="0000007A" w:rsidRDefault="0095539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C1617E"/>
    <w:multiLevelType w:val="hybridMultilevel"/>
    <w:tmpl w:val="4A6A1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046C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D1F27"/>
    <w:rsid w:val="000F6EA8"/>
    <w:rsid w:val="00101322"/>
    <w:rsid w:val="00115767"/>
    <w:rsid w:val="00121FFA"/>
    <w:rsid w:val="0012616A"/>
    <w:rsid w:val="00135D1F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390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5F4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25B88"/>
    <w:rsid w:val="002320EB"/>
    <w:rsid w:val="00236423"/>
    <w:rsid w:val="0023696A"/>
    <w:rsid w:val="0024170E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0E97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45D0"/>
    <w:rsid w:val="0033692F"/>
    <w:rsid w:val="00353718"/>
    <w:rsid w:val="00374F93"/>
    <w:rsid w:val="003769D1"/>
    <w:rsid w:val="00377F1D"/>
    <w:rsid w:val="003864C2"/>
    <w:rsid w:val="00394901"/>
    <w:rsid w:val="003A04E7"/>
    <w:rsid w:val="003A1C45"/>
    <w:rsid w:val="003A4991"/>
    <w:rsid w:val="003A6E1A"/>
    <w:rsid w:val="003B1D0B"/>
    <w:rsid w:val="003B2172"/>
    <w:rsid w:val="003D1BDE"/>
    <w:rsid w:val="003E4BDB"/>
    <w:rsid w:val="003E746A"/>
    <w:rsid w:val="00401709"/>
    <w:rsid w:val="00401C12"/>
    <w:rsid w:val="00421DBF"/>
    <w:rsid w:val="0042465A"/>
    <w:rsid w:val="0043092F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C706C"/>
    <w:rsid w:val="004D2E36"/>
    <w:rsid w:val="004E08E3"/>
    <w:rsid w:val="004E1D1A"/>
    <w:rsid w:val="004E4915"/>
    <w:rsid w:val="004F741F"/>
    <w:rsid w:val="004F78F5"/>
    <w:rsid w:val="004F7BF2"/>
    <w:rsid w:val="00501C44"/>
    <w:rsid w:val="00503AB6"/>
    <w:rsid w:val="005047C5"/>
    <w:rsid w:val="0050495C"/>
    <w:rsid w:val="00510920"/>
    <w:rsid w:val="005123FD"/>
    <w:rsid w:val="0052339F"/>
    <w:rsid w:val="00530A2D"/>
    <w:rsid w:val="00531A8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2519"/>
    <w:rsid w:val="005B3509"/>
    <w:rsid w:val="005C25A0"/>
    <w:rsid w:val="005D230D"/>
    <w:rsid w:val="005E11DC"/>
    <w:rsid w:val="005E29CE"/>
    <w:rsid w:val="005E3241"/>
    <w:rsid w:val="005E7FB0"/>
    <w:rsid w:val="005F184C"/>
    <w:rsid w:val="005F7D70"/>
    <w:rsid w:val="00602F7D"/>
    <w:rsid w:val="00604E14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4993"/>
    <w:rsid w:val="00696CAD"/>
    <w:rsid w:val="006A5E0B"/>
    <w:rsid w:val="006A7405"/>
    <w:rsid w:val="006C3797"/>
    <w:rsid w:val="006D467C"/>
    <w:rsid w:val="006E01EE"/>
    <w:rsid w:val="006E6014"/>
    <w:rsid w:val="006E61F0"/>
    <w:rsid w:val="006E6F19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030DF"/>
    <w:rsid w:val="008126B7"/>
    <w:rsid w:val="00814E6B"/>
    <w:rsid w:val="00815F94"/>
    <w:rsid w:val="008224E2"/>
    <w:rsid w:val="00825DC9"/>
    <w:rsid w:val="00826540"/>
    <w:rsid w:val="0082676D"/>
    <w:rsid w:val="008324FC"/>
    <w:rsid w:val="00842899"/>
    <w:rsid w:val="00846F1F"/>
    <w:rsid w:val="008470AB"/>
    <w:rsid w:val="0085546D"/>
    <w:rsid w:val="00856641"/>
    <w:rsid w:val="0086369B"/>
    <w:rsid w:val="00863D5F"/>
    <w:rsid w:val="00867E37"/>
    <w:rsid w:val="0087201B"/>
    <w:rsid w:val="00877F10"/>
    <w:rsid w:val="00882091"/>
    <w:rsid w:val="00893E75"/>
    <w:rsid w:val="00895D0A"/>
    <w:rsid w:val="008B265C"/>
    <w:rsid w:val="008C17D9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94"/>
    <w:rsid w:val="009553EC"/>
    <w:rsid w:val="00955E45"/>
    <w:rsid w:val="00962B70"/>
    <w:rsid w:val="00967C62"/>
    <w:rsid w:val="009816DE"/>
    <w:rsid w:val="00982766"/>
    <w:rsid w:val="009852C4"/>
    <w:rsid w:val="0099583E"/>
    <w:rsid w:val="009A0242"/>
    <w:rsid w:val="009A59ED"/>
    <w:rsid w:val="009B101F"/>
    <w:rsid w:val="009B239B"/>
    <w:rsid w:val="009B3E1C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94F26"/>
    <w:rsid w:val="00AA41B3"/>
    <w:rsid w:val="00AA49A2"/>
    <w:rsid w:val="00AA4EBC"/>
    <w:rsid w:val="00AA5338"/>
    <w:rsid w:val="00AB1ED6"/>
    <w:rsid w:val="00AB397D"/>
    <w:rsid w:val="00AB638A"/>
    <w:rsid w:val="00AB65BF"/>
    <w:rsid w:val="00AB6E43"/>
    <w:rsid w:val="00AC1349"/>
    <w:rsid w:val="00AC1CA6"/>
    <w:rsid w:val="00AC2DE0"/>
    <w:rsid w:val="00AC7339"/>
    <w:rsid w:val="00AC7917"/>
    <w:rsid w:val="00AD6C51"/>
    <w:rsid w:val="00AE0E9B"/>
    <w:rsid w:val="00AE54CD"/>
    <w:rsid w:val="00AF3016"/>
    <w:rsid w:val="00B03A45"/>
    <w:rsid w:val="00B2236C"/>
    <w:rsid w:val="00B22FE6"/>
    <w:rsid w:val="00B266FF"/>
    <w:rsid w:val="00B3033D"/>
    <w:rsid w:val="00B31D76"/>
    <w:rsid w:val="00B334D9"/>
    <w:rsid w:val="00B47121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37D2"/>
    <w:rsid w:val="00BE40A5"/>
    <w:rsid w:val="00BE6454"/>
    <w:rsid w:val="00BF5C56"/>
    <w:rsid w:val="00C01111"/>
    <w:rsid w:val="00C03A1D"/>
    <w:rsid w:val="00C10283"/>
    <w:rsid w:val="00C1187E"/>
    <w:rsid w:val="00C11905"/>
    <w:rsid w:val="00C1326F"/>
    <w:rsid w:val="00C1438B"/>
    <w:rsid w:val="00C14823"/>
    <w:rsid w:val="00C150D6"/>
    <w:rsid w:val="00C22886"/>
    <w:rsid w:val="00C25C8F"/>
    <w:rsid w:val="00C263C6"/>
    <w:rsid w:val="00C2643D"/>
    <w:rsid w:val="00C268B8"/>
    <w:rsid w:val="00C435C6"/>
    <w:rsid w:val="00C635B6"/>
    <w:rsid w:val="00C70DFC"/>
    <w:rsid w:val="00C73EA0"/>
    <w:rsid w:val="00C82466"/>
    <w:rsid w:val="00C84097"/>
    <w:rsid w:val="00CA4B20"/>
    <w:rsid w:val="00CA7853"/>
    <w:rsid w:val="00CB429B"/>
    <w:rsid w:val="00CC2753"/>
    <w:rsid w:val="00CC3756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891"/>
    <w:rsid w:val="00D9392F"/>
    <w:rsid w:val="00D9427C"/>
    <w:rsid w:val="00DA2679"/>
    <w:rsid w:val="00DA3C3D"/>
    <w:rsid w:val="00DA41F5"/>
    <w:rsid w:val="00DB7E1B"/>
    <w:rsid w:val="00DC12F9"/>
    <w:rsid w:val="00DC1D81"/>
    <w:rsid w:val="00DC6FED"/>
    <w:rsid w:val="00DD0C4A"/>
    <w:rsid w:val="00DD274C"/>
    <w:rsid w:val="00DE7D30"/>
    <w:rsid w:val="00DF04E3"/>
    <w:rsid w:val="00E03C32"/>
    <w:rsid w:val="00E110FD"/>
    <w:rsid w:val="00E3111A"/>
    <w:rsid w:val="00E45063"/>
    <w:rsid w:val="00E451EA"/>
    <w:rsid w:val="00E57F4B"/>
    <w:rsid w:val="00E63889"/>
    <w:rsid w:val="00E63A98"/>
    <w:rsid w:val="00E645E9"/>
    <w:rsid w:val="00E651AB"/>
    <w:rsid w:val="00E65596"/>
    <w:rsid w:val="00E66385"/>
    <w:rsid w:val="00E71C8D"/>
    <w:rsid w:val="00E72360"/>
    <w:rsid w:val="00E72A8E"/>
    <w:rsid w:val="00E9533D"/>
    <w:rsid w:val="00E972A7"/>
    <w:rsid w:val="00EA2839"/>
    <w:rsid w:val="00EB1985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0E98"/>
    <w:rsid w:val="00F73CF2"/>
    <w:rsid w:val="00F80C14"/>
    <w:rsid w:val="00F80F3B"/>
    <w:rsid w:val="00F96F54"/>
    <w:rsid w:val="00F978B8"/>
    <w:rsid w:val="00FA6528"/>
    <w:rsid w:val="00FB0D50"/>
    <w:rsid w:val="00FB36A3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6557/ajopss/2023/v8i19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urrent-research-progress-in-agricultural-science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3562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153</cp:revision>
  <dcterms:created xsi:type="dcterms:W3CDTF">2023-08-30T09:21:00Z</dcterms:created>
  <dcterms:modified xsi:type="dcterms:W3CDTF">2025-03-06T06:24:00Z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