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F59F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59F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F59F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F59F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59F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F59F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D3B57F2" w:rsidR="0000007A" w:rsidRPr="004F59FC" w:rsidRDefault="00A0425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863530" w:rsidRPr="004F59F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4F59F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F59F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59F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052D1D2" w:rsidR="0000007A" w:rsidRPr="004F59F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F59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F59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F59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C1B26" w:rsidRPr="004F59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4933</w:t>
            </w:r>
          </w:p>
        </w:tc>
      </w:tr>
      <w:tr w:rsidR="0000007A" w:rsidRPr="004F59F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F59F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59F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86354D8" w:rsidR="0000007A" w:rsidRPr="004F59FC" w:rsidRDefault="006C1B26" w:rsidP="006C1B26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59FC">
              <w:rPr>
                <w:rFonts w:ascii="Arial" w:hAnsi="Arial" w:cs="Arial"/>
                <w:b/>
                <w:sz w:val="20"/>
                <w:szCs w:val="20"/>
                <w:lang w:val="en-GB"/>
              </w:rPr>
              <w:t>IDENTIFICATION OF THE SPECIFIC GENES OF ISOCITRATE LYASE FROM PLANT AMARANTHUS CAUDATUS L</w:t>
            </w:r>
          </w:p>
        </w:tc>
      </w:tr>
      <w:tr w:rsidR="00CF0BBB" w:rsidRPr="004F59F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F59F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59F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A5E17A9" w:rsidR="00CF0BBB" w:rsidRPr="004F59FC" w:rsidRDefault="006C1B2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59F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F59F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4F59F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4F59FC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4F59F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4F59F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F59F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4F59F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4F59F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F59F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4F59FC" w:rsidRDefault="00A04257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F59F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5B638950" w:rsidR="00E03C32" w:rsidRDefault="00863530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86353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Plant Archives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86353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1067-1070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CA038F7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863530" w:rsidRPr="00863530">
                    <w:t xml:space="preserve"> </w:t>
                  </w:r>
                  <w:hyperlink r:id="rId8" w:history="1">
                    <w:r w:rsidR="00863530" w:rsidRPr="002B4EEC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https://www.plantarchives.org/List%2019-1.html</w:t>
                    </w:r>
                  </w:hyperlink>
                  <w:r w:rsidR="0086353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4F59F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F59F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4F59F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F59F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F59F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F59F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F59F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F59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F59F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F59F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F59F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F59F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F59F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9F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F59F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F59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F59FC">
              <w:rPr>
                <w:rFonts w:ascii="Arial" w:hAnsi="Arial" w:cs="Arial"/>
                <w:lang w:val="en-GB"/>
              </w:rPr>
              <w:t>Author’s Feedback</w:t>
            </w:r>
            <w:r w:rsidRPr="004F59F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F59F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F59F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F59F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59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F59F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769E36D" w14:textId="77777777" w:rsidR="00F1171E" w:rsidRPr="004F59FC" w:rsidRDefault="009A79D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9FC">
              <w:rPr>
                <w:rFonts w:ascii="Arial" w:hAnsi="Arial" w:cs="Arial"/>
                <w:b/>
                <w:bCs/>
                <w:sz w:val="20"/>
                <w:szCs w:val="20"/>
              </w:rPr>
              <w:t>Study identifies two isocitrate lyase (ICL) genes (</w:t>
            </w:r>
            <w:proofErr w:type="spellStart"/>
            <w:r w:rsidRPr="004F59F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icl</w:t>
            </w:r>
            <w:proofErr w:type="spellEnd"/>
            <w:r w:rsidRPr="004F59FC">
              <w:rPr>
                <w:rFonts w:ascii="Cambria Math" w:hAnsi="Cambria Math" w:cs="Cambria Math"/>
                <w:b/>
                <w:bCs/>
                <w:i/>
                <w:iCs/>
                <w:sz w:val="20"/>
                <w:szCs w:val="20"/>
              </w:rPr>
              <w:t>₁</w:t>
            </w:r>
            <w:r w:rsidRPr="004F59FC">
              <w:rPr>
                <w:rFonts w:ascii="Arial" w:hAnsi="Arial" w:cs="Arial"/>
                <w:b/>
                <w:bCs/>
                <w:sz w:val="20"/>
                <w:szCs w:val="20"/>
              </w:rPr>
              <w:t> and </w:t>
            </w:r>
            <w:proofErr w:type="spellStart"/>
            <w:r w:rsidRPr="004F59F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icl</w:t>
            </w:r>
            <w:proofErr w:type="spellEnd"/>
            <w:r w:rsidRPr="004F59FC">
              <w:rPr>
                <w:rFonts w:ascii="Cambria Math" w:hAnsi="Cambria Math" w:cs="Cambria Math"/>
                <w:b/>
                <w:bCs/>
                <w:i/>
                <w:iCs/>
                <w:sz w:val="20"/>
                <w:szCs w:val="20"/>
              </w:rPr>
              <w:t>₂</w:t>
            </w:r>
            <w:r w:rsidRPr="004F59FC">
              <w:rPr>
                <w:rFonts w:ascii="Arial" w:hAnsi="Arial" w:cs="Arial"/>
                <w:b/>
                <w:bCs/>
                <w:sz w:val="20"/>
                <w:szCs w:val="20"/>
              </w:rPr>
              <w:t>) in </w:t>
            </w:r>
            <w:r w:rsidRPr="004F59F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Amaranthus </w:t>
            </w:r>
            <w:proofErr w:type="spellStart"/>
            <w:r w:rsidRPr="004F59F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caudatus</w:t>
            </w:r>
            <w:proofErr w:type="spellEnd"/>
            <w:r w:rsidRPr="004F59FC">
              <w:rPr>
                <w:rFonts w:ascii="Arial" w:hAnsi="Arial" w:cs="Arial"/>
                <w:b/>
                <w:bCs/>
                <w:sz w:val="20"/>
                <w:szCs w:val="20"/>
              </w:rPr>
              <w:t> and develops specific primers for their detection.</w:t>
            </w:r>
          </w:p>
          <w:p w14:paraId="7DBC9196" w14:textId="7B4824A0" w:rsidR="009A79D8" w:rsidRPr="004F59FC" w:rsidRDefault="009A79D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59FC">
              <w:rPr>
                <w:rFonts w:ascii="Arial" w:hAnsi="Arial" w:cs="Arial"/>
                <w:b/>
                <w:bCs/>
                <w:sz w:val="20"/>
                <w:szCs w:val="20"/>
              </w:rPr>
              <w:t>Homology comparisons with </w:t>
            </w:r>
            <w:r w:rsidRPr="004F59F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Arabidopsis thaliana</w:t>
            </w:r>
            <w:r w:rsidRPr="004F59FC">
              <w:rPr>
                <w:rFonts w:ascii="Arial" w:hAnsi="Arial" w:cs="Arial"/>
                <w:b/>
                <w:bCs/>
                <w:sz w:val="20"/>
                <w:szCs w:val="20"/>
              </w:rPr>
              <w:t> (53% for </w:t>
            </w:r>
            <w:r w:rsidRPr="004F59F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ICL</w:t>
            </w:r>
            <w:r w:rsidRPr="004F59FC">
              <w:rPr>
                <w:rFonts w:ascii="Cambria Math" w:hAnsi="Cambria Math" w:cs="Cambria Math"/>
                <w:b/>
                <w:bCs/>
                <w:i/>
                <w:iCs/>
                <w:sz w:val="20"/>
                <w:szCs w:val="20"/>
              </w:rPr>
              <w:t>₁</w:t>
            </w:r>
            <w:r w:rsidRPr="004F59FC">
              <w:rPr>
                <w:rFonts w:ascii="Arial" w:hAnsi="Arial" w:cs="Arial"/>
                <w:b/>
                <w:bCs/>
                <w:sz w:val="20"/>
                <w:szCs w:val="20"/>
              </w:rPr>
              <w:t>, 36% for </w:t>
            </w:r>
            <w:r w:rsidRPr="004F59F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ICL</w:t>
            </w:r>
            <w:r w:rsidRPr="004F59FC">
              <w:rPr>
                <w:rFonts w:ascii="Cambria Math" w:hAnsi="Cambria Math" w:cs="Cambria Math"/>
                <w:b/>
                <w:bCs/>
                <w:i/>
                <w:iCs/>
                <w:sz w:val="20"/>
                <w:szCs w:val="20"/>
              </w:rPr>
              <w:t>₂</w:t>
            </w:r>
            <w:r w:rsidRPr="004F59FC">
              <w:rPr>
                <w:rFonts w:ascii="Arial" w:hAnsi="Arial" w:cs="Arial"/>
                <w:b/>
                <w:bCs/>
                <w:sz w:val="20"/>
                <w:szCs w:val="20"/>
              </w:rPr>
              <w:t>) provide evolutionary insights.</w:t>
            </w:r>
          </w:p>
        </w:tc>
        <w:tc>
          <w:tcPr>
            <w:tcW w:w="1523" w:type="pct"/>
          </w:tcPr>
          <w:p w14:paraId="462A339C" w14:textId="77777777" w:rsidR="00F1171E" w:rsidRPr="004F59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F59FC" w14:paraId="0D8B5B2C" w14:textId="77777777" w:rsidTr="00101FBC">
        <w:trPr>
          <w:trHeight w:val="467"/>
        </w:trPr>
        <w:tc>
          <w:tcPr>
            <w:tcW w:w="1265" w:type="pct"/>
            <w:noWrap/>
          </w:tcPr>
          <w:p w14:paraId="21CBA5FE" w14:textId="77777777" w:rsidR="00F1171E" w:rsidRPr="004F59F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59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F59F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59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F59F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E4DB33A" w:rsidR="00F1171E" w:rsidRPr="004F59FC" w:rsidRDefault="008967C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59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"Identification and Characterization of Isocitrate Lyase Genes in Amaranthus </w:t>
            </w:r>
            <w:proofErr w:type="spellStart"/>
            <w:r w:rsidRPr="004F59FC">
              <w:rPr>
                <w:rFonts w:ascii="Arial" w:hAnsi="Arial" w:cs="Arial"/>
                <w:b/>
                <w:bCs/>
                <w:sz w:val="20"/>
                <w:szCs w:val="20"/>
              </w:rPr>
              <w:t>caudatus</w:t>
            </w:r>
            <w:proofErr w:type="spellEnd"/>
            <w:r w:rsidRPr="004F59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L."</w:t>
            </w:r>
          </w:p>
        </w:tc>
        <w:tc>
          <w:tcPr>
            <w:tcW w:w="1523" w:type="pct"/>
          </w:tcPr>
          <w:p w14:paraId="405B6701" w14:textId="77777777" w:rsidR="00F1171E" w:rsidRPr="004F59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F59FC" w14:paraId="5604762A" w14:textId="77777777" w:rsidTr="00101FBC">
        <w:trPr>
          <w:trHeight w:val="548"/>
        </w:trPr>
        <w:tc>
          <w:tcPr>
            <w:tcW w:w="1265" w:type="pct"/>
            <w:noWrap/>
          </w:tcPr>
          <w:p w14:paraId="3635573D" w14:textId="77777777" w:rsidR="00F1171E" w:rsidRPr="004F59F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F59F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F59F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F676D13" w:rsidR="00F1171E" w:rsidRPr="004F59FC" w:rsidRDefault="00101FB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59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Findings </w:t>
            </w:r>
            <w:r w:rsidR="008967C0" w:rsidRPr="004F59FC">
              <w:rPr>
                <w:rFonts w:ascii="Arial" w:hAnsi="Arial" w:cs="Arial"/>
                <w:b/>
                <w:bCs/>
                <w:sz w:val="20"/>
                <w:szCs w:val="20"/>
              </w:rPr>
              <w:t>in relation to the broader plant metabolic pathways</w:t>
            </w:r>
          </w:p>
        </w:tc>
        <w:tc>
          <w:tcPr>
            <w:tcW w:w="1523" w:type="pct"/>
          </w:tcPr>
          <w:p w14:paraId="1D54B730" w14:textId="77777777" w:rsidR="00F1171E" w:rsidRPr="004F59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F59F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F59F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F59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4860BBA" w:rsidR="00F1171E" w:rsidRPr="004F59FC" w:rsidRDefault="008967C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59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Discussion on the comparison between the ICL genes of </w:t>
            </w:r>
            <w:r w:rsidRPr="004F59F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Amaranthus</w:t>
            </w:r>
            <w:r w:rsidRPr="004F59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other species, particularly in terms of evolutionary significance</w:t>
            </w:r>
          </w:p>
        </w:tc>
        <w:tc>
          <w:tcPr>
            <w:tcW w:w="1523" w:type="pct"/>
          </w:tcPr>
          <w:p w14:paraId="4898F764" w14:textId="77777777" w:rsidR="00F1171E" w:rsidRPr="004F59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F59F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071EB15C" w:rsidR="00F1171E" w:rsidRPr="004F59FC" w:rsidRDefault="00F1171E" w:rsidP="00101FB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59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77777777" w:rsidR="00F1171E" w:rsidRPr="004F59F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4F59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F59F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F59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F59F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F59F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F59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F59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4F59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F59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F59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F59FC" w14:paraId="20A16C0C" w14:textId="77777777" w:rsidTr="00101FBC">
        <w:trPr>
          <w:trHeight w:val="1403"/>
        </w:trPr>
        <w:tc>
          <w:tcPr>
            <w:tcW w:w="1265" w:type="pct"/>
            <w:noWrap/>
          </w:tcPr>
          <w:p w14:paraId="7F4BCFAE" w14:textId="77777777" w:rsidR="00F1171E" w:rsidRPr="004F59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F59F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F59F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F59F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F59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5E1B265" w14:textId="1DD05D94" w:rsidR="009A79D8" w:rsidRPr="004F59FC" w:rsidRDefault="009A79D8" w:rsidP="009A79D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4F59FC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Limited discussion of how this work advances existing knowledge. While homologous ICL genes are well-studied in </w:t>
            </w:r>
            <w:r w:rsidRPr="004F59F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IN"/>
              </w:rPr>
              <w:t>Arabidopsis</w:t>
            </w:r>
            <w:r w:rsidRPr="004F59FC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, identifying them in </w:t>
            </w:r>
            <w:r w:rsidRPr="004F59F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IN"/>
              </w:rPr>
              <w:t>Amaranthus</w:t>
            </w:r>
            <w:r w:rsidRPr="004F59FC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 is not sufficiently justified.</w:t>
            </w:r>
          </w:p>
          <w:p w14:paraId="3E8570BB" w14:textId="77777777" w:rsidR="009A79D8" w:rsidRPr="004F59FC" w:rsidRDefault="009A79D8" w:rsidP="009A79D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4F59FC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No comparison with other </w:t>
            </w:r>
            <w:r w:rsidRPr="004F59F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IN"/>
              </w:rPr>
              <w:t>Amaranthus</w:t>
            </w:r>
            <w:r w:rsidRPr="004F59FC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 species or related crops to highlight unique findings.</w:t>
            </w:r>
          </w:p>
          <w:p w14:paraId="7EB58C99" w14:textId="5DA2AAEA" w:rsidR="00F1171E" w:rsidRPr="004F59FC" w:rsidRDefault="009A79D8" w:rsidP="007222C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4F59FC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The primers developed are presented as a key outcome, but their (e.g., specificity for </w:t>
            </w:r>
            <w:r w:rsidRPr="004F59F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IN"/>
              </w:rPr>
              <w:t xml:space="preserve">A. </w:t>
            </w:r>
            <w:proofErr w:type="spellStart"/>
            <w:r w:rsidRPr="004F59F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IN"/>
              </w:rPr>
              <w:t>caudatus</w:t>
            </w:r>
            <w:proofErr w:type="spellEnd"/>
            <w:r w:rsidRPr="004F59FC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) is not clearly demonstrated against prior studies.</w:t>
            </w:r>
          </w:p>
          <w:p w14:paraId="15DFD0E8" w14:textId="77777777" w:rsidR="00F1171E" w:rsidRPr="004F59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F59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4F59F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F59F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F59F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F59F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F59F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F59F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F59F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F59F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F59F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F59F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F59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F59FC">
              <w:rPr>
                <w:rFonts w:ascii="Arial" w:hAnsi="Arial" w:cs="Arial"/>
                <w:lang w:val="en-GB"/>
              </w:rPr>
              <w:t>Author’s comment</w:t>
            </w:r>
            <w:r w:rsidRPr="004F59F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F59F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F59F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F59F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59F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F59F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77777777" w:rsidR="00F1171E" w:rsidRPr="004F59FC" w:rsidRDefault="00F1171E" w:rsidP="00501A1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F59F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F59F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F59F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F59F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57EFE35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C854B16" w14:textId="77777777" w:rsidR="004F59FC" w:rsidRPr="004F59FC" w:rsidRDefault="004F59FC" w:rsidP="004F59FC">
      <w:pPr>
        <w:rPr>
          <w:rFonts w:ascii="Arial" w:hAnsi="Arial" w:cs="Arial"/>
          <w:b/>
          <w:sz w:val="20"/>
          <w:szCs w:val="20"/>
        </w:rPr>
      </w:pPr>
      <w:r w:rsidRPr="004F59FC">
        <w:rPr>
          <w:rFonts w:ascii="Arial" w:hAnsi="Arial" w:cs="Arial"/>
          <w:b/>
          <w:sz w:val="20"/>
          <w:szCs w:val="20"/>
        </w:rPr>
        <w:t>Reviewers:</w:t>
      </w:r>
    </w:p>
    <w:p w14:paraId="609E63B5" w14:textId="77777777" w:rsidR="004F59FC" w:rsidRPr="004F59FC" w:rsidRDefault="004F59FC" w:rsidP="004F59FC">
      <w:pPr>
        <w:rPr>
          <w:rFonts w:ascii="Arial" w:hAnsi="Arial" w:cs="Arial"/>
          <w:b/>
          <w:sz w:val="20"/>
          <w:szCs w:val="20"/>
        </w:rPr>
      </w:pPr>
      <w:proofErr w:type="spellStart"/>
      <w:r w:rsidRPr="004F59FC">
        <w:rPr>
          <w:rFonts w:ascii="Arial" w:hAnsi="Arial" w:cs="Arial"/>
          <w:b/>
          <w:sz w:val="20"/>
          <w:szCs w:val="20"/>
        </w:rPr>
        <w:t>Shiwa</w:t>
      </w:r>
      <w:proofErr w:type="spellEnd"/>
      <w:r w:rsidRPr="004F59F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59FC">
        <w:rPr>
          <w:rFonts w:ascii="Arial" w:hAnsi="Arial" w:cs="Arial"/>
          <w:b/>
          <w:sz w:val="20"/>
          <w:szCs w:val="20"/>
        </w:rPr>
        <w:t>Chaubey</w:t>
      </w:r>
      <w:proofErr w:type="spellEnd"/>
      <w:r w:rsidRPr="004F59FC">
        <w:rPr>
          <w:rFonts w:ascii="Arial" w:hAnsi="Arial" w:cs="Arial"/>
          <w:b/>
          <w:sz w:val="20"/>
          <w:szCs w:val="20"/>
        </w:rPr>
        <w:t>, India</w:t>
      </w:r>
    </w:p>
    <w:p w14:paraId="23EB2B9F" w14:textId="77777777" w:rsidR="004F59FC" w:rsidRPr="004F59FC" w:rsidRDefault="004F59FC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4F59FC" w:rsidRPr="004F59FC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5B0C8" w14:textId="77777777" w:rsidR="00A04257" w:rsidRPr="0000007A" w:rsidRDefault="00A04257" w:rsidP="0099583E">
      <w:r>
        <w:separator/>
      </w:r>
    </w:p>
  </w:endnote>
  <w:endnote w:type="continuationSeparator" w:id="0">
    <w:p w14:paraId="572E339F" w14:textId="77777777" w:rsidR="00A04257" w:rsidRPr="0000007A" w:rsidRDefault="00A0425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C85D9" w14:textId="77777777" w:rsidR="00A04257" w:rsidRPr="0000007A" w:rsidRDefault="00A04257" w:rsidP="0099583E">
      <w:r>
        <w:separator/>
      </w:r>
    </w:p>
  </w:footnote>
  <w:footnote w:type="continuationSeparator" w:id="0">
    <w:p w14:paraId="4F308FA0" w14:textId="77777777" w:rsidR="00A04257" w:rsidRPr="0000007A" w:rsidRDefault="00A0425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409EB"/>
    <w:multiLevelType w:val="multilevel"/>
    <w:tmpl w:val="7D1A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1FBC"/>
    <w:rsid w:val="00115767"/>
    <w:rsid w:val="00121FFA"/>
    <w:rsid w:val="0012616A"/>
    <w:rsid w:val="00126B6C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09A2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4341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59FC"/>
    <w:rsid w:val="004F741F"/>
    <w:rsid w:val="004F78F5"/>
    <w:rsid w:val="004F7BF2"/>
    <w:rsid w:val="00501A1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3660"/>
    <w:rsid w:val="0065409E"/>
    <w:rsid w:val="0065579D"/>
    <w:rsid w:val="00663792"/>
    <w:rsid w:val="0067046C"/>
    <w:rsid w:val="006714A0"/>
    <w:rsid w:val="00673EEF"/>
    <w:rsid w:val="006749CF"/>
    <w:rsid w:val="00676845"/>
    <w:rsid w:val="00677521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1B26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530"/>
    <w:rsid w:val="0086369B"/>
    <w:rsid w:val="00867E37"/>
    <w:rsid w:val="0087201B"/>
    <w:rsid w:val="00877F10"/>
    <w:rsid w:val="00882091"/>
    <w:rsid w:val="00893E75"/>
    <w:rsid w:val="00895D0A"/>
    <w:rsid w:val="008967C0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A79D8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4257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6EAD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B6F4F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06F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2B2B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084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242D"/>
    <w:rsid w:val="00FB3DE3"/>
    <w:rsid w:val="00FB5BBE"/>
    <w:rsid w:val="00FC2E17"/>
    <w:rsid w:val="00FC432A"/>
    <w:rsid w:val="00FC6387"/>
    <w:rsid w:val="00FC6802"/>
    <w:rsid w:val="00FD53AB"/>
    <w:rsid w:val="00FD70A7"/>
    <w:rsid w:val="00FE2C52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tarchives.org/List%2019-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115</cp:revision>
  <dcterms:created xsi:type="dcterms:W3CDTF">2023-08-30T09:21:00Z</dcterms:created>
  <dcterms:modified xsi:type="dcterms:W3CDTF">2025-03-13T13:03:00Z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