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306F0" w14:paraId="1643A4CA" w14:textId="77777777" w:rsidTr="004306F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06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06F0" w14:paraId="127EAD7E" w14:textId="77777777" w:rsidTr="004306F0">
        <w:trPr>
          <w:trHeight w:val="413"/>
        </w:trPr>
        <w:tc>
          <w:tcPr>
            <w:tcW w:w="1266" w:type="pct"/>
          </w:tcPr>
          <w:p w14:paraId="3C159AA5" w14:textId="77777777" w:rsidR="0000007A" w:rsidRPr="004306F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06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DAC7D8" w:rsidR="0000007A" w:rsidRPr="004306F0" w:rsidRDefault="00E04A6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306F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306F0" w14:paraId="73C90375" w14:textId="77777777" w:rsidTr="004306F0">
        <w:trPr>
          <w:trHeight w:val="290"/>
        </w:trPr>
        <w:tc>
          <w:tcPr>
            <w:tcW w:w="1266" w:type="pct"/>
          </w:tcPr>
          <w:p w14:paraId="20D28135" w14:textId="77777777" w:rsidR="0000007A" w:rsidRPr="004306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A1E6FC" w:rsidR="0000007A" w:rsidRPr="004306F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E8B"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5013</w:t>
            </w:r>
          </w:p>
        </w:tc>
      </w:tr>
      <w:tr w:rsidR="0000007A" w:rsidRPr="004306F0" w14:paraId="05B60576" w14:textId="77777777" w:rsidTr="004306F0">
        <w:trPr>
          <w:trHeight w:val="331"/>
        </w:trPr>
        <w:tc>
          <w:tcPr>
            <w:tcW w:w="1266" w:type="pct"/>
          </w:tcPr>
          <w:p w14:paraId="0196A627" w14:textId="77777777" w:rsidR="0000007A" w:rsidRPr="004306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5BC4EB" w:rsidR="0000007A" w:rsidRPr="004306F0" w:rsidRDefault="000B4E8B" w:rsidP="000B4E8B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cycle treatment in a case of an AML FAB M2 and COVID-19 pneumonia</w:t>
            </w:r>
          </w:p>
        </w:tc>
      </w:tr>
      <w:tr w:rsidR="00CF0BBB" w:rsidRPr="004306F0" w14:paraId="6D508B1C" w14:textId="77777777" w:rsidTr="004306F0">
        <w:trPr>
          <w:trHeight w:val="332"/>
        </w:trPr>
        <w:tc>
          <w:tcPr>
            <w:tcW w:w="1266" w:type="pct"/>
          </w:tcPr>
          <w:p w14:paraId="32FC28F7" w14:textId="77777777" w:rsidR="00CF0BBB" w:rsidRPr="004306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C09210" w:rsidR="00CF0BBB" w:rsidRPr="004306F0" w:rsidRDefault="000B4E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306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306F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306F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306F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306F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306F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306F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306F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334F8DB" w:rsidR="00640538" w:rsidRPr="004306F0" w:rsidRDefault="00024CB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306F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D84301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2D703F5" w:rsidR="00E03C32" w:rsidRDefault="001354DB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354D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Hematology Research Journal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12-18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5D79E8F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1354DB" w:rsidRPr="001354DB">
                              <w:t xml:space="preserve"> </w:t>
                            </w:r>
                            <w:hyperlink r:id="rId8" w:history="1">
                              <w:r w:rsidR="001354DB" w:rsidRPr="00BC18C3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https://journalahrj.com/index.php/AHRJ/article/view/52</w:t>
                              </w:r>
                            </w:hyperlink>
                            <w:r w:rsidR="001354D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2D703F5" w:rsidR="00E03C32" w:rsidRDefault="001354DB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354D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Hematology Research Journal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12-18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5D79E8F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1354DB" w:rsidRPr="001354DB">
                        <w:t xml:space="preserve"> </w:t>
                      </w:r>
                      <w:hyperlink r:id="rId9" w:history="1">
                        <w:r w:rsidR="001354DB" w:rsidRPr="00BC18C3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https://journalahrj.com/index.php/AHRJ/article/view/52</w:t>
                        </w:r>
                      </w:hyperlink>
                      <w:r w:rsidR="001354D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4306F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306F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306F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306F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06F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06F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06F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06F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306F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306F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06F0">
              <w:rPr>
                <w:rFonts w:ascii="Arial" w:hAnsi="Arial" w:cs="Arial"/>
                <w:lang w:val="en-GB"/>
              </w:rPr>
              <w:t>Author’s Feedback</w:t>
            </w:r>
            <w:r w:rsidRPr="004306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06F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06F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306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306F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18AAD53" w:rsidR="00F1171E" w:rsidRPr="004306F0" w:rsidRDefault="00024C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sz w:val="20"/>
                <w:szCs w:val="20"/>
              </w:rPr>
              <w:t xml:space="preserve">This manuscript is significant for the scientific community as it provides valuable insights into the potential effectiveness of </w:t>
            </w:r>
            <w:proofErr w:type="spellStart"/>
            <w:r w:rsidRPr="004306F0">
              <w:rPr>
                <w:rFonts w:ascii="Arial" w:hAnsi="Arial" w:cs="Arial"/>
                <w:sz w:val="20"/>
                <w:szCs w:val="20"/>
              </w:rPr>
              <w:t>venetoclax</w:t>
            </w:r>
            <w:proofErr w:type="spellEnd"/>
            <w:r w:rsidRPr="004306F0">
              <w:rPr>
                <w:rFonts w:ascii="Arial" w:hAnsi="Arial" w:cs="Arial"/>
                <w:sz w:val="20"/>
                <w:szCs w:val="20"/>
              </w:rPr>
              <w:t xml:space="preserve"> in treating newly diagnosed </w:t>
            </w:r>
            <w:r w:rsidRPr="004306F0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COVID-19 pneumonia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in patients with </w:t>
            </w:r>
            <w:r w:rsidRPr="004306F0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acute myeloid leukemia (AML)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. The case highlights how </w:t>
            </w:r>
            <w:proofErr w:type="spellStart"/>
            <w:r w:rsidRPr="004306F0">
              <w:rPr>
                <w:rFonts w:ascii="Arial" w:hAnsi="Arial" w:cs="Arial"/>
                <w:sz w:val="20"/>
                <w:szCs w:val="20"/>
              </w:rPr>
              <w:t>venetoclax</w:t>
            </w:r>
            <w:proofErr w:type="spellEnd"/>
            <w:r w:rsidRPr="004306F0">
              <w:rPr>
                <w:rFonts w:ascii="Arial" w:hAnsi="Arial" w:cs="Arial"/>
                <w:sz w:val="20"/>
                <w:szCs w:val="20"/>
              </w:rPr>
              <w:t xml:space="preserve">, even at a controlled dose, contributed to a positive therapeutic response despite severe comorbidities such as </w:t>
            </w:r>
            <w:r w:rsidRPr="004306F0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systemic inflammatory response syndrome (SIRS), thrombocytopenia, and anemia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. Given the high mortality risk of pneumonia in leukemia patients, understanding the role of </w:t>
            </w:r>
            <w:proofErr w:type="spellStart"/>
            <w:r w:rsidRPr="004306F0">
              <w:rPr>
                <w:rFonts w:ascii="Arial" w:hAnsi="Arial" w:cs="Arial"/>
                <w:sz w:val="20"/>
                <w:szCs w:val="20"/>
              </w:rPr>
              <w:t>venetoclax</w:t>
            </w:r>
            <w:proofErr w:type="spellEnd"/>
            <w:r w:rsidRPr="004306F0">
              <w:rPr>
                <w:rFonts w:ascii="Arial" w:hAnsi="Arial" w:cs="Arial"/>
                <w:sz w:val="20"/>
                <w:szCs w:val="20"/>
              </w:rPr>
              <w:t xml:space="preserve"> in such complex cases could help refine treatment strategies, particularly in immunocompromised individuals. The observed reduction in </w:t>
            </w:r>
            <w:r w:rsidRPr="004306F0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monocyte count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further underscores its potential immunomodulatory effects, making this study a valuable contribution to both </w:t>
            </w:r>
            <w:r w:rsidRPr="004306F0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oncology and infectious disease management</w:t>
            </w:r>
            <w:r w:rsidRPr="004306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6F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306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306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98B613" w:rsidR="00F1171E" w:rsidRPr="004306F0" w:rsidRDefault="00024CBF" w:rsidP="00024C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6F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306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06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EA36428" w14:textId="77777777" w:rsidR="00024CBF" w:rsidRPr="004306F0" w:rsidRDefault="00024CBF" w:rsidP="00024CBF">
            <w:pPr>
              <w:pStyle w:val="NormalWeb"/>
              <w:rPr>
                <w:rFonts w:ascii="Arial" w:hAnsi="Arial" w:cs="Arial"/>
                <w:sz w:val="20"/>
                <w:szCs w:val="20"/>
                <w:lang w:eastAsia="ko-KR"/>
              </w:rPr>
            </w:pPr>
            <w:r w:rsidRPr="004306F0">
              <w:rPr>
                <w:rFonts w:ascii="Arial" w:hAnsi="Arial" w:cs="Arial"/>
                <w:sz w:val="20"/>
                <w:szCs w:val="20"/>
              </w:rPr>
              <w:t xml:space="preserve">The abstract provides a clear overview of the case and highlights the effectiveness of </w:t>
            </w:r>
            <w:proofErr w:type="spellStart"/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venetoclax</w:t>
            </w:r>
            <w:proofErr w:type="spellEnd"/>
            <w:r w:rsidRPr="004306F0">
              <w:rPr>
                <w:rFonts w:ascii="Arial" w:hAnsi="Arial" w:cs="Arial"/>
                <w:sz w:val="20"/>
                <w:szCs w:val="20"/>
              </w:rPr>
              <w:t xml:space="preserve"> in treating </w:t>
            </w: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COVID-19 pneumonia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in a patient with </w:t>
            </w: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acute myeloid leukemia (AML)</w:t>
            </w:r>
            <w:r w:rsidRPr="004306F0">
              <w:rPr>
                <w:rFonts w:ascii="Arial" w:hAnsi="Arial" w:cs="Arial"/>
                <w:sz w:val="20"/>
                <w:szCs w:val="20"/>
              </w:rPr>
              <w:t>. However, there are areas where clarity, structure, and completeness could be improved. Below are my suggestions:</w:t>
            </w:r>
          </w:p>
          <w:p w14:paraId="0D46331E" w14:textId="77777777" w:rsidR="00024CBF" w:rsidRPr="004306F0" w:rsidRDefault="00024CBF" w:rsidP="00024CBF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Suggested Additions:</w:t>
            </w:r>
          </w:p>
          <w:p w14:paraId="5923BE9E" w14:textId="77777777" w:rsidR="00024CBF" w:rsidRPr="004306F0" w:rsidRDefault="00024CBF" w:rsidP="00024CB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Objective Statement: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Start with a brief statement outlining the study's purpose and significance in addressing leukemia patients with COVID-19 pneumonia.</w:t>
            </w:r>
          </w:p>
          <w:p w14:paraId="4B54A07E" w14:textId="77777777" w:rsidR="00024CBF" w:rsidRPr="004306F0" w:rsidRDefault="00024CBF" w:rsidP="00024CB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More Structured Summary: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Divide the abstract into key aspects: background, case details, treatment approach, results, and conclusion.</w:t>
            </w:r>
          </w:p>
          <w:p w14:paraId="089DED99" w14:textId="77777777" w:rsidR="00024CBF" w:rsidRPr="004306F0" w:rsidRDefault="00024CBF" w:rsidP="00024CB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Clinical Implications: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Briefly mention the broader relevance of these findings for clinicians treating similar patients.</w:t>
            </w:r>
          </w:p>
          <w:p w14:paraId="2DB0C8AC" w14:textId="77777777" w:rsidR="00024CBF" w:rsidRPr="004306F0" w:rsidRDefault="00024CBF" w:rsidP="00024CBF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Suggested Deletions/Modifications:</w:t>
            </w:r>
          </w:p>
          <w:p w14:paraId="720F29E6" w14:textId="77777777" w:rsidR="00024CBF" w:rsidRPr="004306F0" w:rsidRDefault="00024CBF" w:rsidP="00024CB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"One describes" →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Change to "This chapter describes" for better readability.</w:t>
            </w:r>
          </w:p>
          <w:p w14:paraId="4AC75E55" w14:textId="77777777" w:rsidR="00024CBF" w:rsidRPr="004306F0" w:rsidRDefault="00024CBF" w:rsidP="00024CB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"</w:t>
            </w:r>
            <w:proofErr w:type="gramStart"/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A 70 years</w:t>
            </w:r>
            <w:proofErr w:type="gramEnd"/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 xml:space="preserve"> old" →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Should be "A 70-year-old" for grammatical accuracy.</w:t>
            </w:r>
          </w:p>
          <w:p w14:paraId="5D7AAD6E" w14:textId="77777777" w:rsidR="00024CBF" w:rsidRPr="004306F0" w:rsidRDefault="00024CBF" w:rsidP="00024CB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Clarify disease progression: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The sequence of events—</w:t>
            </w: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endocarditis, third molar extraction, leukemia diagnosis, and COVID-19 pneumonia</w:t>
            </w:r>
            <w:r w:rsidRPr="004306F0">
              <w:rPr>
                <w:rFonts w:ascii="Arial" w:hAnsi="Arial" w:cs="Arial"/>
                <w:sz w:val="20"/>
                <w:szCs w:val="20"/>
              </w:rPr>
              <w:t>—should be more clearly structured.</w:t>
            </w:r>
          </w:p>
          <w:p w14:paraId="465C4AE6" w14:textId="77777777" w:rsidR="00024CBF" w:rsidRPr="004306F0" w:rsidRDefault="00024CBF" w:rsidP="00024CB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Venetoclax</w:t>
            </w:r>
            <w:proofErr w:type="spellEnd"/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 xml:space="preserve"> dosage clarity: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Explicitly state why the dosage was maintained at 100 mg and whether this was a standard or experimental approach.</w:t>
            </w:r>
          </w:p>
          <w:p w14:paraId="0FB7E83A" w14:textId="103608BB" w:rsidR="00F1171E" w:rsidRPr="004306F0" w:rsidRDefault="00024CBF" w:rsidP="00024CB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306F0">
              <w:rPr>
                <w:rStyle w:val="Strong"/>
                <w:rFonts w:ascii="Arial" w:hAnsi="Arial" w:cs="Arial"/>
                <w:sz w:val="20"/>
                <w:szCs w:val="20"/>
              </w:rPr>
              <w:t>Strengthen the Conclusion:</w:t>
            </w:r>
            <w:r w:rsidRPr="004306F0">
              <w:rPr>
                <w:rFonts w:ascii="Arial" w:hAnsi="Arial" w:cs="Arial"/>
                <w:sz w:val="20"/>
                <w:szCs w:val="20"/>
              </w:rPr>
              <w:t xml:space="preserve"> Instead of just stating the response was positive, discuss potential mechanisms and how this case may contribute to future treatment guidelines.</w:t>
            </w:r>
          </w:p>
        </w:tc>
        <w:tc>
          <w:tcPr>
            <w:tcW w:w="1523" w:type="pct"/>
          </w:tcPr>
          <w:p w14:paraId="1D54B730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6F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306F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DAC989" w:rsidR="00F1171E" w:rsidRPr="004306F0" w:rsidRDefault="00024C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6F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06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06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073DBF6" w:rsidR="00F1171E" w:rsidRPr="004306F0" w:rsidRDefault="00024C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6F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306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06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D6963A4" w:rsidR="00F1171E" w:rsidRPr="004306F0" w:rsidRDefault="00024C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sz w:val="20"/>
                <w:szCs w:val="20"/>
                <w:lang w:val="en-GB"/>
              </w:rPr>
              <w:t>It is suitable.</w:t>
            </w:r>
          </w:p>
          <w:p w14:paraId="6CBA4B2A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06F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06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06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06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06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306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306F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306F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06F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306F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06F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306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06F0">
              <w:rPr>
                <w:rFonts w:ascii="Arial" w:hAnsi="Arial" w:cs="Arial"/>
                <w:lang w:val="en-GB"/>
              </w:rPr>
              <w:t>Author’s comment</w:t>
            </w:r>
            <w:r w:rsidRPr="004306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06F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306F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6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5009A8AB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306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306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306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306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036502A" w14:textId="77777777" w:rsidR="004306F0" w:rsidRPr="00A43005" w:rsidRDefault="004306F0" w:rsidP="004306F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43005">
        <w:rPr>
          <w:rFonts w:ascii="Arial" w:hAnsi="Arial" w:cs="Arial"/>
          <w:b/>
        </w:rPr>
        <w:t>Reviewers:</w:t>
      </w:r>
    </w:p>
    <w:p w14:paraId="5EAE2E5A" w14:textId="77777777" w:rsidR="004306F0" w:rsidRDefault="004306F0" w:rsidP="004306F0">
      <w:r w:rsidRPr="00A43005">
        <w:rPr>
          <w:rFonts w:ascii="Arial" w:hAnsi="Arial" w:cs="Arial"/>
          <w:b/>
          <w:color w:val="000000"/>
          <w:sz w:val="20"/>
          <w:szCs w:val="20"/>
        </w:rPr>
        <w:t>Arvind Kumar Shukla, Pusan National University, South Korea</w:t>
      </w:r>
    </w:p>
    <w:p w14:paraId="3BCE0C58" w14:textId="77777777" w:rsidR="004306F0" w:rsidRPr="004306F0" w:rsidRDefault="004306F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306F0" w:rsidRPr="004306F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B93D1" w14:textId="77777777" w:rsidR="009C590F" w:rsidRPr="0000007A" w:rsidRDefault="009C590F" w:rsidP="0099583E">
      <w:r>
        <w:separator/>
      </w:r>
    </w:p>
  </w:endnote>
  <w:endnote w:type="continuationSeparator" w:id="0">
    <w:p w14:paraId="01EBB310" w14:textId="77777777" w:rsidR="009C590F" w:rsidRPr="0000007A" w:rsidRDefault="009C590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B56C" w14:textId="77777777" w:rsidR="009C590F" w:rsidRPr="0000007A" w:rsidRDefault="009C590F" w:rsidP="0099583E">
      <w:r>
        <w:separator/>
      </w:r>
    </w:p>
  </w:footnote>
  <w:footnote w:type="continuationSeparator" w:id="0">
    <w:p w14:paraId="0E40C522" w14:textId="77777777" w:rsidR="009C590F" w:rsidRPr="0000007A" w:rsidRDefault="009C590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9D3"/>
    <w:multiLevelType w:val="multilevel"/>
    <w:tmpl w:val="C032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F0A82"/>
    <w:multiLevelType w:val="multilevel"/>
    <w:tmpl w:val="B3D8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655472">
    <w:abstractNumId w:val="3"/>
  </w:num>
  <w:num w:numId="2" w16cid:durableId="177699247">
    <w:abstractNumId w:val="7"/>
  </w:num>
  <w:num w:numId="3" w16cid:durableId="1826117238">
    <w:abstractNumId w:val="6"/>
  </w:num>
  <w:num w:numId="4" w16cid:durableId="23403684">
    <w:abstractNumId w:val="8"/>
  </w:num>
  <w:num w:numId="5" w16cid:durableId="515005320">
    <w:abstractNumId w:val="5"/>
  </w:num>
  <w:num w:numId="6" w16cid:durableId="1425954471">
    <w:abstractNumId w:val="0"/>
  </w:num>
  <w:num w:numId="7" w16cid:durableId="775909745">
    <w:abstractNumId w:val="1"/>
  </w:num>
  <w:num w:numId="8" w16cid:durableId="23942392">
    <w:abstractNumId w:val="10"/>
  </w:num>
  <w:num w:numId="9" w16cid:durableId="844589446">
    <w:abstractNumId w:val="9"/>
  </w:num>
  <w:num w:numId="10" w16cid:durableId="557862513">
    <w:abstractNumId w:val="2"/>
  </w:num>
  <w:num w:numId="11" w16cid:durableId="208996234">
    <w:abstractNumId w:val="11"/>
  </w:num>
  <w:num w:numId="12" w16cid:durableId="566696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50B"/>
    <w:rsid w:val="000168A9"/>
    <w:rsid w:val="00021981"/>
    <w:rsid w:val="000234E1"/>
    <w:rsid w:val="00024CBF"/>
    <w:rsid w:val="0002598E"/>
    <w:rsid w:val="0003757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8B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54D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713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65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06F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F76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6AC"/>
    <w:rsid w:val="007D0246"/>
    <w:rsid w:val="007D792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41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590F"/>
    <w:rsid w:val="009E13C3"/>
    <w:rsid w:val="009E6A30"/>
    <w:rsid w:val="009F07D4"/>
    <w:rsid w:val="009F1F75"/>
    <w:rsid w:val="009F29EB"/>
    <w:rsid w:val="009F7A71"/>
    <w:rsid w:val="00A001A0"/>
    <w:rsid w:val="00A045C3"/>
    <w:rsid w:val="00A12C83"/>
    <w:rsid w:val="00A15F2F"/>
    <w:rsid w:val="00A17184"/>
    <w:rsid w:val="00A31AAC"/>
    <w:rsid w:val="00A32905"/>
    <w:rsid w:val="00A36ADD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28D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8FD"/>
    <w:rsid w:val="00D9392F"/>
    <w:rsid w:val="00D9427C"/>
    <w:rsid w:val="00DA2679"/>
    <w:rsid w:val="00DA3C3D"/>
    <w:rsid w:val="00DA41F5"/>
    <w:rsid w:val="00DB09D3"/>
    <w:rsid w:val="00DB7E1B"/>
    <w:rsid w:val="00DC1D81"/>
    <w:rsid w:val="00DC6FED"/>
    <w:rsid w:val="00DD0C4A"/>
    <w:rsid w:val="00DD274C"/>
    <w:rsid w:val="00DE7D30"/>
    <w:rsid w:val="00DF04E3"/>
    <w:rsid w:val="00E03C32"/>
    <w:rsid w:val="00E04A63"/>
    <w:rsid w:val="00E3111A"/>
    <w:rsid w:val="00E451EA"/>
    <w:rsid w:val="00E57F4B"/>
    <w:rsid w:val="00E63889"/>
    <w:rsid w:val="00E63A98"/>
    <w:rsid w:val="00E645E9"/>
    <w:rsid w:val="00E6506F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C51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4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54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024C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4306F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hrj.com/index.php/AHRJ/article/view/5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urnalahrj.com/index.php/AHRJ/article/view/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2025-03-18T05:00:00Z</dcterms:created>
  <dcterms:modified xsi:type="dcterms:W3CDTF">2025-03-24T07:02:00Z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