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21655" w14:textId="77777777" w:rsidR="00776316" w:rsidRDefault="00776316" w:rsidP="004A60C2">
      <w:pPr>
        <w:pStyle w:val="Author"/>
        <w:spacing w:line="240" w:lineRule="auto"/>
        <w:jc w:val="center"/>
        <w:rPr>
          <w:rFonts w:ascii="Arial" w:hAnsi="Arial" w:cs="Arial"/>
          <w:bCs/>
          <w:iCs/>
          <w:kern w:val="28"/>
          <w:sz w:val="36"/>
        </w:rPr>
      </w:pPr>
      <w:r>
        <w:rPr>
          <w:rFonts w:ascii="Arial" w:hAnsi="Arial" w:cs="Arial"/>
          <w:bCs/>
          <w:iCs/>
          <w:kern w:val="28"/>
          <w:sz w:val="36"/>
        </w:rPr>
        <w:t>First cycle treatment in a case of an</w:t>
      </w:r>
    </w:p>
    <w:p w14:paraId="29AF9518" w14:textId="77777777" w:rsidR="00776316" w:rsidRDefault="00776316" w:rsidP="004A60C2">
      <w:pPr>
        <w:pStyle w:val="Author"/>
        <w:spacing w:line="240" w:lineRule="auto"/>
        <w:jc w:val="center"/>
        <w:rPr>
          <w:rFonts w:ascii="Arial" w:hAnsi="Arial" w:cs="Arial"/>
          <w:bCs/>
          <w:iCs/>
          <w:kern w:val="28"/>
          <w:sz w:val="36"/>
        </w:rPr>
      </w:pPr>
      <w:r>
        <w:rPr>
          <w:rFonts w:ascii="Arial" w:hAnsi="Arial" w:cs="Arial"/>
          <w:bCs/>
          <w:iCs/>
          <w:kern w:val="28"/>
          <w:sz w:val="36"/>
        </w:rPr>
        <w:t xml:space="preserve">AML FAB M2 </w:t>
      </w:r>
      <w:r w:rsidR="00805A31">
        <w:rPr>
          <w:rFonts w:ascii="Arial" w:hAnsi="Arial" w:cs="Arial"/>
          <w:bCs/>
          <w:iCs/>
          <w:kern w:val="28"/>
          <w:sz w:val="36"/>
        </w:rPr>
        <w:t>and</w:t>
      </w:r>
      <w:r>
        <w:rPr>
          <w:rFonts w:ascii="Arial" w:hAnsi="Arial" w:cs="Arial"/>
          <w:bCs/>
          <w:iCs/>
          <w:kern w:val="28"/>
          <w:sz w:val="36"/>
        </w:rPr>
        <w:t xml:space="preserve"> COVID-19 pneumonia</w:t>
      </w:r>
    </w:p>
    <w:p w14:paraId="4FF787DE" w14:textId="77777777" w:rsidR="00776316" w:rsidRDefault="00776316" w:rsidP="00776316">
      <w:pPr>
        <w:pStyle w:val="Author"/>
        <w:spacing w:line="240" w:lineRule="auto"/>
        <w:jc w:val="both"/>
        <w:rPr>
          <w:rFonts w:ascii="Arial" w:hAnsi="Arial" w:cs="Arial"/>
          <w:sz w:val="36"/>
        </w:rPr>
      </w:pPr>
    </w:p>
    <w:p w14:paraId="66243ACB" w14:textId="77777777" w:rsidR="00776316" w:rsidRDefault="00776316" w:rsidP="00776316">
      <w:pPr>
        <w:pStyle w:val="Affiliation"/>
        <w:spacing w:after="0" w:line="240" w:lineRule="auto"/>
        <w:jc w:val="both"/>
        <w:rPr>
          <w:rFonts w:ascii="Arial" w:hAnsi="Arial" w:cs="Arial"/>
        </w:rPr>
      </w:pPr>
    </w:p>
    <w:p w14:paraId="39A7F6B9" w14:textId="77777777" w:rsidR="00C6500E" w:rsidRDefault="00C6500E" w:rsidP="00776316">
      <w:pPr>
        <w:pStyle w:val="AbstHead"/>
        <w:spacing w:after="0"/>
        <w:jc w:val="both"/>
        <w:rPr>
          <w:rFonts w:ascii="Arial" w:hAnsi="Arial" w:cs="Arial"/>
        </w:rPr>
      </w:pPr>
    </w:p>
    <w:p w14:paraId="4CB4DB32" w14:textId="77777777" w:rsidR="00C6500E" w:rsidRDefault="00C6500E" w:rsidP="00776316">
      <w:pPr>
        <w:pStyle w:val="AbstHead"/>
        <w:spacing w:after="0"/>
        <w:jc w:val="both"/>
        <w:rPr>
          <w:rFonts w:ascii="Arial" w:hAnsi="Arial" w:cs="Arial"/>
        </w:rPr>
      </w:pPr>
    </w:p>
    <w:p w14:paraId="0B32BB6E" w14:textId="7BB0E7AD" w:rsidR="00776316" w:rsidRDefault="00776316" w:rsidP="00776316">
      <w:pPr>
        <w:pStyle w:val="AbstHead"/>
        <w:spacing w:after="0"/>
        <w:jc w:val="both"/>
        <w:rPr>
          <w:rFonts w:ascii="Arial" w:hAnsi="Arial" w:cs="Arial"/>
        </w:rPr>
      </w:pPr>
      <w:r>
        <w:rPr>
          <w:rFonts w:ascii="Arial" w:hAnsi="Arial" w:cs="Arial"/>
        </w:rPr>
        <w:t xml:space="preserve">ABSTRACT </w:t>
      </w:r>
    </w:p>
    <w:p w14:paraId="344D1F0A" w14:textId="77777777" w:rsidR="00776316" w:rsidRDefault="00776316" w:rsidP="00776316">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776316" w14:paraId="2F56AE16" w14:textId="77777777" w:rsidTr="00776316">
        <w:tc>
          <w:tcPr>
            <w:tcW w:w="9889" w:type="dxa"/>
            <w:tcBorders>
              <w:top w:val="single" w:sz="4" w:space="0" w:color="000000"/>
              <w:left w:val="single" w:sz="4" w:space="0" w:color="000000"/>
              <w:bottom w:val="single" w:sz="4" w:space="0" w:color="000000"/>
              <w:right w:val="single" w:sz="4" w:space="0" w:color="000000"/>
            </w:tcBorders>
            <w:shd w:val="clear" w:color="auto" w:fill="F2F2F2"/>
          </w:tcPr>
          <w:p w14:paraId="0DAC8AD4" w14:textId="77777777" w:rsidR="00776316" w:rsidRDefault="00776316" w:rsidP="00364F26">
            <w:pPr>
              <w:pStyle w:val="Body"/>
              <w:spacing w:after="0"/>
              <w:jc w:val="left"/>
              <w:rPr>
                <w:rFonts w:ascii="Arial" w:eastAsia="Calibri" w:hAnsi="Arial" w:cs="Arial"/>
                <w:szCs w:val="22"/>
              </w:rPr>
            </w:pPr>
            <w:r>
              <w:rPr>
                <w:rFonts w:ascii="Arial" w:eastAsia="Calibri" w:hAnsi="Arial" w:cs="Arial"/>
                <w:szCs w:val="22"/>
              </w:rPr>
              <w:t>In this chapter</w:t>
            </w:r>
            <w:r w:rsidR="00364F26">
              <w:rPr>
                <w:rFonts w:ascii="Arial" w:eastAsia="Calibri" w:hAnsi="Arial" w:cs="Arial"/>
                <w:szCs w:val="22"/>
              </w:rPr>
              <w:t>,</w:t>
            </w:r>
            <w:r>
              <w:rPr>
                <w:rFonts w:ascii="Arial" w:eastAsia="Calibri" w:hAnsi="Arial" w:cs="Arial"/>
                <w:szCs w:val="22"/>
              </w:rPr>
              <w:t xml:space="preserve"> one </w:t>
            </w:r>
            <w:commentRangeStart w:id="0"/>
            <w:r>
              <w:rPr>
                <w:rFonts w:ascii="Arial" w:eastAsia="Calibri" w:hAnsi="Arial" w:cs="Arial"/>
                <w:szCs w:val="22"/>
              </w:rPr>
              <w:t xml:space="preserve">describes </w:t>
            </w:r>
            <w:r w:rsidR="00CA76A6">
              <w:rPr>
                <w:rFonts w:ascii="Arial" w:eastAsia="Calibri" w:hAnsi="Arial" w:cs="Arial"/>
                <w:szCs w:val="22"/>
              </w:rPr>
              <w:t>the</w:t>
            </w:r>
            <w:r>
              <w:rPr>
                <w:rFonts w:ascii="Arial" w:eastAsia="Calibri" w:hAnsi="Arial" w:cs="Arial"/>
                <w:szCs w:val="22"/>
              </w:rPr>
              <w:t xml:space="preserve"> first cycle treatment in a case of a newly diagnosed COVID-19 pneum</w:t>
            </w:r>
            <w:r w:rsidR="00953F50">
              <w:rPr>
                <w:rFonts w:ascii="Arial" w:eastAsia="Calibri" w:hAnsi="Arial" w:cs="Arial"/>
                <w:szCs w:val="22"/>
              </w:rPr>
              <w:t>onia.</w:t>
            </w:r>
            <w:commentRangeEnd w:id="0"/>
            <w:r w:rsidR="003C3189">
              <w:rPr>
                <w:rStyle w:val="CommentReference"/>
              </w:rPr>
              <w:commentReference w:id="0"/>
            </w:r>
            <w:r w:rsidR="00CA76A6">
              <w:rPr>
                <w:rFonts w:ascii="Arial" w:eastAsia="Calibri" w:hAnsi="Arial" w:cs="Arial"/>
                <w:szCs w:val="22"/>
              </w:rPr>
              <w:t xml:space="preserve"> </w:t>
            </w:r>
            <w:r w:rsidR="00364F26" w:rsidRPr="00364F26">
              <w:rPr>
                <w:rFonts w:ascii="Arial" w:eastAsia="Calibri" w:hAnsi="Arial" w:cs="Arial"/>
                <w:szCs w:val="22"/>
              </w:rPr>
              <w:t xml:space="preserve">Pneumonia is a major cause of death among </w:t>
            </w:r>
            <w:commentRangeStart w:id="1"/>
            <w:proofErr w:type="spellStart"/>
            <w:r w:rsidR="00364F26" w:rsidRPr="00205AC4">
              <w:rPr>
                <w:rFonts w:ascii="Arial" w:eastAsia="Calibri" w:hAnsi="Arial" w:cs="Arial"/>
                <w:szCs w:val="22"/>
                <w:highlight w:val="yellow"/>
              </w:rPr>
              <w:t>pacients</w:t>
            </w:r>
            <w:commentRangeEnd w:id="1"/>
            <w:proofErr w:type="spellEnd"/>
            <w:r w:rsidR="00205AC4">
              <w:rPr>
                <w:rStyle w:val="CommentReference"/>
              </w:rPr>
              <w:commentReference w:id="1"/>
            </w:r>
            <w:r w:rsidR="00364F26" w:rsidRPr="00364F26">
              <w:rPr>
                <w:rFonts w:ascii="Arial" w:eastAsia="Calibri" w:hAnsi="Arial" w:cs="Arial"/>
                <w:szCs w:val="22"/>
              </w:rPr>
              <w:t xml:space="preserve"> with leukemia. The BH3-mimetic and selective BCL-2 inhibitor </w:t>
            </w:r>
            <w:proofErr w:type="spellStart"/>
            <w:r w:rsidR="00364F26" w:rsidRPr="00364F26">
              <w:rPr>
                <w:rFonts w:ascii="Arial" w:eastAsia="Calibri" w:hAnsi="Arial" w:cs="Arial"/>
                <w:szCs w:val="22"/>
              </w:rPr>
              <w:t>Venetoclax</w:t>
            </w:r>
            <w:proofErr w:type="spellEnd"/>
            <w:r w:rsidR="00364F26" w:rsidRPr="00364F26">
              <w:rPr>
                <w:rFonts w:ascii="Arial" w:eastAsia="Calibri" w:hAnsi="Arial" w:cs="Arial"/>
                <w:szCs w:val="22"/>
              </w:rPr>
              <w:t xml:space="preserve"> is a medication used to treat adults with chronic lymphocytic leukemia (CLL), acute myeloid leukemia (AML) and small lymphocytic lymphoma (SLL).</w:t>
            </w:r>
            <w:r w:rsidR="00364F26">
              <w:rPr>
                <w:rFonts w:ascii="Arial" w:eastAsia="Calibri" w:hAnsi="Arial" w:cs="Arial"/>
                <w:szCs w:val="22"/>
              </w:rPr>
              <w:t xml:space="preserve"> </w:t>
            </w:r>
            <w:commentRangeStart w:id="2"/>
            <w:r w:rsidR="00364F26" w:rsidRPr="00364F26">
              <w:rPr>
                <w:rFonts w:ascii="Arial" w:eastAsia="Calibri" w:hAnsi="Arial" w:cs="Arial"/>
                <w:szCs w:val="22"/>
              </w:rPr>
              <w:t xml:space="preserve">Soon after being diagnosed with endocarditis with </w:t>
            </w:r>
            <w:proofErr w:type="spellStart"/>
            <w:r w:rsidR="00364F26" w:rsidRPr="00364F26">
              <w:rPr>
                <w:rFonts w:ascii="Arial" w:eastAsia="Calibri" w:hAnsi="Arial" w:cs="Arial"/>
                <w:szCs w:val="22"/>
              </w:rPr>
              <w:t>Aerococcus</w:t>
            </w:r>
            <w:proofErr w:type="spellEnd"/>
            <w:r w:rsidR="00364F26" w:rsidRPr="00364F26">
              <w:rPr>
                <w:rFonts w:ascii="Arial" w:eastAsia="Calibri" w:hAnsi="Arial" w:cs="Arial"/>
                <w:szCs w:val="22"/>
              </w:rPr>
              <w:t xml:space="preserve"> </w:t>
            </w:r>
            <w:proofErr w:type="spellStart"/>
            <w:r w:rsidR="00364F26" w:rsidRPr="00364F26">
              <w:rPr>
                <w:rFonts w:ascii="Arial" w:eastAsia="Calibri" w:hAnsi="Arial" w:cs="Arial"/>
                <w:szCs w:val="22"/>
              </w:rPr>
              <w:t>Viridans</w:t>
            </w:r>
            <w:proofErr w:type="spellEnd"/>
            <w:r w:rsidR="00364F26" w:rsidRPr="00364F26">
              <w:rPr>
                <w:rFonts w:ascii="Arial" w:eastAsia="Calibri" w:hAnsi="Arial" w:cs="Arial"/>
                <w:szCs w:val="22"/>
              </w:rPr>
              <w:t xml:space="preserve"> after a third molar extraction followed up by persistent fatigue, fever, weakness, nausea and excessive sweating, especially at night, a 70 years old normotensive, non-diabetic male was also diagnosed with AML M2/FAB</w:t>
            </w:r>
            <w:commentRangeEnd w:id="2"/>
            <w:r w:rsidR="003C3189">
              <w:rPr>
                <w:rStyle w:val="CommentReference"/>
              </w:rPr>
              <w:commentReference w:id="2"/>
            </w:r>
            <w:r w:rsidR="00364F26" w:rsidRPr="00364F26">
              <w:rPr>
                <w:rFonts w:ascii="Arial" w:eastAsia="Calibri" w:hAnsi="Arial" w:cs="Arial"/>
                <w:szCs w:val="22"/>
              </w:rPr>
              <w:t>.</w:t>
            </w:r>
            <w:r w:rsidR="00364F26">
              <w:t xml:space="preserve"> </w:t>
            </w:r>
            <w:r w:rsidR="00364F26" w:rsidRPr="00364F26">
              <w:rPr>
                <w:rFonts w:ascii="Arial" w:eastAsia="Calibri" w:hAnsi="Arial" w:cs="Arial"/>
                <w:szCs w:val="22"/>
              </w:rPr>
              <w:t xml:space="preserve">In this severe COVID-19 case the </w:t>
            </w:r>
            <w:proofErr w:type="spellStart"/>
            <w:r w:rsidR="00364F26" w:rsidRPr="00364F26">
              <w:rPr>
                <w:rFonts w:ascii="Arial" w:eastAsia="Calibri" w:hAnsi="Arial" w:cs="Arial"/>
                <w:szCs w:val="22"/>
              </w:rPr>
              <w:t>venetoclax</w:t>
            </w:r>
            <w:proofErr w:type="spellEnd"/>
            <w:r w:rsidR="00364F26" w:rsidRPr="00364F26">
              <w:rPr>
                <w:rFonts w:ascii="Arial" w:eastAsia="Calibri" w:hAnsi="Arial" w:cs="Arial"/>
                <w:szCs w:val="22"/>
              </w:rPr>
              <w:t xml:space="preserve"> treatment functioned, even in its first cycle and moreover even without increasing the daily dose over 100 mg. One observed that the initial high value of monocytes (12620/µL) dropped after the 28 days period close to the normalization threshold (2500/µL), more exactly to 2360/µL</w:t>
            </w:r>
            <w:r w:rsidR="00364F26">
              <w:rPr>
                <w:rFonts w:ascii="Arial" w:eastAsia="Calibri" w:hAnsi="Arial" w:cs="Arial"/>
                <w:szCs w:val="22"/>
              </w:rPr>
              <w:t xml:space="preserve">. </w:t>
            </w:r>
            <w:r w:rsidR="00364F26" w:rsidRPr="00364F26">
              <w:rPr>
                <w:rFonts w:ascii="Arial" w:eastAsia="Calibri" w:hAnsi="Arial" w:cs="Arial"/>
                <w:szCs w:val="22"/>
              </w:rPr>
              <w:t xml:space="preserve">The positive response to </w:t>
            </w:r>
            <w:proofErr w:type="spellStart"/>
            <w:r w:rsidR="00364F26" w:rsidRPr="00364F26">
              <w:rPr>
                <w:rFonts w:ascii="Arial" w:eastAsia="Calibri" w:hAnsi="Arial" w:cs="Arial"/>
                <w:szCs w:val="22"/>
              </w:rPr>
              <w:t>venetoclax</w:t>
            </w:r>
            <w:proofErr w:type="spellEnd"/>
            <w:r w:rsidR="00364F26" w:rsidRPr="00364F26">
              <w:rPr>
                <w:rFonts w:ascii="Arial" w:eastAsia="Calibri" w:hAnsi="Arial" w:cs="Arial"/>
                <w:szCs w:val="22"/>
              </w:rPr>
              <w:t xml:space="preserve"> occurred even if the patient developed other comorbidities at that point such as for example severe anemia within the disease, thrombocytopenia, SIRS (systemic inflammatory response syndrome).</w:t>
            </w:r>
          </w:p>
        </w:tc>
      </w:tr>
    </w:tbl>
    <w:p w14:paraId="2B6153A1" w14:textId="77777777" w:rsidR="00776316" w:rsidRDefault="00776316" w:rsidP="00776316">
      <w:pPr>
        <w:pStyle w:val="Body"/>
        <w:spacing w:after="0"/>
        <w:rPr>
          <w:rFonts w:ascii="Arial" w:hAnsi="Arial" w:cs="Arial"/>
          <w:i/>
        </w:rPr>
      </w:pPr>
    </w:p>
    <w:p w14:paraId="4FD20A36" w14:textId="77777777" w:rsidR="00776316" w:rsidRDefault="00776316" w:rsidP="00776316">
      <w:pPr>
        <w:pStyle w:val="Body"/>
        <w:rPr>
          <w:rFonts w:ascii="Arial" w:hAnsi="Arial" w:cs="Arial"/>
          <w:i/>
        </w:rPr>
      </w:pPr>
      <w:r>
        <w:rPr>
          <w:rFonts w:ascii="Arial" w:hAnsi="Arial" w:cs="Arial"/>
          <w:i/>
        </w:rPr>
        <w:t>Keywords: Post-Covid Syndrome, hemoptysis, thrombocytopenia, acute myeloid leukemia,</w:t>
      </w:r>
      <w:r>
        <w:rPr>
          <w:rFonts w:ascii="Arial" w:eastAsia="Calibri" w:hAnsi="Arial" w:cs="Arial"/>
          <w:szCs w:val="22"/>
        </w:rPr>
        <w:t xml:space="preserve"> </w:t>
      </w:r>
      <w:r>
        <w:rPr>
          <w:rFonts w:ascii="Arial" w:eastAsia="Calibri" w:hAnsi="Arial" w:cs="Arial"/>
          <w:i/>
          <w:szCs w:val="22"/>
        </w:rPr>
        <w:t>SARS-CoV-2</w:t>
      </w:r>
    </w:p>
    <w:p w14:paraId="47DE9D16" w14:textId="77777777" w:rsidR="00776316" w:rsidRDefault="00776316" w:rsidP="00776316">
      <w:pPr>
        <w:pStyle w:val="Body"/>
        <w:spacing w:after="0"/>
        <w:rPr>
          <w:rFonts w:ascii="Arial" w:hAnsi="Arial" w:cs="Arial"/>
          <w:i/>
        </w:rPr>
      </w:pPr>
    </w:p>
    <w:p w14:paraId="423D2085" w14:textId="77777777" w:rsidR="00776316" w:rsidRDefault="00776316" w:rsidP="00776316">
      <w:pPr>
        <w:pStyle w:val="AbstHead"/>
        <w:spacing w:after="0"/>
        <w:jc w:val="both"/>
        <w:rPr>
          <w:rFonts w:ascii="Arial" w:hAnsi="Arial" w:cs="Arial"/>
        </w:rPr>
      </w:pPr>
      <w:r>
        <w:rPr>
          <w:rFonts w:ascii="Arial" w:hAnsi="Arial" w:cs="Arial"/>
        </w:rPr>
        <w:t xml:space="preserve">1. INTRODUCTION </w:t>
      </w:r>
    </w:p>
    <w:p w14:paraId="3E156BC1" w14:textId="77777777" w:rsidR="00776316" w:rsidRDefault="00776316" w:rsidP="00776316">
      <w:pPr>
        <w:pStyle w:val="AbstHead"/>
        <w:spacing w:after="0"/>
        <w:jc w:val="both"/>
        <w:rPr>
          <w:rFonts w:ascii="Arial" w:hAnsi="Arial" w:cs="Arial"/>
        </w:rPr>
      </w:pPr>
    </w:p>
    <w:p w14:paraId="56D391FF" w14:textId="77777777" w:rsidR="00776316" w:rsidRDefault="00776316" w:rsidP="00776316">
      <w:pPr>
        <w:pStyle w:val="Body"/>
        <w:spacing w:after="0"/>
        <w:rPr>
          <w:rFonts w:ascii="Arial" w:eastAsia="Calibri" w:hAnsi="Arial" w:cs="Arial"/>
          <w:szCs w:val="22"/>
        </w:rPr>
      </w:pPr>
      <w:r>
        <w:rPr>
          <w:rFonts w:ascii="Arial" w:hAnsi="Arial" w:cs="Arial"/>
        </w:rPr>
        <w:t xml:space="preserve">Pneumonia is a major cause of death among </w:t>
      </w:r>
      <w:commentRangeStart w:id="3"/>
      <w:proofErr w:type="spellStart"/>
      <w:r>
        <w:rPr>
          <w:rFonts w:ascii="Arial" w:hAnsi="Arial" w:cs="Arial"/>
        </w:rPr>
        <w:t>pacients</w:t>
      </w:r>
      <w:proofErr w:type="spellEnd"/>
      <w:r>
        <w:rPr>
          <w:rFonts w:ascii="Arial" w:hAnsi="Arial" w:cs="Arial"/>
        </w:rPr>
        <w:t xml:space="preserve"> </w:t>
      </w:r>
      <w:commentRangeEnd w:id="3"/>
      <w:r w:rsidR="00205AC4">
        <w:rPr>
          <w:rStyle w:val="CommentReference"/>
        </w:rPr>
        <w:commentReference w:id="3"/>
      </w:r>
      <w:r>
        <w:rPr>
          <w:rFonts w:ascii="Arial" w:hAnsi="Arial" w:cs="Arial"/>
        </w:rPr>
        <w:t xml:space="preserve">with leukemia. </w:t>
      </w:r>
      <w:r w:rsidR="00953F50">
        <w:rPr>
          <w:rFonts w:ascii="Arial" w:hAnsi="Arial" w:cs="Arial"/>
        </w:rPr>
        <w:t xml:space="preserve">The BH3-mimetic and selective BCL-2 inhibitor </w:t>
      </w:r>
      <w:proofErr w:type="spellStart"/>
      <w:r>
        <w:rPr>
          <w:rFonts w:ascii="Arial" w:hAnsi="Arial" w:cs="Arial"/>
        </w:rPr>
        <w:t>Venetoclax</w:t>
      </w:r>
      <w:proofErr w:type="spellEnd"/>
      <w:r w:rsidR="002351B2">
        <w:rPr>
          <w:rFonts w:ascii="Arial" w:hAnsi="Arial" w:cs="Arial"/>
        </w:rPr>
        <w:t xml:space="preserve"> is a medication </w:t>
      </w:r>
      <w:r w:rsidR="00D26282">
        <w:rPr>
          <w:rFonts w:ascii="Arial" w:hAnsi="Arial" w:cs="Arial"/>
        </w:rPr>
        <w:t xml:space="preserve">used to treat adults with chronic lymphocytic leukemia (CLL), acute myeloid leukemia (AML) and small lymphocytic lymphoma (SLL). </w:t>
      </w:r>
      <w:r w:rsidR="00CB3433">
        <w:rPr>
          <w:rFonts w:ascii="Arial" w:hAnsi="Arial" w:cs="Arial"/>
        </w:rPr>
        <w:t xml:space="preserve">AML increases the risk of infections. </w:t>
      </w:r>
      <w:commentRangeStart w:id="4"/>
      <w:proofErr w:type="spellStart"/>
      <w:r w:rsidR="00D26282">
        <w:rPr>
          <w:rFonts w:ascii="Arial" w:hAnsi="Arial" w:cs="Arial"/>
        </w:rPr>
        <w:t>Venetoclax</w:t>
      </w:r>
      <w:proofErr w:type="spellEnd"/>
      <w:r w:rsidR="00953F50">
        <w:rPr>
          <w:rFonts w:ascii="Arial" w:hAnsi="Arial" w:cs="Arial"/>
        </w:rPr>
        <w:t xml:space="preserve"> </w:t>
      </w:r>
      <w:r>
        <w:rPr>
          <w:rFonts w:ascii="Arial" w:hAnsi="Arial" w:cs="Arial"/>
        </w:rPr>
        <w:t>was recently approved by</w:t>
      </w:r>
      <w:r w:rsidR="00CA76A6">
        <w:rPr>
          <w:rFonts w:ascii="Arial" w:hAnsi="Arial" w:cs="Arial"/>
        </w:rPr>
        <w:t xml:space="preserve"> the Romanian Health Ministry ([2</w:t>
      </w:r>
      <w:r>
        <w:rPr>
          <w:rFonts w:ascii="Arial" w:hAnsi="Arial" w:cs="Arial"/>
        </w:rPr>
        <w:t>]</w:t>
      </w:r>
      <w:r w:rsidR="00CA76A6">
        <w:rPr>
          <w:rFonts w:ascii="Arial" w:hAnsi="Arial" w:cs="Arial"/>
        </w:rPr>
        <w:t>)</w:t>
      </w:r>
      <w:r>
        <w:rPr>
          <w:rFonts w:ascii="Arial" w:hAnsi="Arial" w:cs="Arial"/>
        </w:rPr>
        <w:t xml:space="preserve"> for the treatment of </w:t>
      </w:r>
      <w:r w:rsidR="00953F50">
        <w:rPr>
          <w:rFonts w:ascii="Arial" w:hAnsi="Arial" w:cs="Arial"/>
        </w:rPr>
        <w:t xml:space="preserve">patients diagnosed with </w:t>
      </w:r>
      <w:r>
        <w:rPr>
          <w:rFonts w:ascii="Arial" w:hAnsi="Arial" w:cs="Arial"/>
        </w:rPr>
        <w:t>acute my</w:t>
      </w:r>
      <w:r w:rsidR="00953F50">
        <w:rPr>
          <w:rFonts w:ascii="Arial" w:hAnsi="Arial" w:cs="Arial"/>
        </w:rPr>
        <w:t>eloid leukemia (AML)</w:t>
      </w:r>
      <w:r>
        <w:rPr>
          <w:rFonts w:ascii="Arial" w:hAnsi="Arial" w:cs="Arial"/>
        </w:rPr>
        <w:t xml:space="preserve">. </w:t>
      </w:r>
      <w:r w:rsidR="00953F50">
        <w:rPr>
          <w:rFonts w:ascii="Arial" w:hAnsi="Arial" w:cs="Arial"/>
        </w:rPr>
        <w:t>Unfortunately</w:t>
      </w:r>
      <w:r>
        <w:rPr>
          <w:rFonts w:ascii="Arial" w:hAnsi="Arial" w:cs="Arial"/>
        </w:rPr>
        <w:t xml:space="preserve">, Romania </w:t>
      </w:r>
      <w:r w:rsidR="002351B2">
        <w:rPr>
          <w:rFonts w:ascii="Arial" w:hAnsi="Arial" w:cs="Arial"/>
        </w:rPr>
        <w:t>remained until 2022</w:t>
      </w:r>
      <w:r>
        <w:rPr>
          <w:rFonts w:ascii="Arial" w:hAnsi="Arial" w:cs="Arial"/>
        </w:rPr>
        <w:t xml:space="preserve"> the only EU countr</w:t>
      </w:r>
      <w:r w:rsidR="002351B2">
        <w:rPr>
          <w:rFonts w:ascii="Arial" w:hAnsi="Arial" w:cs="Arial"/>
        </w:rPr>
        <w:t xml:space="preserve">y where the cost of </w:t>
      </w:r>
      <w:proofErr w:type="spellStart"/>
      <w:r w:rsidR="002351B2">
        <w:rPr>
          <w:rFonts w:ascii="Arial" w:hAnsi="Arial" w:cs="Arial"/>
        </w:rPr>
        <w:t>Venetoclax</w:t>
      </w:r>
      <w:proofErr w:type="spellEnd"/>
      <w:r w:rsidR="002351B2">
        <w:rPr>
          <w:rFonts w:ascii="Arial" w:hAnsi="Arial" w:cs="Arial"/>
        </w:rPr>
        <w:t xml:space="preserve"> wa</w:t>
      </w:r>
      <w:r>
        <w:rPr>
          <w:rFonts w:ascii="Arial" w:hAnsi="Arial" w:cs="Arial"/>
        </w:rPr>
        <w:t>s neither fully nor partially supported by the National Health Insurance House</w:t>
      </w:r>
      <w:r w:rsidR="00CA76A6">
        <w:rPr>
          <w:rFonts w:ascii="Arial" w:hAnsi="Arial" w:cs="Arial"/>
        </w:rPr>
        <w:t xml:space="preserve"> ([3])</w:t>
      </w:r>
      <w:r>
        <w:rPr>
          <w:rFonts w:ascii="Arial" w:hAnsi="Arial" w:cs="Arial"/>
        </w:rPr>
        <w:t xml:space="preserve"> hence the </w:t>
      </w:r>
      <w:r w:rsidRPr="00F54CA2">
        <w:rPr>
          <w:rFonts w:ascii="Arial" w:hAnsi="Arial" w:cs="Arial"/>
        </w:rPr>
        <w:t>leukemia</w:t>
      </w:r>
      <w:r w:rsidR="002351B2">
        <w:rPr>
          <w:rFonts w:ascii="Arial" w:hAnsi="Arial" w:cs="Arial"/>
        </w:rPr>
        <w:t xml:space="preserve"> patients had</w:t>
      </w:r>
      <w:r>
        <w:rPr>
          <w:rFonts w:ascii="Arial" w:hAnsi="Arial" w:cs="Arial"/>
        </w:rPr>
        <w:t xml:space="preserve"> to either </w:t>
      </w:r>
      <w:r w:rsidR="002351B2">
        <w:rPr>
          <w:rFonts w:ascii="Arial" w:hAnsi="Arial" w:cs="Arial"/>
        </w:rPr>
        <w:t xml:space="preserve">seek the aid of compassionate care organizations or </w:t>
      </w:r>
      <w:r>
        <w:rPr>
          <w:rFonts w:ascii="Arial" w:hAnsi="Arial" w:cs="Arial"/>
        </w:rPr>
        <w:t>pur</w:t>
      </w:r>
      <w:r w:rsidR="002351B2">
        <w:rPr>
          <w:rFonts w:ascii="Arial" w:hAnsi="Arial" w:cs="Arial"/>
        </w:rPr>
        <w:t>chase it on their own expense</w:t>
      </w:r>
      <w:r w:rsidRPr="00DA59C4">
        <w:rPr>
          <w:rFonts w:ascii="Arial" w:hAnsi="Arial" w:cs="Arial"/>
        </w:rPr>
        <w:t xml:space="preserve">. </w:t>
      </w:r>
      <w:commentRangeEnd w:id="4"/>
      <w:r w:rsidR="003C3189">
        <w:rPr>
          <w:rStyle w:val="CommentReference"/>
        </w:rPr>
        <w:commentReference w:id="4"/>
      </w:r>
      <w:r w:rsidR="002351B2" w:rsidRPr="00DA59C4">
        <w:rPr>
          <w:rFonts w:ascii="Arial" w:hAnsi="Arial" w:cs="Arial"/>
        </w:rPr>
        <w:t xml:space="preserve">By selectively binding to BCL-2 protein family and displacing pro-apoptotic proteins, </w:t>
      </w:r>
      <w:proofErr w:type="spellStart"/>
      <w:r w:rsidRPr="00DA59C4">
        <w:rPr>
          <w:rFonts w:ascii="Arial" w:hAnsi="Arial" w:cs="Arial"/>
        </w:rPr>
        <w:t>Venetoclax</w:t>
      </w:r>
      <w:proofErr w:type="spellEnd"/>
      <w:r w:rsidRPr="00DA59C4">
        <w:rPr>
          <w:rFonts w:ascii="Arial" w:hAnsi="Arial" w:cs="Arial"/>
        </w:rPr>
        <w:t xml:space="preserve"> helps restoring the process of apoptosis. </w:t>
      </w:r>
      <w:proofErr w:type="spellStart"/>
      <w:r w:rsidRPr="00DA59C4">
        <w:rPr>
          <w:rFonts w:ascii="Arial" w:hAnsi="Arial" w:cs="Arial"/>
        </w:rPr>
        <w:t>Venetoclax</w:t>
      </w:r>
      <w:proofErr w:type="spellEnd"/>
      <w:r w:rsidR="002351B2" w:rsidRPr="00DA59C4">
        <w:rPr>
          <w:rFonts w:ascii="Arial" w:hAnsi="Arial" w:cs="Arial"/>
        </w:rPr>
        <w:t xml:space="preserve">, sold under the brand names </w:t>
      </w:r>
      <w:proofErr w:type="spellStart"/>
      <w:r w:rsidR="002351B2" w:rsidRPr="00DA59C4">
        <w:rPr>
          <w:rFonts w:ascii="Arial" w:hAnsi="Arial" w:cs="Arial"/>
        </w:rPr>
        <w:t>Venclexta</w:t>
      </w:r>
      <w:proofErr w:type="spellEnd"/>
      <w:r w:rsidR="002351B2" w:rsidRPr="00DA59C4">
        <w:rPr>
          <w:rFonts w:ascii="Arial" w:hAnsi="Arial" w:cs="Arial"/>
        </w:rPr>
        <w:t xml:space="preserve"> and </w:t>
      </w:r>
      <w:proofErr w:type="spellStart"/>
      <w:r w:rsidR="002351B2" w:rsidRPr="00DA59C4">
        <w:rPr>
          <w:rFonts w:ascii="Arial" w:hAnsi="Arial" w:cs="Arial"/>
        </w:rPr>
        <w:t>Venclyxto</w:t>
      </w:r>
      <w:proofErr w:type="spellEnd"/>
      <w:r w:rsidR="002351B2" w:rsidRPr="00DA59C4">
        <w:rPr>
          <w:rFonts w:ascii="Arial" w:hAnsi="Arial" w:cs="Arial"/>
        </w:rPr>
        <w:t xml:space="preserve">, </w:t>
      </w:r>
      <w:r w:rsidRPr="00DA59C4">
        <w:rPr>
          <w:rFonts w:ascii="Arial" w:hAnsi="Arial" w:cs="Arial"/>
        </w:rPr>
        <w:t xml:space="preserve">is </w:t>
      </w:r>
      <w:r w:rsidR="002351B2" w:rsidRPr="00DA59C4">
        <w:rPr>
          <w:rFonts w:ascii="Arial" w:hAnsi="Arial" w:cs="Arial"/>
        </w:rPr>
        <w:t xml:space="preserve">used </w:t>
      </w:r>
      <w:r w:rsidRPr="00DA59C4">
        <w:rPr>
          <w:rFonts w:ascii="Arial" w:hAnsi="Arial" w:cs="Arial"/>
        </w:rPr>
        <w:t xml:space="preserve">for adults either over 75 years old or who have comorbidities that would not permit the use of intensive induction chemotherapy. </w:t>
      </w:r>
      <w:r w:rsidR="002351B2" w:rsidRPr="00DA59C4">
        <w:rPr>
          <w:rFonts w:ascii="Arial" w:hAnsi="Arial" w:cs="Arial"/>
        </w:rPr>
        <w:t xml:space="preserve">Furthermore, </w:t>
      </w:r>
      <w:proofErr w:type="spellStart"/>
      <w:r w:rsidR="002351B2" w:rsidRPr="00DA59C4">
        <w:rPr>
          <w:rFonts w:ascii="Arial" w:hAnsi="Arial" w:cs="Arial"/>
        </w:rPr>
        <w:t>Venetoclax</w:t>
      </w:r>
      <w:proofErr w:type="spellEnd"/>
      <w:r w:rsidRPr="00DA59C4">
        <w:rPr>
          <w:rFonts w:ascii="Arial" w:hAnsi="Arial" w:cs="Arial"/>
        </w:rPr>
        <w:t xml:space="preserve"> is indicated to be used for the treatment of AML in adults in combination with either azacitidine or decitabine or low-dose cytarabine</w:t>
      </w:r>
      <w:r w:rsidR="00CA76A6">
        <w:rPr>
          <w:rFonts w:ascii="Arial" w:hAnsi="Arial" w:cs="Arial"/>
        </w:rPr>
        <w:t xml:space="preserve"> ([4])</w:t>
      </w:r>
      <w:r w:rsidRPr="00DA59C4">
        <w:rPr>
          <w:rFonts w:ascii="Arial" w:hAnsi="Arial" w:cs="Arial"/>
        </w:rPr>
        <w:t xml:space="preserve">. In this </w:t>
      </w:r>
      <w:r w:rsidR="002351B2" w:rsidRPr="00DA59C4">
        <w:rPr>
          <w:rFonts w:ascii="Arial" w:hAnsi="Arial" w:cs="Arial"/>
        </w:rPr>
        <w:t>chapter</w:t>
      </w:r>
      <w:r w:rsidRPr="00DA59C4">
        <w:rPr>
          <w:rFonts w:ascii="Arial" w:hAnsi="Arial" w:cs="Arial"/>
        </w:rPr>
        <w:t xml:space="preserve"> we describe a rare case of </w:t>
      </w:r>
      <w:r w:rsidRPr="00DA59C4">
        <w:rPr>
          <w:rFonts w:ascii="Arial" w:eastAsia="Calibri" w:hAnsi="Arial" w:cs="Arial"/>
          <w:szCs w:val="22"/>
        </w:rPr>
        <w:t xml:space="preserve">a </w:t>
      </w:r>
      <w:proofErr w:type="spellStart"/>
      <w:r w:rsidRPr="00DA59C4">
        <w:rPr>
          <w:rFonts w:ascii="Arial" w:eastAsia="Calibri" w:hAnsi="Arial" w:cs="Arial"/>
          <w:szCs w:val="22"/>
        </w:rPr>
        <w:t>venetoclax</w:t>
      </w:r>
      <w:proofErr w:type="spellEnd"/>
      <w:r w:rsidRPr="00DA59C4">
        <w:rPr>
          <w:rFonts w:ascii="Arial" w:eastAsia="Calibri" w:hAnsi="Arial" w:cs="Arial"/>
          <w:szCs w:val="22"/>
        </w:rPr>
        <w:t xml:space="preserve"> first cycle treatment for a patient diagnosed with COVID-19 </w:t>
      </w:r>
      <w:r w:rsidR="00DA59C4" w:rsidRPr="00DA59C4">
        <w:rPr>
          <w:rFonts w:ascii="Arial" w:eastAsia="Calibri" w:hAnsi="Arial" w:cs="Arial"/>
          <w:szCs w:val="22"/>
        </w:rPr>
        <w:t>pneumonia</w:t>
      </w:r>
      <w:r w:rsidRPr="00DA59C4">
        <w:rPr>
          <w:rFonts w:ascii="Arial" w:eastAsia="Calibri" w:hAnsi="Arial" w:cs="Arial"/>
          <w:szCs w:val="22"/>
        </w:rPr>
        <w:t xml:space="preserve"> and show </w:t>
      </w:r>
      <w:r w:rsidR="002351B2" w:rsidRPr="00DA59C4">
        <w:rPr>
          <w:rFonts w:ascii="Arial" w:eastAsia="Calibri" w:hAnsi="Arial" w:cs="Arial"/>
          <w:szCs w:val="22"/>
        </w:rPr>
        <w:t>how</w:t>
      </w:r>
      <w:r w:rsidRPr="00DA59C4">
        <w:rPr>
          <w:rFonts w:ascii="Arial" w:eastAsia="Calibri" w:hAnsi="Arial" w:cs="Arial"/>
          <w:szCs w:val="22"/>
        </w:rPr>
        <w:t xml:space="preserve"> the </w:t>
      </w:r>
      <w:proofErr w:type="spellStart"/>
      <w:r w:rsidRPr="00DA59C4">
        <w:rPr>
          <w:rFonts w:ascii="Arial" w:hAnsi="Arial" w:cs="Arial"/>
        </w:rPr>
        <w:t>venetoclax</w:t>
      </w:r>
      <w:proofErr w:type="spellEnd"/>
      <w:r w:rsidRPr="00DA59C4">
        <w:rPr>
          <w:rFonts w:ascii="Arial" w:hAnsi="Arial" w:cs="Arial"/>
        </w:rPr>
        <w:t xml:space="preserve"> treatment worked against AML.</w:t>
      </w:r>
    </w:p>
    <w:p w14:paraId="0D94B709" w14:textId="77777777" w:rsidR="00776316" w:rsidRDefault="00776316" w:rsidP="00776316">
      <w:pPr>
        <w:pStyle w:val="Body"/>
        <w:spacing w:after="0"/>
        <w:rPr>
          <w:rFonts w:ascii="Arial" w:hAnsi="Arial" w:cs="Arial"/>
        </w:rPr>
      </w:pPr>
    </w:p>
    <w:p w14:paraId="1D3E8E1E" w14:textId="77777777" w:rsidR="00776316" w:rsidRDefault="00776316" w:rsidP="00776316">
      <w:pPr>
        <w:pStyle w:val="AbstHead"/>
        <w:spacing w:after="0"/>
        <w:jc w:val="both"/>
        <w:rPr>
          <w:rFonts w:ascii="Arial" w:hAnsi="Arial" w:cs="Arial"/>
        </w:rPr>
      </w:pPr>
      <w:r>
        <w:rPr>
          <w:rFonts w:ascii="Arial" w:hAnsi="Arial" w:cs="Arial"/>
        </w:rPr>
        <w:t>2. PRESENTATION OF THE CASE</w:t>
      </w:r>
    </w:p>
    <w:p w14:paraId="03DED112" w14:textId="77777777" w:rsidR="00776316" w:rsidRDefault="00776316" w:rsidP="00776316">
      <w:pPr>
        <w:pStyle w:val="AbstHead"/>
        <w:spacing w:after="0"/>
        <w:jc w:val="both"/>
        <w:rPr>
          <w:rFonts w:ascii="Arial" w:hAnsi="Arial" w:cs="Arial"/>
        </w:rPr>
      </w:pPr>
    </w:p>
    <w:p w14:paraId="16074D8C" w14:textId="77777777" w:rsidR="00776316" w:rsidRDefault="006854B4" w:rsidP="00776316">
      <w:pPr>
        <w:pStyle w:val="Body"/>
        <w:rPr>
          <w:rFonts w:ascii="Arial" w:eastAsia="Calibri" w:hAnsi="Arial" w:cs="Arial"/>
          <w:szCs w:val="22"/>
        </w:rPr>
      </w:pPr>
      <w:r>
        <w:rPr>
          <w:rFonts w:ascii="Arial" w:eastAsia="Calibri" w:hAnsi="Arial" w:cs="Arial"/>
          <w:szCs w:val="22"/>
        </w:rPr>
        <w:t xml:space="preserve">Soon after being diagnosed with endocarditis with </w:t>
      </w:r>
      <w:proofErr w:type="spellStart"/>
      <w:r>
        <w:rPr>
          <w:rFonts w:ascii="Arial" w:eastAsia="Calibri" w:hAnsi="Arial" w:cs="Arial"/>
          <w:szCs w:val="22"/>
        </w:rPr>
        <w:t>Aerococcus</w:t>
      </w:r>
      <w:proofErr w:type="spellEnd"/>
      <w:r>
        <w:rPr>
          <w:rFonts w:ascii="Arial" w:eastAsia="Calibri" w:hAnsi="Arial" w:cs="Arial"/>
          <w:szCs w:val="22"/>
        </w:rPr>
        <w:t xml:space="preserve"> </w:t>
      </w:r>
      <w:proofErr w:type="spellStart"/>
      <w:r>
        <w:rPr>
          <w:rFonts w:ascii="Arial" w:eastAsia="Calibri" w:hAnsi="Arial" w:cs="Arial"/>
          <w:szCs w:val="22"/>
        </w:rPr>
        <w:t>Viridans</w:t>
      </w:r>
      <w:proofErr w:type="spellEnd"/>
      <w:r>
        <w:rPr>
          <w:rFonts w:ascii="Arial" w:eastAsia="Calibri" w:hAnsi="Arial" w:cs="Arial"/>
          <w:szCs w:val="22"/>
        </w:rPr>
        <w:t xml:space="preserve"> after a third molar extraction followed up by persistent fatigue, fever, weakness, nausea and excessive sweating, especially at night,</w:t>
      </w:r>
      <w:r w:rsidRPr="006854B4">
        <w:rPr>
          <w:rFonts w:ascii="Arial" w:eastAsia="Calibri" w:hAnsi="Arial" w:cs="Arial"/>
          <w:szCs w:val="22"/>
        </w:rPr>
        <w:t xml:space="preserve"> </w:t>
      </w:r>
      <w:r>
        <w:rPr>
          <w:rFonts w:ascii="Arial" w:eastAsia="Calibri" w:hAnsi="Arial" w:cs="Arial"/>
          <w:szCs w:val="22"/>
        </w:rPr>
        <w:t xml:space="preserve">a 70 years old normotensive, non-diabetic male was also diagnosed with AML </w:t>
      </w:r>
      <w:r w:rsidRPr="003A2D7A">
        <w:rPr>
          <w:rFonts w:ascii="Arial" w:eastAsia="Calibri" w:hAnsi="Arial" w:cs="Arial"/>
          <w:szCs w:val="22"/>
        </w:rPr>
        <w:t>M2/FAB</w:t>
      </w:r>
      <w:r>
        <w:rPr>
          <w:rFonts w:ascii="Arial" w:eastAsia="Calibri" w:hAnsi="Arial" w:cs="Arial"/>
          <w:szCs w:val="22"/>
        </w:rPr>
        <w:t>. Until that time, he had no history of surgeries, comorbidities or other disease.</w:t>
      </w:r>
      <w:r w:rsidR="00776316">
        <w:rPr>
          <w:rFonts w:ascii="Arial" w:eastAsia="Calibri" w:hAnsi="Arial" w:cs="Arial"/>
          <w:szCs w:val="22"/>
        </w:rPr>
        <w:t xml:space="preserve"> </w:t>
      </w:r>
      <w:r>
        <w:rPr>
          <w:rFonts w:ascii="Arial" w:eastAsia="Calibri" w:hAnsi="Arial" w:cs="Arial"/>
          <w:szCs w:val="22"/>
        </w:rPr>
        <w:t>His blood</w:t>
      </w:r>
      <w:r w:rsidR="00776316">
        <w:rPr>
          <w:rFonts w:ascii="Arial" w:eastAsia="Calibri" w:hAnsi="Arial" w:cs="Arial"/>
          <w:szCs w:val="22"/>
        </w:rPr>
        <w:t xml:space="preserve"> was thoroughly investigated. </w:t>
      </w:r>
      <w:r w:rsidR="00F64C3C">
        <w:rPr>
          <w:rFonts w:ascii="Arial" w:eastAsia="Calibri" w:hAnsi="Arial" w:cs="Arial"/>
          <w:szCs w:val="22"/>
        </w:rPr>
        <w:t xml:space="preserve">There was severe thrombocytopenia on the peripheral smear (PLT= 89 K/µL &lt; 150K/µL), </w:t>
      </w:r>
      <w:r w:rsidR="00776316">
        <w:rPr>
          <w:rFonts w:ascii="Arial" w:eastAsia="Calibri" w:hAnsi="Arial" w:cs="Arial"/>
          <w:szCs w:val="22"/>
        </w:rPr>
        <w:t>Hemoglobin was 9.6 g/dl, with 42% Myeloblasts, 59% Neutrophils, 4% Lymphocytes, 3% Erythroblasts, 3% Metamyelocytes, 13% Myelocytes, 2% Monocytes, 3% E</w:t>
      </w:r>
      <w:r w:rsidR="00F64C3C">
        <w:rPr>
          <w:rFonts w:ascii="Arial" w:eastAsia="Calibri" w:hAnsi="Arial" w:cs="Arial"/>
          <w:szCs w:val="22"/>
        </w:rPr>
        <w:t xml:space="preserve">rythroblasts, 2% </w:t>
      </w:r>
      <w:proofErr w:type="spellStart"/>
      <w:r w:rsidR="00F64C3C">
        <w:rPr>
          <w:rFonts w:ascii="Arial" w:eastAsia="Calibri" w:hAnsi="Arial" w:cs="Arial"/>
          <w:szCs w:val="22"/>
        </w:rPr>
        <w:t>Plasmocytes</w:t>
      </w:r>
      <w:proofErr w:type="spellEnd"/>
      <w:r w:rsidR="00776316">
        <w:rPr>
          <w:rFonts w:ascii="Arial" w:eastAsia="Calibri" w:hAnsi="Arial" w:cs="Arial"/>
          <w:szCs w:val="22"/>
        </w:rPr>
        <w:t xml:space="preserve">. </w:t>
      </w:r>
      <w:r w:rsidR="00F64C3C">
        <w:rPr>
          <w:rFonts w:ascii="Arial" w:eastAsia="Calibri" w:hAnsi="Arial" w:cs="Arial"/>
          <w:szCs w:val="22"/>
        </w:rPr>
        <w:t xml:space="preserve">The patient </w:t>
      </w:r>
      <w:r w:rsidR="00776316">
        <w:rPr>
          <w:rFonts w:ascii="Arial" w:eastAsia="Calibri" w:hAnsi="Arial" w:cs="Arial"/>
          <w:szCs w:val="22"/>
        </w:rPr>
        <w:t xml:space="preserve">was initially treated for endocarditis with the antibiotics teicoplanin and ceftriaxone and also had a heart valve replacement </w:t>
      </w:r>
      <w:r w:rsidR="00776316">
        <w:rPr>
          <w:rFonts w:ascii="Arial" w:eastAsia="Calibri" w:hAnsi="Arial" w:cs="Arial"/>
          <w:szCs w:val="22"/>
        </w:rPr>
        <w:lastRenderedPageBreak/>
        <w:t xml:space="preserve">surgery with Edwards </w:t>
      </w:r>
      <w:proofErr w:type="spellStart"/>
      <w:r w:rsidR="00776316">
        <w:rPr>
          <w:rFonts w:ascii="Arial" w:eastAsia="Calibri" w:hAnsi="Arial" w:cs="Arial"/>
          <w:szCs w:val="22"/>
        </w:rPr>
        <w:t>Lifescience</w:t>
      </w:r>
      <w:proofErr w:type="spellEnd"/>
      <w:r w:rsidR="00776316">
        <w:rPr>
          <w:rFonts w:ascii="Arial" w:eastAsia="Calibri" w:hAnsi="Arial" w:cs="Arial"/>
          <w:szCs w:val="22"/>
        </w:rPr>
        <w:t xml:space="preserve"> </w:t>
      </w:r>
      <w:proofErr w:type="spellStart"/>
      <w:r w:rsidR="00776316">
        <w:rPr>
          <w:rFonts w:ascii="Arial" w:eastAsia="Calibri" w:hAnsi="Arial" w:cs="Arial"/>
          <w:szCs w:val="22"/>
        </w:rPr>
        <w:t>Perimount</w:t>
      </w:r>
      <w:proofErr w:type="spellEnd"/>
      <w:r w:rsidR="00776316">
        <w:rPr>
          <w:rFonts w:ascii="Arial" w:eastAsia="Calibri" w:hAnsi="Arial" w:cs="Arial"/>
          <w:szCs w:val="22"/>
        </w:rPr>
        <w:t xml:space="preserve"> no.25 biological valve followed by the same antibiotic treatment. </w:t>
      </w:r>
      <w:r w:rsidR="00F64C3C">
        <w:rPr>
          <w:rFonts w:ascii="Arial" w:eastAsia="Calibri" w:hAnsi="Arial" w:cs="Arial"/>
          <w:szCs w:val="22"/>
        </w:rPr>
        <w:t>The first 2 months, other than blood transfusions n</w:t>
      </w:r>
      <w:r w:rsidR="00776316">
        <w:rPr>
          <w:rFonts w:ascii="Arial" w:eastAsia="Calibri" w:hAnsi="Arial" w:cs="Arial"/>
          <w:szCs w:val="22"/>
        </w:rPr>
        <w:t>o AML treatm</w:t>
      </w:r>
      <w:r w:rsidR="00F64C3C">
        <w:rPr>
          <w:rFonts w:ascii="Arial" w:eastAsia="Calibri" w:hAnsi="Arial" w:cs="Arial"/>
          <w:szCs w:val="22"/>
        </w:rPr>
        <w:t>ent has been performed</w:t>
      </w:r>
      <w:r w:rsidR="00776316" w:rsidRPr="00F64C3C">
        <w:rPr>
          <w:rFonts w:ascii="Arial" w:eastAsia="Calibri" w:hAnsi="Arial" w:cs="Arial"/>
          <w:szCs w:val="22"/>
        </w:rPr>
        <w:t>. The AML karyotype formulae was: 45, X, -Y, t</w:t>
      </w:r>
      <w:r w:rsidR="00CA76A6">
        <w:rPr>
          <w:rFonts w:ascii="Arial" w:eastAsia="Calibri" w:hAnsi="Arial" w:cs="Arial"/>
          <w:szCs w:val="22"/>
        </w:rPr>
        <w:t>(8;21)(q22; q22.1)[2</w:t>
      </w:r>
      <w:r w:rsidR="00F64C3C" w:rsidRPr="00F64C3C">
        <w:rPr>
          <w:rFonts w:ascii="Arial" w:eastAsia="Calibri" w:hAnsi="Arial" w:cs="Arial"/>
          <w:szCs w:val="22"/>
        </w:rPr>
        <w:t xml:space="preserve">]/46,XY[1]; </w:t>
      </w:r>
      <w:r w:rsidR="00776316" w:rsidRPr="00F64C3C">
        <w:rPr>
          <w:rFonts w:ascii="Arial" w:eastAsia="Calibri" w:hAnsi="Arial" w:cs="Arial"/>
          <w:szCs w:val="22"/>
        </w:rPr>
        <w:t xml:space="preserve">based on the affected genes </w:t>
      </w:r>
      <w:r w:rsidR="00F64C3C" w:rsidRPr="00F64C3C">
        <w:rPr>
          <w:rFonts w:ascii="Arial" w:eastAsia="Calibri" w:hAnsi="Arial" w:cs="Arial"/>
          <w:szCs w:val="22"/>
        </w:rPr>
        <w:t xml:space="preserve">it </w:t>
      </w:r>
      <w:r w:rsidR="00776316" w:rsidRPr="00F64C3C">
        <w:rPr>
          <w:rFonts w:ascii="Arial" w:eastAsia="Calibri" w:hAnsi="Arial" w:cs="Arial"/>
          <w:szCs w:val="22"/>
        </w:rPr>
        <w:t xml:space="preserve">was categorized </w:t>
      </w:r>
      <w:r w:rsidR="003A2D7A" w:rsidRPr="00F64C3C">
        <w:rPr>
          <w:rFonts w:ascii="Arial" w:eastAsia="Calibri" w:hAnsi="Arial" w:cs="Arial"/>
          <w:szCs w:val="22"/>
        </w:rPr>
        <w:t xml:space="preserve">as per the WHO 2016 classification </w:t>
      </w:r>
      <w:r w:rsidR="00776316" w:rsidRPr="00F64C3C">
        <w:rPr>
          <w:rFonts w:ascii="Arial" w:eastAsia="Calibri" w:hAnsi="Arial" w:cs="Arial"/>
          <w:szCs w:val="22"/>
        </w:rPr>
        <w:t xml:space="preserve">as </w:t>
      </w:r>
      <w:r w:rsidR="00F64C3C" w:rsidRPr="00F64C3C">
        <w:rPr>
          <w:rFonts w:ascii="Arial" w:hAnsi="Arial" w:cs="Arial"/>
        </w:rPr>
        <w:t>AML</w:t>
      </w:r>
      <w:r w:rsidR="00776316" w:rsidRPr="00F64C3C">
        <w:rPr>
          <w:rFonts w:ascii="Arial" w:hAnsi="Arial" w:cs="Arial"/>
        </w:rPr>
        <w:t xml:space="preserve"> with </w:t>
      </w:r>
      <w:r w:rsidR="00776316" w:rsidRPr="00F64C3C">
        <w:rPr>
          <w:rFonts w:ascii="Arial" w:eastAsia="Calibri" w:hAnsi="Arial" w:cs="Arial"/>
          <w:szCs w:val="22"/>
        </w:rPr>
        <w:t xml:space="preserve"> t(8;</w:t>
      </w:r>
      <w:r w:rsidR="003A2D7A">
        <w:rPr>
          <w:rFonts w:ascii="Arial" w:eastAsia="Calibri" w:hAnsi="Arial" w:cs="Arial"/>
          <w:szCs w:val="22"/>
        </w:rPr>
        <w:t>21)(q22; q22.1);RUNX1- RUNX1T1</w:t>
      </w:r>
      <w:r w:rsidR="00776316" w:rsidRPr="00F64C3C">
        <w:rPr>
          <w:rFonts w:ascii="Arial" w:eastAsia="Calibri" w:hAnsi="Arial" w:cs="Arial"/>
          <w:szCs w:val="22"/>
        </w:rPr>
        <w:t>.</w:t>
      </w:r>
    </w:p>
    <w:p w14:paraId="3136BB91" w14:textId="77777777" w:rsidR="00776316" w:rsidRDefault="00E64077" w:rsidP="00776316">
      <w:pPr>
        <w:pStyle w:val="Body"/>
        <w:rPr>
          <w:rFonts w:ascii="Arial" w:eastAsia="Calibri" w:hAnsi="Arial" w:cs="Arial"/>
          <w:szCs w:val="22"/>
        </w:rPr>
      </w:pPr>
      <w:r>
        <w:rPr>
          <w:rFonts w:ascii="Arial" w:eastAsia="Calibri" w:hAnsi="Arial" w:cs="Arial"/>
          <w:szCs w:val="22"/>
        </w:rPr>
        <w:t>D</w:t>
      </w:r>
      <w:r w:rsidRPr="00E64077">
        <w:rPr>
          <w:rFonts w:ascii="Arial" w:eastAsia="Calibri" w:hAnsi="Arial" w:cs="Arial"/>
          <w:szCs w:val="22"/>
        </w:rPr>
        <w:t xml:space="preserve">ue to the installation of </w:t>
      </w:r>
      <w:proofErr w:type="spellStart"/>
      <w:r w:rsidRPr="00E64077">
        <w:rPr>
          <w:rFonts w:ascii="Arial" w:eastAsia="Calibri" w:hAnsi="Arial" w:cs="Arial"/>
          <w:szCs w:val="22"/>
        </w:rPr>
        <w:t>biocytopenia</w:t>
      </w:r>
      <w:proofErr w:type="spellEnd"/>
      <w:r w:rsidRPr="00E64077">
        <w:rPr>
          <w:rFonts w:ascii="Arial" w:eastAsia="Calibri" w:hAnsi="Arial" w:cs="Arial"/>
          <w:szCs w:val="22"/>
        </w:rPr>
        <w:t xml:space="preserve"> (neutropenia and thrombocytopenia as Table 1 shows)</w:t>
      </w:r>
      <w:r>
        <w:rPr>
          <w:rFonts w:ascii="Arial" w:eastAsia="Calibri" w:hAnsi="Arial" w:cs="Arial"/>
          <w:szCs w:val="22"/>
        </w:rPr>
        <w:t xml:space="preserve"> a</w:t>
      </w:r>
      <w:r w:rsidR="00776316" w:rsidRPr="00E64077">
        <w:rPr>
          <w:rFonts w:ascii="Arial" w:eastAsia="Calibri" w:hAnsi="Arial" w:cs="Arial"/>
          <w:szCs w:val="22"/>
        </w:rPr>
        <w:t xml:space="preserve">fter these </w:t>
      </w:r>
      <w:r>
        <w:rPr>
          <w:rFonts w:ascii="Arial" w:eastAsia="Calibri" w:hAnsi="Arial" w:cs="Arial"/>
          <w:szCs w:val="22"/>
        </w:rPr>
        <w:t xml:space="preserve">first </w:t>
      </w:r>
      <w:r w:rsidR="00776316" w:rsidRPr="00E64077">
        <w:rPr>
          <w:rFonts w:ascii="Arial" w:eastAsia="Calibri" w:hAnsi="Arial" w:cs="Arial"/>
          <w:szCs w:val="22"/>
        </w:rPr>
        <w:t xml:space="preserve">2 months, he started being treated for AML with hypomethylating agents: Azacitidine 75 mg/mL for 10 cycles of 28 days, the first 9 cycles 3mLx2, the days 1-7 (14 injections per cycle) </w:t>
      </w:r>
      <w:r>
        <w:rPr>
          <w:rFonts w:ascii="Arial" w:eastAsia="Calibri" w:hAnsi="Arial" w:cs="Arial"/>
          <w:szCs w:val="22"/>
        </w:rPr>
        <w:t xml:space="preserve">and </w:t>
      </w:r>
      <w:r w:rsidR="00776316" w:rsidRPr="00E64077">
        <w:rPr>
          <w:rFonts w:ascii="Arial" w:eastAsia="Calibri" w:hAnsi="Arial" w:cs="Arial"/>
          <w:szCs w:val="22"/>
        </w:rPr>
        <w:t xml:space="preserve"> </w:t>
      </w:r>
      <w:r w:rsidRPr="00E64077">
        <w:rPr>
          <w:rFonts w:ascii="Arial" w:eastAsia="Calibri" w:hAnsi="Arial" w:cs="Arial"/>
          <w:szCs w:val="22"/>
        </w:rPr>
        <w:t xml:space="preserve">half dose only, that is 3mL </w:t>
      </w:r>
      <w:r>
        <w:rPr>
          <w:rFonts w:ascii="Arial" w:eastAsia="Calibri" w:hAnsi="Arial" w:cs="Arial"/>
          <w:szCs w:val="22"/>
        </w:rPr>
        <w:t xml:space="preserve"> </w:t>
      </w:r>
      <w:r w:rsidR="00776316" w:rsidRPr="00E64077">
        <w:rPr>
          <w:rFonts w:ascii="Arial" w:eastAsia="Calibri" w:hAnsi="Arial" w:cs="Arial"/>
          <w:szCs w:val="22"/>
        </w:rPr>
        <w:t>the 10</w:t>
      </w:r>
      <w:r w:rsidR="00776316" w:rsidRPr="00E64077">
        <w:rPr>
          <w:rFonts w:ascii="Arial" w:eastAsia="Calibri" w:hAnsi="Arial" w:cs="Arial"/>
          <w:szCs w:val="22"/>
          <w:vertAlign w:val="superscript"/>
        </w:rPr>
        <w:t>th</w:t>
      </w:r>
      <w:r>
        <w:rPr>
          <w:rFonts w:ascii="Arial" w:eastAsia="Calibri" w:hAnsi="Arial" w:cs="Arial"/>
          <w:szCs w:val="22"/>
        </w:rPr>
        <w:t xml:space="preserve"> cycle. After the</w:t>
      </w:r>
      <w:r w:rsidR="00776316" w:rsidRPr="00E64077">
        <w:rPr>
          <w:rFonts w:ascii="Arial" w:eastAsia="Calibri" w:hAnsi="Arial" w:cs="Arial"/>
          <w:szCs w:val="22"/>
        </w:rPr>
        <w:t xml:space="preserve"> 10 cycles </w:t>
      </w:r>
      <w:r>
        <w:rPr>
          <w:rFonts w:ascii="Arial" w:eastAsia="Calibri" w:hAnsi="Arial" w:cs="Arial"/>
          <w:szCs w:val="22"/>
        </w:rPr>
        <w:t>there was</w:t>
      </w:r>
      <w:r w:rsidR="00776316" w:rsidRPr="00E64077">
        <w:rPr>
          <w:rFonts w:ascii="Arial" w:eastAsia="Calibri" w:hAnsi="Arial" w:cs="Arial"/>
          <w:szCs w:val="22"/>
        </w:rPr>
        <w:t xml:space="preserve"> a 28-days pause </w:t>
      </w:r>
      <w:r>
        <w:rPr>
          <w:rFonts w:ascii="Arial" w:eastAsia="Calibri" w:hAnsi="Arial" w:cs="Arial"/>
          <w:szCs w:val="22"/>
        </w:rPr>
        <w:t xml:space="preserve">period </w:t>
      </w:r>
      <w:r w:rsidR="00776316" w:rsidRPr="00E64077">
        <w:rPr>
          <w:rFonts w:ascii="Arial" w:eastAsia="Calibri" w:hAnsi="Arial" w:cs="Arial"/>
          <w:szCs w:val="22"/>
        </w:rPr>
        <w:t xml:space="preserve">while waiting on </w:t>
      </w:r>
      <w:proofErr w:type="spellStart"/>
      <w:r w:rsidR="00776316" w:rsidRPr="00E64077">
        <w:rPr>
          <w:rFonts w:ascii="Arial" w:eastAsia="Calibri" w:hAnsi="Arial" w:cs="Arial"/>
          <w:szCs w:val="22"/>
        </w:rPr>
        <w:t>venetoclax</w:t>
      </w:r>
      <w:proofErr w:type="spellEnd"/>
      <w:r w:rsidR="00776316" w:rsidRPr="00E64077">
        <w:rPr>
          <w:rFonts w:ascii="Arial" w:eastAsia="Calibri" w:hAnsi="Arial" w:cs="Arial"/>
          <w:szCs w:val="22"/>
        </w:rPr>
        <w:t xml:space="preserve"> supply to arrive and</w:t>
      </w:r>
      <w:r>
        <w:rPr>
          <w:rFonts w:ascii="Arial" w:eastAsia="Calibri" w:hAnsi="Arial" w:cs="Arial"/>
          <w:szCs w:val="22"/>
        </w:rPr>
        <w:t xml:space="preserve"> next</w:t>
      </w:r>
      <w:r w:rsidR="00776316" w:rsidRPr="00E64077">
        <w:rPr>
          <w:rFonts w:ascii="Arial" w:eastAsia="Calibri" w:hAnsi="Arial" w:cs="Arial"/>
          <w:szCs w:val="22"/>
        </w:rPr>
        <w:t xml:space="preserve"> finally </w:t>
      </w:r>
      <w:r>
        <w:rPr>
          <w:rFonts w:ascii="Arial" w:eastAsia="Calibri" w:hAnsi="Arial" w:cs="Arial"/>
          <w:szCs w:val="22"/>
        </w:rPr>
        <w:t xml:space="preserve">a </w:t>
      </w:r>
      <w:r w:rsidR="00776316" w:rsidRPr="00E64077">
        <w:rPr>
          <w:rFonts w:ascii="Arial" w:eastAsia="Calibri" w:hAnsi="Arial" w:cs="Arial"/>
          <w:szCs w:val="22"/>
        </w:rPr>
        <w:t xml:space="preserve">28 day-cycle of </w:t>
      </w:r>
      <w:proofErr w:type="spellStart"/>
      <w:r w:rsidR="00776316" w:rsidRPr="00E64077">
        <w:rPr>
          <w:rFonts w:ascii="Arial" w:eastAsia="Calibri" w:hAnsi="Arial" w:cs="Arial"/>
          <w:szCs w:val="22"/>
        </w:rPr>
        <w:t>Venetoclax</w:t>
      </w:r>
      <w:proofErr w:type="spellEnd"/>
      <w:r w:rsidR="00776316" w:rsidRPr="00E64077">
        <w:rPr>
          <w:rFonts w:ascii="Arial" w:eastAsia="Calibri" w:hAnsi="Arial" w:cs="Arial"/>
          <w:szCs w:val="22"/>
        </w:rPr>
        <w:t xml:space="preserve"> combined with half dose Azacitidine. In addition, he received </w:t>
      </w:r>
      <w:r w:rsidRPr="00E64077">
        <w:rPr>
          <w:rFonts w:ascii="Arial" w:eastAsia="Calibri" w:hAnsi="Arial" w:cs="Arial"/>
          <w:szCs w:val="22"/>
        </w:rPr>
        <w:t>Acyclovir 400mg x2 tablets/day x 3days/week (to prevent viral infections)</w:t>
      </w:r>
      <w:r>
        <w:rPr>
          <w:rFonts w:ascii="Arial" w:eastAsia="Calibri" w:hAnsi="Arial" w:cs="Arial"/>
          <w:szCs w:val="22"/>
        </w:rPr>
        <w:t xml:space="preserve"> and </w:t>
      </w:r>
      <w:proofErr w:type="spellStart"/>
      <w:r w:rsidR="00776316" w:rsidRPr="00E64077">
        <w:rPr>
          <w:rFonts w:ascii="Arial" w:eastAsia="Calibri" w:hAnsi="Arial" w:cs="Arial"/>
          <w:szCs w:val="22"/>
        </w:rPr>
        <w:t>Tagremin</w:t>
      </w:r>
      <w:proofErr w:type="spellEnd"/>
      <w:r w:rsidR="00776316" w:rsidRPr="00E64077">
        <w:rPr>
          <w:rFonts w:ascii="Arial" w:eastAsia="Calibri" w:hAnsi="Arial" w:cs="Arial"/>
          <w:szCs w:val="22"/>
        </w:rPr>
        <w:t xml:space="preserve"> (sulfamethoxazole 400mg trimethoprim 80 </w:t>
      </w:r>
      <w:proofErr w:type="gramStart"/>
      <w:r w:rsidR="00776316" w:rsidRPr="00E64077">
        <w:rPr>
          <w:rFonts w:ascii="Arial" w:eastAsia="Calibri" w:hAnsi="Arial" w:cs="Arial"/>
          <w:szCs w:val="22"/>
        </w:rPr>
        <w:t>mg)x</w:t>
      </w:r>
      <w:proofErr w:type="gramEnd"/>
      <w:r w:rsidR="00776316" w:rsidRPr="00E64077">
        <w:rPr>
          <w:rFonts w:ascii="Arial" w:eastAsia="Calibri" w:hAnsi="Arial" w:cs="Arial"/>
          <w:szCs w:val="22"/>
        </w:rPr>
        <w:t>2 tablets/day x 3days/week</w:t>
      </w:r>
      <w:r>
        <w:rPr>
          <w:rFonts w:ascii="Arial" w:eastAsia="Calibri" w:hAnsi="Arial" w:cs="Arial"/>
          <w:szCs w:val="22"/>
        </w:rPr>
        <w:t xml:space="preserve"> (to prevent fungal infections)</w:t>
      </w:r>
      <w:r w:rsidR="00776316" w:rsidRPr="00E64077">
        <w:rPr>
          <w:rFonts w:ascii="Arial" w:eastAsia="Calibri" w:hAnsi="Arial" w:cs="Arial"/>
          <w:szCs w:val="22"/>
        </w:rPr>
        <w:t>.</w:t>
      </w:r>
      <w:r>
        <w:rPr>
          <w:rFonts w:ascii="Arial" w:eastAsia="Calibri" w:hAnsi="Arial" w:cs="Arial"/>
          <w:szCs w:val="22"/>
        </w:rPr>
        <w:t xml:space="preserve"> B</w:t>
      </w:r>
      <w:r w:rsidR="00776316" w:rsidRPr="00E64077">
        <w:rPr>
          <w:rFonts w:ascii="Arial" w:eastAsia="Calibri" w:hAnsi="Arial" w:cs="Arial"/>
          <w:szCs w:val="22"/>
        </w:rPr>
        <w:t>lood tests results for all</w:t>
      </w:r>
      <w:r w:rsidR="00776316">
        <w:rPr>
          <w:rFonts w:ascii="Arial" w:eastAsia="Calibri" w:hAnsi="Arial" w:cs="Arial"/>
          <w:szCs w:val="22"/>
        </w:rPr>
        <w:t xml:space="preserve"> cycles are presented in Table 1. </w:t>
      </w:r>
    </w:p>
    <w:p w14:paraId="1BC67D00" w14:textId="77777777" w:rsidR="00776316" w:rsidRDefault="00776316" w:rsidP="00776316">
      <w:pPr>
        <w:pStyle w:val="Body"/>
        <w:rPr>
          <w:rFonts w:ascii="Arial" w:eastAsia="Calibri" w:hAnsi="Arial" w:cs="Arial"/>
          <w:szCs w:val="22"/>
        </w:rPr>
      </w:pPr>
    </w:p>
    <w:p w14:paraId="28B61BE1" w14:textId="77777777" w:rsidR="00776316" w:rsidRDefault="00776316" w:rsidP="00776316">
      <w:pPr>
        <w:pStyle w:val="Body"/>
        <w:rPr>
          <w:rFonts w:ascii="Arial" w:eastAsia="Calibri" w:hAnsi="Arial" w:cs="Arial"/>
          <w:szCs w:val="22"/>
        </w:rPr>
      </w:pPr>
    </w:p>
    <w:p w14:paraId="6D584706" w14:textId="77777777" w:rsidR="00776316" w:rsidRDefault="00776316" w:rsidP="00776316">
      <w:pPr>
        <w:pStyle w:val="Body"/>
        <w:rPr>
          <w:rFonts w:ascii="Arial" w:eastAsia="Calibri" w:hAnsi="Arial" w:cs="Arial"/>
          <w:szCs w:val="22"/>
        </w:rPr>
      </w:pPr>
    </w:p>
    <w:p w14:paraId="6EA9AB89" w14:textId="77777777" w:rsidR="00776316" w:rsidRDefault="00776316" w:rsidP="00776316">
      <w:pPr>
        <w:pStyle w:val="Body"/>
        <w:rPr>
          <w:rFonts w:ascii="Arial" w:eastAsia="Calibri" w:hAnsi="Arial" w:cs="Arial"/>
          <w:szCs w:val="22"/>
        </w:rPr>
      </w:pPr>
    </w:p>
    <w:p w14:paraId="7E26986F" w14:textId="77777777" w:rsidR="00776316" w:rsidRDefault="00776316" w:rsidP="00776316">
      <w:pPr>
        <w:tabs>
          <w:tab w:val="left" w:pos="1080"/>
        </w:tabs>
        <w:jc w:val="center"/>
        <w:rPr>
          <w:rFonts w:ascii="Arial" w:hAnsi="Arial"/>
          <w:b/>
        </w:rPr>
      </w:pPr>
      <w:r>
        <w:rPr>
          <w:rFonts w:ascii="Arial" w:hAnsi="Arial"/>
          <w:b/>
        </w:rPr>
        <w:t>Table1. Component results since diagnosed with AML</w:t>
      </w: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5"/>
        <w:gridCol w:w="674"/>
        <w:gridCol w:w="710"/>
        <w:gridCol w:w="624"/>
        <w:gridCol w:w="630"/>
        <w:gridCol w:w="630"/>
        <w:gridCol w:w="630"/>
        <w:gridCol w:w="540"/>
        <w:gridCol w:w="630"/>
        <w:gridCol w:w="540"/>
        <w:gridCol w:w="540"/>
        <w:gridCol w:w="540"/>
        <w:gridCol w:w="540"/>
        <w:gridCol w:w="704"/>
        <w:gridCol w:w="630"/>
        <w:gridCol w:w="567"/>
        <w:gridCol w:w="591"/>
      </w:tblGrid>
      <w:tr w:rsidR="00776316" w14:paraId="4A60537E" w14:textId="77777777" w:rsidTr="00776316">
        <w:trPr>
          <w:trHeight w:val="195"/>
          <w:jc w:val="center"/>
        </w:trPr>
        <w:tc>
          <w:tcPr>
            <w:tcW w:w="1153" w:type="dxa"/>
            <w:tcBorders>
              <w:top w:val="single" w:sz="4" w:space="0" w:color="auto"/>
              <w:left w:val="single" w:sz="4" w:space="0" w:color="auto"/>
              <w:bottom w:val="single" w:sz="4" w:space="0" w:color="auto"/>
              <w:right w:val="single" w:sz="4" w:space="0" w:color="auto"/>
            </w:tcBorders>
          </w:tcPr>
          <w:p w14:paraId="29B2C94B" w14:textId="77777777" w:rsidR="00776316" w:rsidRDefault="00776316">
            <w:pPr>
              <w:rPr>
                <w:sz w:val="16"/>
                <w:szCs w:val="16"/>
              </w:rPr>
            </w:pPr>
          </w:p>
        </w:tc>
        <w:tc>
          <w:tcPr>
            <w:tcW w:w="1382" w:type="dxa"/>
            <w:gridSpan w:val="2"/>
            <w:tcBorders>
              <w:top w:val="single" w:sz="4" w:space="0" w:color="auto"/>
              <w:left w:val="single" w:sz="4" w:space="0" w:color="auto"/>
              <w:bottom w:val="single" w:sz="4" w:space="0" w:color="auto"/>
              <w:right w:val="single" w:sz="4" w:space="0" w:color="auto"/>
            </w:tcBorders>
            <w:hideMark/>
          </w:tcPr>
          <w:p w14:paraId="4AE11C89" w14:textId="77777777" w:rsidR="00776316" w:rsidRDefault="00776316">
            <w:pPr>
              <w:jc w:val="center"/>
              <w:rPr>
                <w:b/>
                <w:bCs/>
                <w:sz w:val="16"/>
                <w:szCs w:val="16"/>
              </w:rPr>
            </w:pPr>
            <w:r>
              <w:rPr>
                <w:b/>
                <w:bCs/>
                <w:sz w:val="16"/>
                <w:szCs w:val="16"/>
              </w:rPr>
              <w:t>Month</w:t>
            </w:r>
          </w:p>
        </w:tc>
        <w:tc>
          <w:tcPr>
            <w:tcW w:w="8335" w:type="dxa"/>
            <w:gridSpan w:val="14"/>
            <w:tcBorders>
              <w:top w:val="single" w:sz="4" w:space="0" w:color="auto"/>
              <w:left w:val="single" w:sz="4" w:space="0" w:color="auto"/>
              <w:bottom w:val="single" w:sz="4" w:space="0" w:color="auto"/>
              <w:right w:val="single" w:sz="4" w:space="0" w:color="auto"/>
            </w:tcBorders>
            <w:hideMark/>
          </w:tcPr>
          <w:p w14:paraId="391088E4" w14:textId="77777777" w:rsidR="00776316" w:rsidRDefault="00776316">
            <w:pPr>
              <w:jc w:val="center"/>
              <w:rPr>
                <w:b/>
                <w:bCs/>
                <w:sz w:val="16"/>
                <w:szCs w:val="16"/>
              </w:rPr>
            </w:pPr>
            <w:r>
              <w:rPr>
                <w:b/>
                <w:bCs/>
                <w:sz w:val="16"/>
                <w:szCs w:val="16"/>
              </w:rPr>
              <w:t>Cycle</w:t>
            </w:r>
          </w:p>
        </w:tc>
      </w:tr>
      <w:tr w:rsidR="00776316" w14:paraId="461396D2" w14:textId="77777777" w:rsidTr="00776316">
        <w:trPr>
          <w:trHeight w:val="195"/>
          <w:jc w:val="center"/>
        </w:trPr>
        <w:tc>
          <w:tcPr>
            <w:tcW w:w="1153" w:type="dxa"/>
            <w:tcBorders>
              <w:top w:val="single" w:sz="4" w:space="0" w:color="auto"/>
              <w:left w:val="single" w:sz="4" w:space="0" w:color="auto"/>
              <w:bottom w:val="single" w:sz="4" w:space="0" w:color="auto"/>
              <w:right w:val="single" w:sz="4" w:space="0" w:color="auto"/>
            </w:tcBorders>
            <w:hideMark/>
          </w:tcPr>
          <w:p w14:paraId="6C6FD93E" w14:textId="77777777" w:rsidR="00776316" w:rsidRDefault="00776316">
            <w:pPr>
              <w:rPr>
                <w:b/>
                <w:bCs/>
                <w:sz w:val="16"/>
                <w:szCs w:val="16"/>
              </w:rPr>
            </w:pPr>
            <w:r>
              <w:rPr>
                <w:b/>
                <w:bCs/>
                <w:sz w:val="16"/>
                <w:szCs w:val="16"/>
              </w:rPr>
              <w:t>Component</w:t>
            </w:r>
          </w:p>
        </w:tc>
        <w:tc>
          <w:tcPr>
            <w:tcW w:w="673" w:type="dxa"/>
            <w:tcBorders>
              <w:top w:val="single" w:sz="4" w:space="0" w:color="auto"/>
              <w:left w:val="single" w:sz="4" w:space="0" w:color="auto"/>
              <w:bottom w:val="single" w:sz="4" w:space="0" w:color="auto"/>
              <w:right w:val="single" w:sz="4" w:space="0" w:color="auto"/>
            </w:tcBorders>
            <w:hideMark/>
          </w:tcPr>
          <w:p w14:paraId="19EE22E0" w14:textId="77777777" w:rsidR="00776316" w:rsidRDefault="00776316">
            <w:pPr>
              <w:rPr>
                <w:b/>
                <w:bCs/>
                <w:sz w:val="16"/>
                <w:szCs w:val="16"/>
              </w:rPr>
            </w:pPr>
            <w:r>
              <w:rPr>
                <w:b/>
                <w:bCs/>
                <w:sz w:val="16"/>
                <w:szCs w:val="16"/>
              </w:rPr>
              <w:t xml:space="preserve">    1</w:t>
            </w:r>
          </w:p>
        </w:tc>
        <w:tc>
          <w:tcPr>
            <w:tcW w:w="709" w:type="dxa"/>
            <w:tcBorders>
              <w:top w:val="single" w:sz="4" w:space="0" w:color="auto"/>
              <w:left w:val="single" w:sz="4" w:space="0" w:color="auto"/>
              <w:bottom w:val="single" w:sz="4" w:space="0" w:color="auto"/>
              <w:right w:val="single" w:sz="4" w:space="0" w:color="auto"/>
            </w:tcBorders>
            <w:hideMark/>
          </w:tcPr>
          <w:p w14:paraId="5FBCAEE2" w14:textId="77777777" w:rsidR="00776316" w:rsidRDefault="00776316">
            <w:pPr>
              <w:rPr>
                <w:b/>
                <w:bCs/>
                <w:sz w:val="16"/>
                <w:szCs w:val="16"/>
              </w:rPr>
            </w:pPr>
            <w:r>
              <w:rPr>
                <w:b/>
                <w:bCs/>
                <w:sz w:val="16"/>
                <w:szCs w:val="16"/>
              </w:rPr>
              <w:t xml:space="preserve">    2</w:t>
            </w:r>
          </w:p>
        </w:tc>
        <w:tc>
          <w:tcPr>
            <w:tcW w:w="623" w:type="dxa"/>
            <w:tcBorders>
              <w:top w:val="single" w:sz="4" w:space="0" w:color="auto"/>
              <w:left w:val="single" w:sz="4" w:space="0" w:color="auto"/>
              <w:bottom w:val="single" w:sz="4" w:space="0" w:color="auto"/>
              <w:right w:val="single" w:sz="4" w:space="0" w:color="auto"/>
            </w:tcBorders>
            <w:hideMark/>
          </w:tcPr>
          <w:p w14:paraId="648E0731" w14:textId="77777777" w:rsidR="00776316" w:rsidRDefault="00776316">
            <w:pPr>
              <w:rPr>
                <w:b/>
                <w:bCs/>
                <w:sz w:val="16"/>
                <w:szCs w:val="16"/>
              </w:rPr>
            </w:pPr>
            <w:r>
              <w:rPr>
                <w:b/>
                <w:bCs/>
                <w:sz w:val="16"/>
                <w:szCs w:val="16"/>
              </w:rPr>
              <w:t xml:space="preserve">   1</w:t>
            </w:r>
          </w:p>
        </w:tc>
        <w:tc>
          <w:tcPr>
            <w:tcW w:w="630" w:type="dxa"/>
            <w:tcBorders>
              <w:top w:val="single" w:sz="4" w:space="0" w:color="auto"/>
              <w:left w:val="single" w:sz="4" w:space="0" w:color="auto"/>
              <w:bottom w:val="single" w:sz="4" w:space="0" w:color="auto"/>
              <w:right w:val="single" w:sz="4" w:space="0" w:color="auto"/>
            </w:tcBorders>
            <w:hideMark/>
          </w:tcPr>
          <w:p w14:paraId="37B6BCA4" w14:textId="77777777" w:rsidR="00776316" w:rsidRDefault="00776316">
            <w:pPr>
              <w:rPr>
                <w:b/>
                <w:bCs/>
                <w:sz w:val="16"/>
                <w:szCs w:val="16"/>
              </w:rPr>
            </w:pPr>
            <w:r>
              <w:rPr>
                <w:b/>
                <w:bCs/>
                <w:sz w:val="16"/>
                <w:szCs w:val="16"/>
              </w:rPr>
              <w:t xml:space="preserve">   2</w:t>
            </w:r>
          </w:p>
        </w:tc>
        <w:tc>
          <w:tcPr>
            <w:tcW w:w="630" w:type="dxa"/>
            <w:tcBorders>
              <w:top w:val="single" w:sz="4" w:space="0" w:color="auto"/>
              <w:left w:val="single" w:sz="4" w:space="0" w:color="auto"/>
              <w:bottom w:val="single" w:sz="4" w:space="0" w:color="auto"/>
              <w:right w:val="single" w:sz="4" w:space="0" w:color="auto"/>
            </w:tcBorders>
            <w:vAlign w:val="bottom"/>
            <w:hideMark/>
          </w:tcPr>
          <w:p w14:paraId="786FB13F" w14:textId="77777777" w:rsidR="00776316" w:rsidRDefault="00776316">
            <w:pPr>
              <w:rPr>
                <w:b/>
                <w:bCs/>
                <w:sz w:val="16"/>
                <w:szCs w:val="16"/>
              </w:rPr>
            </w:pPr>
            <w:r>
              <w:rPr>
                <w:b/>
                <w:bCs/>
                <w:sz w:val="16"/>
                <w:szCs w:val="16"/>
              </w:rPr>
              <w:t xml:space="preserve">    3</w:t>
            </w:r>
          </w:p>
        </w:tc>
        <w:tc>
          <w:tcPr>
            <w:tcW w:w="630" w:type="dxa"/>
            <w:tcBorders>
              <w:top w:val="single" w:sz="4" w:space="0" w:color="auto"/>
              <w:left w:val="single" w:sz="4" w:space="0" w:color="auto"/>
              <w:bottom w:val="single" w:sz="4" w:space="0" w:color="auto"/>
              <w:right w:val="single" w:sz="4" w:space="0" w:color="auto"/>
            </w:tcBorders>
            <w:vAlign w:val="bottom"/>
            <w:hideMark/>
          </w:tcPr>
          <w:p w14:paraId="6FEFBDA3" w14:textId="77777777" w:rsidR="00776316" w:rsidRDefault="00776316">
            <w:pPr>
              <w:jc w:val="center"/>
              <w:rPr>
                <w:b/>
                <w:bCs/>
                <w:sz w:val="16"/>
                <w:szCs w:val="16"/>
              </w:rPr>
            </w:pPr>
            <w:r>
              <w:rPr>
                <w:b/>
                <w:bCs/>
                <w:sz w:val="16"/>
                <w:szCs w:val="16"/>
              </w:rPr>
              <w:t>4</w:t>
            </w:r>
          </w:p>
        </w:tc>
        <w:tc>
          <w:tcPr>
            <w:tcW w:w="540" w:type="dxa"/>
            <w:tcBorders>
              <w:top w:val="single" w:sz="4" w:space="0" w:color="auto"/>
              <w:left w:val="single" w:sz="4" w:space="0" w:color="auto"/>
              <w:bottom w:val="single" w:sz="4" w:space="0" w:color="auto"/>
              <w:right w:val="single" w:sz="4" w:space="0" w:color="auto"/>
            </w:tcBorders>
            <w:vAlign w:val="bottom"/>
            <w:hideMark/>
          </w:tcPr>
          <w:p w14:paraId="5B4B0AE0" w14:textId="77777777" w:rsidR="00776316" w:rsidRDefault="00776316">
            <w:pPr>
              <w:rPr>
                <w:b/>
                <w:bCs/>
                <w:sz w:val="16"/>
                <w:szCs w:val="16"/>
              </w:rPr>
            </w:pPr>
            <w:r>
              <w:rPr>
                <w:b/>
                <w:bCs/>
                <w:sz w:val="16"/>
                <w:szCs w:val="16"/>
              </w:rPr>
              <w:t xml:space="preserve">    5</w:t>
            </w:r>
          </w:p>
        </w:tc>
        <w:tc>
          <w:tcPr>
            <w:tcW w:w="630" w:type="dxa"/>
            <w:tcBorders>
              <w:top w:val="single" w:sz="4" w:space="0" w:color="auto"/>
              <w:left w:val="single" w:sz="4" w:space="0" w:color="auto"/>
              <w:bottom w:val="single" w:sz="4" w:space="0" w:color="auto"/>
              <w:right w:val="single" w:sz="4" w:space="0" w:color="auto"/>
            </w:tcBorders>
            <w:vAlign w:val="bottom"/>
            <w:hideMark/>
          </w:tcPr>
          <w:p w14:paraId="68ED2C88" w14:textId="77777777" w:rsidR="00776316" w:rsidRDefault="00776316">
            <w:pPr>
              <w:jc w:val="center"/>
              <w:rPr>
                <w:b/>
                <w:bCs/>
                <w:sz w:val="16"/>
                <w:szCs w:val="16"/>
              </w:rPr>
            </w:pPr>
            <w:r>
              <w:rPr>
                <w:b/>
                <w:bCs/>
                <w:sz w:val="16"/>
                <w:szCs w:val="16"/>
              </w:rPr>
              <w:t>6</w:t>
            </w:r>
          </w:p>
        </w:tc>
        <w:tc>
          <w:tcPr>
            <w:tcW w:w="540" w:type="dxa"/>
            <w:tcBorders>
              <w:top w:val="single" w:sz="4" w:space="0" w:color="auto"/>
              <w:left w:val="single" w:sz="4" w:space="0" w:color="auto"/>
              <w:bottom w:val="single" w:sz="4" w:space="0" w:color="auto"/>
              <w:right w:val="single" w:sz="4" w:space="0" w:color="auto"/>
            </w:tcBorders>
            <w:vAlign w:val="bottom"/>
            <w:hideMark/>
          </w:tcPr>
          <w:p w14:paraId="6DD25297" w14:textId="77777777" w:rsidR="00776316" w:rsidRDefault="00776316">
            <w:pPr>
              <w:jc w:val="center"/>
              <w:rPr>
                <w:b/>
                <w:bCs/>
                <w:sz w:val="16"/>
                <w:szCs w:val="16"/>
              </w:rPr>
            </w:pPr>
            <w:r>
              <w:rPr>
                <w:b/>
                <w:bCs/>
                <w:sz w:val="16"/>
                <w:szCs w:val="16"/>
              </w:rPr>
              <w:t>7</w:t>
            </w:r>
          </w:p>
        </w:tc>
        <w:tc>
          <w:tcPr>
            <w:tcW w:w="540" w:type="dxa"/>
            <w:tcBorders>
              <w:top w:val="single" w:sz="4" w:space="0" w:color="auto"/>
              <w:left w:val="single" w:sz="4" w:space="0" w:color="auto"/>
              <w:bottom w:val="single" w:sz="4" w:space="0" w:color="auto"/>
              <w:right w:val="single" w:sz="4" w:space="0" w:color="auto"/>
            </w:tcBorders>
            <w:hideMark/>
          </w:tcPr>
          <w:p w14:paraId="38B76E5B" w14:textId="77777777" w:rsidR="00776316" w:rsidRDefault="00776316">
            <w:pPr>
              <w:ind w:hanging="18"/>
              <w:jc w:val="center"/>
              <w:rPr>
                <w:b/>
                <w:bCs/>
                <w:sz w:val="16"/>
                <w:szCs w:val="16"/>
              </w:rPr>
            </w:pPr>
            <w:r>
              <w:rPr>
                <w:b/>
                <w:bCs/>
                <w:sz w:val="16"/>
                <w:szCs w:val="16"/>
              </w:rPr>
              <w:t>8</w:t>
            </w:r>
          </w:p>
        </w:tc>
        <w:tc>
          <w:tcPr>
            <w:tcW w:w="540" w:type="dxa"/>
            <w:tcBorders>
              <w:top w:val="single" w:sz="4" w:space="0" w:color="auto"/>
              <w:left w:val="single" w:sz="4" w:space="0" w:color="auto"/>
              <w:bottom w:val="single" w:sz="4" w:space="0" w:color="auto"/>
              <w:right w:val="single" w:sz="4" w:space="0" w:color="auto"/>
            </w:tcBorders>
            <w:hideMark/>
          </w:tcPr>
          <w:p w14:paraId="70116A81" w14:textId="77777777" w:rsidR="00776316" w:rsidRDefault="00776316">
            <w:pPr>
              <w:jc w:val="center"/>
              <w:rPr>
                <w:b/>
                <w:bCs/>
                <w:sz w:val="16"/>
                <w:szCs w:val="16"/>
              </w:rPr>
            </w:pPr>
            <w:r>
              <w:rPr>
                <w:b/>
                <w:bCs/>
                <w:sz w:val="16"/>
                <w:szCs w:val="16"/>
              </w:rPr>
              <w:t>9</w:t>
            </w:r>
          </w:p>
        </w:tc>
        <w:tc>
          <w:tcPr>
            <w:tcW w:w="540" w:type="dxa"/>
            <w:tcBorders>
              <w:top w:val="single" w:sz="4" w:space="0" w:color="auto"/>
              <w:left w:val="single" w:sz="4" w:space="0" w:color="auto"/>
              <w:bottom w:val="single" w:sz="4" w:space="0" w:color="auto"/>
              <w:right w:val="single" w:sz="4" w:space="0" w:color="auto"/>
            </w:tcBorders>
            <w:hideMark/>
          </w:tcPr>
          <w:p w14:paraId="672FC1B5" w14:textId="77777777" w:rsidR="00776316" w:rsidRDefault="00776316">
            <w:pPr>
              <w:snapToGrid w:val="0"/>
              <w:jc w:val="center"/>
              <w:rPr>
                <w:b/>
                <w:bCs/>
                <w:sz w:val="16"/>
                <w:szCs w:val="16"/>
              </w:rPr>
            </w:pPr>
            <w:r>
              <w:rPr>
                <w:b/>
                <w:bCs/>
                <w:sz w:val="16"/>
                <w:szCs w:val="16"/>
              </w:rPr>
              <w:t>10</w:t>
            </w:r>
          </w:p>
        </w:tc>
        <w:tc>
          <w:tcPr>
            <w:tcW w:w="704" w:type="dxa"/>
            <w:tcBorders>
              <w:top w:val="single" w:sz="4" w:space="0" w:color="auto"/>
              <w:left w:val="single" w:sz="4" w:space="0" w:color="auto"/>
              <w:bottom w:val="single" w:sz="4" w:space="0" w:color="auto"/>
              <w:right w:val="single" w:sz="4" w:space="0" w:color="auto"/>
            </w:tcBorders>
            <w:hideMark/>
          </w:tcPr>
          <w:p w14:paraId="2E273DDB" w14:textId="77777777" w:rsidR="00776316" w:rsidRDefault="00776316">
            <w:pPr>
              <w:snapToGrid w:val="0"/>
              <w:jc w:val="center"/>
              <w:rPr>
                <w:b/>
                <w:bCs/>
                <w:sz w:val="16"/>
                <w:szCs w:val="16"/>
              </w:rPr>
            </w:pPr>
            <w:r>
              <w:rPr>
                <w:b/>
                <w:bCs/>
                <w:sz w:val="16"/>
                <w:szCs w:val="16"/>
              </w:rPr>
              <w:t>11</w:t>
            </w:r>
          </w:p>
        </w:tc>
        <w:tc>
          <w:tcPr>
            <w:tcW w:w="1197" w:type="dxa"/>
            <w:gridSpan w:val="2"/>
            <w:tcBorders>
              <w:top w:val="single" w:sz="4" w:space="0" w:color="auto"/>
              <w:left w:val="single" w:sz="4" w:space="0" w:color="auto"/>
              <w:bottom w:val="single" w:sz="4" w:space="0" w:color="auto"/>
              <w:right w:val="single" w:sz="4" w:space="0" w:color="auto"/>
            </w:tcBorders>
            <w:hideMark/>
          </w:tcPr>
          <w:p w14:paraId="327CD320" w14:textId="77777777" w:rsidR="00776316" w:rsidRDefault="00776316">
            <w:pPr>
              <w:snapToGrid w:val="0"/>
              <w:jc w:val="center"/>
              <w:rPr>
                <w:b/>
                <w:bCs/>
                <w:sz w:val="16"/>
                <w:szCs w:val="16"/>
              </w:rPr>
            </w:pPr>
            <w:r>
              <w:rPr>
                <w:b/>
                <w:bCs/>
                <w:sz w:val="16"/>
                <w:szCs w:val="16"/>
              </w:rPr>
              <w:t>12</w:t>
            </w:r>
          </w:p>
        </w:tc>
        <w:tc>
          <w:tcPr>
            <w:tcW w:w="591" w:type="dxa"/>
            <w:tcBorders>
              <w:top w:val="single" w:sz="4" w:space="0" w:color="auto"/>
              <w:left w:val="single" w:sz="4" w:space="0" w:color="auto"/>
              <w:bottom w:val="single" w:sz="4" w:space="0" w:color="auto"/>
              <w:right w:val="single" w:sz="4" w:space="0" w:color="auto"/>
            </w:tcBorders>
            <w:hideMark/>
          </w:tcPr>
          <w:p w14:paraId="79BC40EC" w14:textId="77777777" w:rsidR="00776316" w:rsidRDefault="00776316">
            <w:pPr>
              <w:snapToGrid w:val="0"/>
              <w:jc w:val="center"/>
              <w:rPr>
                <w:b/>
                <w:bCs/>
                <w:sz w:val="16"/>
                <w:szCs w:val="16"/>
              </w:rPr>
            </w:pPr>
            <w:r>
              <w:rPr>
                <w:b/>
                <w:bCs/>
                <w:sz w:val="16"/>
                <w:szCs w:val="16"/>
              </w:rPr>
              <w:t>Unit</w:t>
            </w:r>
          </w:p>
        </w:tc>
      </w:tr>
      <w:tr w:rsidR="00776316" w14:paraId="3C21EEC4" w14:textId="77777777" w:rsidTr="00776316">
        <w:trPr>
          <w:trHeight w:val="195"/>
          <w:jc w:val="center"/>
        </w:trPr>
        <w:tc>
          <w:tcPr>
            <w:tcW w:w="1153" w:type="dxa"/>
            <w:tcBorders>
              <w:top w:val="single" w:sz="4" w:space="0" w:color="auto"/>
              <w:left w:val="single" w:sz="4" w:space="0" w:color="auto"/>
              <w:bottom w:val="single" w:sz="4" w:space="0" w:color="auto"/>
              <w:right w:val="single" w:sz="4" w:space="0" w:color="auto"/>
            </w:tcBorders>
            <w:hideMark/>
          </w:tcPr>
          <w:p w14:paraId="788DBE24" w14:textId="77777777" w:rsidR="00776316" w:rsidRDefault="00776316">
            <w:pPr>
              <w:rPr>
                <w:sz w:val="16"/>
                <w:szCs w:val="16"/>
              </w:rPr>
            </w:pPr>
            <w:r>
              <w:rPr>
                <w:sz w:val="16"/>
                <w:szCs w:val="16"/>
              </w:rPr>
              <w:t xml:space="preserve">WBC </w:t>
            </w:r>
          </w:p>
        </w:tc>
        <w:tc>
          <w:tcPr>
            <w:tcW w:w="673" w:type="dxa"/>
            <w:tcBorders>
              <w:top w:val="single" w:sz="4" w:space="0" w:color="auto"/>
              <w:left w:val="single" w:sz="4" w:space="0" w:color="auto"/>
              <w:bottom w:val="single" w:sz="4" w:space="0" w:color="auto"/>
              <w:right w:val="single" w:sz="4" w:space="0" w:color="auto"/>
            </w:tcBorders>
            <w:hideMark/>
          </w:tcPr>
          <w:p w14:paraId="70C472B2" w14:textId="77777777" w:rsidR="00776316" w:rsidRDefault="00776316">
            <w:pPr>
              <w:jc w:val="right"/>
              <w:rPr>
                <w:sz w:val="16"/>
                <w:szCs w:val="16"/>
              </w:rPr>
            </w:pPr>
            <w:r>
              <w:rPr>
                <w:sz w:val="16"/>
                <w:szCs w:val="16"/>
              </w:rPr>
              <w:t>4.09</w:t>
            </w:r>
          </w:p>
        </w:tc>
        <w:tc>
          <w:tcPr>
            <w:tcW w:w="709" w:type="dxa"/>
            <w:tcBorders>
              <w:top w:val="single" w:sz="4" w:space="0" w:color="auto"/>
              <w:left w:val="single" w:sz="4" w:space="0" w:color="auto"/>
              <w:bottom w:val="single" w:sz="4" w:space="0" w:color="auto"/>
              <w:right w:val="single" w:sz="4" w:space="0" w:color="auto"/>
            </w:tcBorders>
            <w:hideMark/>
          </w:tcPr>
          <w:p w14:paraId="3B710E2D" w14:textId="77777777" w:rsidR="00776316" w:rsidRDefault="00776316">
            <w:pPr>
              <w:jc w:val="right"/>
              <w:rPr>
                <w:sz w:val="16"/>
                <w:szCs w:val="16"/>
              </w:rPr>
            </w:pPr>
            <w:r>
              <w:rPr>
                <w:sz w:val="16"/>
                <w:szCs w:val="16"/>
              </w:rPr>
              <w:t>6.03</w:t>
            </w:r>
          </w:p>
        </w:tc>
        <w:tc>
          <w:tcPr>
            <w:tcW w:w="623" w:type="dxa"/>
            <w:tcBorders>
              <w:top w:val="single" w:sz="4" w:space="0" w:color="auto"/>
              <w:left w:val="single" w:sz="4" w:space="0" w:color="auto"/>
              <w:bottom w:val="single" w:sz="4" w:space="0" w:color="auto"/>
              <w:right w:val="single" w:sz="4" w:space="0" w:color="auto"/>
            </w:tcBorders>
            <w:hideMark/>
          </w:tcPr>
          <w:p w14:paraId="7B39A365" w14:textId="77777777" w:rsidR="00776316" w:rsidRDefault="00776316">
            <w:pPr>
              <w:jc w:val="right"/>
              <w:rPr>
                <w:sz w:val="16"/>
                <w:szCs w:val="16"/>
              </w:rPr>
            </w:pPr>
            <w:r>
              <w:rPr>
                <w:sz w:val="16"/>
                <w:szCs w:val="16"/>
              </w:rPr>
              <w:t>3.85</w:t>
            </w:r>
          </w:p>
        </w:tc>
        <w:tc>
          <w:tcPr>
            <w:tcW w:w="630" w:type="dxa"/>
            <w:tcBorders>
              <w:top w:val="single" w:sz="4" w:space="0" w:color="auto"/>
              <w:left w:val="single" w:sz="4" w:space="0" w:color="auto"/>
              <w:bottom w:val="single" w:sz="4" w:space="0" w:color="auto"/>
              <w:right w:val="single" w:sz="4" w:space="0" w:color="auto"/>
            </w:tcBorders>
            <w:hideMark/>
          </w:tcPr>
          <w:p w14:paraId="6D3E4BBB" w14:textId="77777777" w:rsidR="00776316" w:rsidRDefault="00776316">
            <w:pPr>
              <w:jc w:val="right"/>
              <w:rPr>
                <w:sz w:val="16"/>
                <w:szCs w:val="16"/>
              </w:rPr>
            </w:pPr>
            <w:r>
              <w:rPr>
                <w:sz w:val="16"/>
                <w:szCs w:val="16"/>
              </w:rPr>
              <w:t>3.51</w:t>
            </w:r>
          </w:p>
        </w:tc>
        <w:tc>
          <w:tcPr>
            <w:tcW w:w="630" w:type="dxa"/>
            <w:tcBorders>
              <w:top w:val="single" w:sz="4" w:space="0" w:color="auto"/>
              <w:left w:val="single" w:sz="4" w:space="0" w:color="auto"/>
              <w:bottom w:val="single" w:sz="4" w:space="0" w:color="auto"/>
              <w:right w:val="single" w:sz="4" w:space="0" w:color="auto"/>
            </w:tcBorders>
            <w:vAlign w:val="bottom"/>
            <w:hideMark/>
          </w:tcPr>
          <w:p w14:paraId="09EC3076" w14:textId="77777777" w:rsidR="00776316" w:rsidRDefault="00776316">
            <w:pPr>
              <w:jc w:val="right"/>
              <w:rPr>
                <w:sz w:val="16"/>
                <w:szCs w:val="16"/>
              </w:rPr>
            </w:pPr>
            <w:r>
              <w:rPr>
                <w:sz w:val="16"/>
                <w:szCs w:val="16"/>
              </w:rPr>
              <w:t>2.86</w:t>
            </w:r>
          </w:p>
        </w:tc>
        <w:tc>
          <w:tcPr>
            <w:tcW w:w="630" w:type="dxa"/>
            <w:tcBorders>
              <w:top w:val="single" w:sz="4" w:space="0" w:color="auto"/>
              <w:left w:val="single" w:sz="4" w:space="0" w:color="auto"/>
              <w:bottom w:val="single" w:sz="4" w:space="0" w:color="auto"/>
              <w:right w:val="single" w:sz="4" w:space="0" w:color="auto"/>
            </w:tcBorders>
            <w:vAlign w:val="bottom"/>
            <w:hideMark/>
          </w:tcPr>
          <w:p w14:paraId="450BC528" w14:textId="77777777" w:rsidR="00776316" w:rsidRDefault="00776316">
            <w:pPr>
              <w:jc w:val="right"/>
              <w:rPr>
                <w:sz w:val="16"/>
                <w:szCs w:val="16"/>
              </w:rPr>
            </w:pPr>
            <w:r>
              <w:rPr>
                <w:sz w:val="16"/>
                <w:szCs w:val="16"/>
              </w:rPr>
              <w:t>1.40</w:t>
            </w:r>
          </w:p>
        </w:tc>
        <w:tc>
          <w:tcPr>
            <w:tcW w:w="540" w:type="dxa"/>
            <w:tcBorders>
              <w:top w:val="single" w:sz="4" w:space="0" w:color="auto"/>
              <w:left w:val="single" w:sz="4" w:space="0" w:color="auto"/>
              <w:bottom w:val="single" w:sz="4" w:space="0" w:color="auto"/>
              <w:right w:val="single" w:sz="4" w:space="0" w:color="auto"/>
            </w:tcBorders>
            <w:vAlign w:val="bottom"/>
            <w:hideMark/>
          </w:tcPr>
          <w:p w14:paraId="6F976266" w14:textId="77777777" w:rsidR="00776316" w:rsidRDefault="00776316">
            <w:pPr>
              <w:jc w:val="right"/>
              <w:rPr>
                <w:sz w:val="16"/>
                <w:szCs w:val="16"/>
              </w:rPr>
            </w:pPr>
            <w:r>
              <w:rPr>
                <w:sz w:val="16"/>
                <w:szCs w:val="16"/>
              </w:rPr>
              <w:t>1.95</w:t>
            </w:r>
          </w:p>
        </w:tc>
        <w:tc>
          <w:tcPr>
            <w:tcW w:w="630" w:type="dxa"/>
            <w:tcBorders>
              <w:top w:val="single" w:sz="4" w:space="0" w:color="auto"/>
              <w:left w:val="single" w:sz="4" w:space="0" w:color="auto"/>
              <w:bottom w:val="single" w:sz="4" w:space="0" w:color="auto"/>
              <w:right w:val="single" w:sz="4" w:space="0" w:color="auto"/>
            </w:tcBorders>
            <w:vAlign w:val="bottom"/>
            <w:hideMark/>
          </w:tcPr>
          <w:p w14:paraId="1DA6DF37" w14:textId="77777777" w:rsidR="00776316" w:rsidRDefault="00776316">
            <w:pPr>
              <w:jc w:val="right"/>
              <w:rPr>
                <w:sz w:val="16"/>
                <w:szCs w:val="16"/>
              </w:rPr>
            </w:pPr>
            <w:r>
              <w:rPr>
                <w:sz w:val="16"/>
                <w:szCs w:val="16"/>
              </w:rPr>
              <w:t>2.01</w:t>
            </w:r>
          </w:p>
        </w:tc>
        <w:tc>
          <w:tcPr>
            <w:tcW w:w="540" w:type="dxa"/>
            <w:tcBorders>
              <w:top w:val="single" w:sz="4" w:space="0" w:color="auto"/>
              <w:left w:val="single" w:sz="4" w:space="0" w:color="auto"/>
              <w:bottom w:val="single" w:sz="4" w:space="0" w:color="auto"/>
              <w:right w:val="single" w:sz="4" w:space="0" w:color="auto"/>
            </w:tcBorders>
            <w:vAlign w:val="bottom"/>
            <w:hideMark/>
          </w:tcPr>
          <w:p w14:paraId="25CDF3B5" w14:textId="77777777" w:rsidR="00776316" w:rsidRDefault="00776316">
            <w:pPr>
              <w:jc w:val="right"/>
              <w:rPr>
                <w:sz w:val="16"/>
                <w:szCs w:val="16"/>
              </w:rPr>
            </w:pPr>
            <w:r>
              <w:rPr>
                <w:sz w:val="16"/>
                <w:szCs w:val="16"/>
              </w:rPr>
              <w:t>2.25</w:t>
            </w:r>
          </w:p>
        </w:tc>
        <w:tc>
          <w:tcPr>
            <w:tcW w:w="540" w:type="dxa"/>
            <w:tcBorders>
              <w:top w:val="single" w:sz="4" w:space="0" w:color="auto"/>
              <w:left w:val="single" w:sz="4" w:space="0" w:color="auto"/>
              <w:bottom w:val="single" w:sz="4" w:space="0" w:color="auto"/>
              <w:right w:val="single" w:sz="4" w:space="0" w:color="auto"/>
            </w:tcBorders>
            <w:hideMark/>
          </w:tcPr>
          <w:p w14:paraId="690B3F78" w14:textId="77777777" w:rsidR="00776316" w:rsidRDefault="00776316">
            <w:pPr>
              <w:ind w:hanging="18"/>
              <w:jc w:val="right"/>
              <w:rPr>
                <w:sz w:val="16"/>
                <w:szCs w:val="16"/>
              </w:rPr>
            </w:pPr>
            <w:r>
              <w:rPr>
                <w:sz w:val="16"/>
                <w:szCs w:val="16"/>
              </w:rPr>
              <w:t>2.18</w:t>
            </w:r>
          </w:p>
        </w:tc>
        <w:tc>
          <w:tcPr>
            <w:tcW w:w="540" w:type="dxa"/>
            <w:tcBorders>
              <w:top w:val="single" w:sz="4" w:space="0" w:color="auto"/>
              <w:left w:val="single" w:sz="4" w:space="0" w:color="auto"/>
              <w:bottom w:val="single" w:sz="4" w:space="0" w:color="auto"/>
              <w:right w:val="single" w:sz="4" w:space="0" w:color="auto"/>
            </w:tcBorders>
            <w:hideMark/>
          </w:tcPr>
          <w:p w14:paraId="6F8EBAD4" w14:textId="77777777" w:rsidR="00776316" w:rsidRDefault="00776316">
            <w:pPr>
              <w:jc w:val="right"/>
              <w:rPr>
                <w:sz w:val="16"/>
                <w:szCs w:val="16"/>
              </w:rPr>
            </w:pPr>
            <w:r>
              <w:rPr>
                <w:sz w:val="16"/>
                <w:szCs w:val="16"/>
              </w:rPr>
              <w:t>2.12</w:t>
            </w:r>
          </w:p>
        </w:tc>
        <w:tc>
          <w:tcPr>
            <w:tcW w:w="540" w:type="dxa"/>
            <w:tcBorders>
              <w:top w:val="single" w:sz="4" w:space="0" w:color="auto"/>
              <w:left w:val="single" w:sz="4" w:space="0" w:color="auto"/>
              <w:bottom w:val="single" w:sz="4" w:space="0" w:color="auto"/>
              <w:right w:val="single" w:sz="4" w:space="0" w:color="auto"/>
            </w:tcBorders>
            <w:hideMark/>
          </w:tcPr>
          <w:p w14:paraId="51A247DB" w14:textId="77777777" w:rsidR="00776316" w:rsidRDefault="00776316">
            <w:pPr>
              <w:snapToGrid w:val="0"/>
              <w:jc w:val="right"/>
              <w:rPr>
                <w:sz w:val="16"/>
                <w:szCs w:val="16"/>
              </w:rPr>
            </w:pPr>
            <w:r>
              <w:rPr>
                <w:sz w:val="16"/>
                <w:szCs w:val="16"/>
              </w:rPr>
              <w:t>4.68</w:t>
            </w:r>
          </w:p>
        </w:tc>
        <w:tc>
          <w:tcPr>
            <w:tcW w:w="704" w:type="dxa"/>
            <w:tcBorders>
              <w:top w:val="single" w:sz="4" w:space="0" w:color="auto"/>
              <w:left w:val="single" w:sz="4" w:space="0" w:color="auto"/>
              <w:bottom w:val="single" w:sz="4" w:space="0" w:color="auto"/>
              <w:right w:val="single" w:sz="4" w:space="0" w:color="auto"/>
            </w:tcBorders>
            <w:hideMark/>
          </w:tcPr>
          <w:p w14:paraId="59AB8BAD" w14:textId="77777777" w:rsidR="00776316" w:rsidRDefault="00776316">
            <w:pPr>
              <w:snapToGrid w:val="0"/>
              <w:jc w:val="center"/>
              <w:rPr>
                <w:sz w:val="16"/>
                <w:szCs w:val="16"/>
              </w:rPr>
            </w:pPr>
            <w:r>
              <w:rPr>
                <w:sz w:val="16"/>
                <w:szCs w:val="16"/>
              </w:rPr>
              <w:t>6.29</w:t>
            </w:r>
          </w:p>
        </w:tc>
        <w:tc>
          <w:tcPr>
            <w:tcW w:w="630" w:type="dxa"/>
            <w:tcBorders>
              <w:top w:val="single" w:sz="4" w:space="0" w:color="auto"/>
              <w:left w:val="single" w:sz="4" w:space="0" w:color="auto"/>
              <w:bottom w:val="single" w:sz="4" w:space="0" w:color="auto"/>
              <w:right w:val="single" w:sz="4" w:space="0" w:color="auto"/>
            </w:tcBorders>
            <w:hideMark/>
          </w:tcPr>
          <w:p w14:paraId="251A5400" w14:textId="77777777" w:rsidR="00776316" w:rsidRDefault="00776316">
            <w:pPr>
              <w:snapToGrid w:val="0"/>
              <w:jc w:val="center"/>
              <w:rPr>
                <w:sz w:val="16"/>
                <w:szCs w:val="16"/>
              </w:rPr>
            </w:pPr>
            <w:r>
              <w:rPr>
                <w:sz w:val="16"/>
                <w:szCs w:val="16"/>
              </w:rPr>
              <w:t>22.14</w:t>
            </w:r>
          </w:p>
        </w:tc>
        <w:tc>
          <w:tcPr>
            <w:tcW w:w="567" w:type="dxa"/>
            <w:tcBorders>
              <w:top w:val="single" w:sz="4" w:space="0" w:color="auto"/>
              <w:left w:val="single" w:sz="4" w:space="0" w:color="auto"/>
              <w:bottom w:val="single" w:sz="4" w:space="0" w:color="auto"/>
              <w:right w:val="single" w:sz="4" w:space="0" w:color="auto"/>
            </w:tcBorders>
            <w:hideMark/>
          </w:tcPr>
          <w:p w14:paraId="7E1549E8" w14:textId="77777777" w:rsidR="00776316" w:rsidRDefault="00776316">
            <w:pPr>
              <w:snapToGrid w:val="0"/>
              <w:jc w:val="center"/>
              <w:rPr>
                <w:sz w:val="16"/>
                <w:szCs w:val="16"/>
              </w:rPr>
            </w:pPr>
            <w:r>
              <w:rPr>
                <w:sz w:val="16"/>
                <w:szCs w:val="16"/>
              </w:rPr>
              <w:t>4.09</w:t>
            </w:r>
          </w:p>
        </w:tc>
        <w:tc>
          <w:tcPr>
            <w:tcW w:w="591" w:type="dxa"/>
            <w:tcBorders>
              <w:top w:val="single" w:sz="4" w:space="0" w:color="auto"/>
              <w:left w:val="single" w:sz="4" w:space="0" w:color="auto"/>
              <w:bottom w:val="single" w:sz="4" w:space="0" w:color="auto"/>
              <w:right w:val="single" w:sz="4" w:space="0" w:color="auto"/>
            </w:tcBorders>
            <w:hideMark/>
          </w:tcPr>
          <w:p w14:paraId="11C1352E" w14:textId="77777777" w:rsidR="00776316" w:rsidRDefault="00776316">
            <w:pPr>
              <w:snapToGrid w:val="0"/>
              <w:jc w:val="center"/>
              <w:rPr>
                <w:sz w:val="16"/>
                <w:szCs w:val="16"/>
              </w:rPr>
            </w:pPr>
            <w:r>
              <w:rPr>
                <w:sz w:val="16"/>
                <w:szCs w:val="16"/>
              </w:rPr>
              <w:t>K/µL</w:t>
            </w:r>
          </w:p>
        </w:tc>
      </w:tr>
      <w:tr w:rsidR="00776316" w14:paraId="3B1F58B7"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7CD1B2DC" w14:textId="77777777" w:rsidR="00776316" w:rsidRDefault="00776316">
            <w:pPr>
              <w:rPr>
                <w:sz w:val="16"/>
                <w:szCs w:val="16"/>
              </w:rPr>
            </w:pPr>
            <w:r>
              <w:rPr>
                <w:sz w:val="16"/>
                <w:szCs w:val="16"/>
              </w:rPr>
              <w:t>RBC</w:t>
            </w:r>
          </w:p>
        </w:tc>
        <w:tc>
          <w:tcPr>
            <w:tcW w:w="673" w:type="dxa"/>
            <w:tcBorders>
              <w:top w:val="single" w:sz="4" w:space="0" w:color="auto"/>
              <w:left w:val="single" w:sz="4" w:space="0" w:color="auto"/>
              <w:bottom w:val="single" w:sz="4" w:space="0" w:color="auto"/>
              <w:right w:val="single" w:sz="4" w:space="0" w:color="auto"/>
            </w:tcBorders>
            <w:hideMark/>
          </w:tcPr>
          <w:p w14:paraId="13C7A413" w14:textId="77777777" w:rsidR="00776316" w:rsidRDefault="00776316">
            <w:pPr>
              <w:jc w:val="right"/>
              <w:rPr>
                <w:sz w:val="16"/>
                <w:szCs w:val="16"/>
              </w:rPr>
            </w:pPr>
            <w:r>
              <w:rPr>
                <w:sz w:val="16"/>
                <w:szCs w:val="16"/>
              </w:rPr>
              <w:t>2.53</w:t>
            </w:r>
          </w:p>
        </w:tc>
        <w:tc>
          <w:tcPr>
            <w:tcW w:w="709" w:type="dxa"/>
            <w:tcBorders>
              <w:top w:val="single" w:sz="4" w:space="0" w:color="auto"/>
              <w:left w:val="single" w:sz="4" w:space="0" w:color="auto"/>
              <w:bottom w:val="single" w:sz="4" w:space="0" w:color="auto"/>
              <w:right w:val="single" w:sz="4" w:space="0" w:color="auto"/>
            </w:tcBorders>
            <w:hideMark/>
          </w:tcPr>
          <w:p w14:paraId="6CEE3402" w14:textId="77777777" w:rsidR="00776316" w:rsidRDefault="00776316">
            <w:pPr>
              <w:jc w:val="right"/>
              <w:rPr>
                <w:sz w:val="16"/>
                <w:szCs w:val="16"/>
              </w:rPr>
            </w:pPr>
            <w:r>
              <w:rPr>
                <w:sz w:val="16"/>
                <w:szCs w:val="16"/>
              </w:rPr>
              <w:t>2.61</w:t>
            </w:r>
          </w:p>
        </w:tc>
        <w:tc>
          <w:tcPr>
            <w:tcW w:w="623" w:type="dxa"/>
            <w:tcBorders>
              <w:top w:val="single" w:sz="4" w:space="0" w:color="auto"/>
              <w:left w:val="single" w:sz="4" w:space="0" w:color="auto"/>
              <w:bottom w:val="single" w:sz="4" w:space="0" w:color="auto"/>
              <w:right w:val="single" w:sz="4" w:space="0" w:color="auto"/>
            </w:tcBorders>
            <w:hideMark/>
          </w:tcPr>
          <w:p w14:paraId="094E1908" w14:textId="77777777" w:rsidR="00776316" w:rsidRDefault="00776316">
            <w:pPr>
              <w:jc w:val="right"/>
              <w:rPr>
                <w:sz w:val="16"/>
                <w:szCs w:val="16"/>
              </w:rPr>
            </w:pPr>
            <w:r>
              <w:rPr>
                <w:sz w:val="16"/>
                <w:szCs w:val="16"/>
              </w:rPr>
              <w:t>2.45</w:t>
            </w:r>
          </w:p>
        </w:tc>
        <w:tc>
          <w:tcPr>
            <w:tcW w:w="630" w:type="dxa"/>
            <w:tcBorders>
              <w:top w:val="single" w:sz="4" w:space="0" w:color="auto"/>
              <w:left w:val="single" w:sz="4" w:space="0" w:color="auto"/>
              <w:bottom w:val="single" w:sz="4" w:space="0" w:color="auto"/>
              <w:right w:val="single" w:sz="4" w:space="0" w:color="auto"/>
            </w:tcBorders>
            <w:hideMark/>
          </w:tcPr>
          <w:p w14:paraId="1422F564" w14:textId="77777777" w:rsidR="00776316" w:rsidRDefault="00776316">
            <w:pPr>
              <w:jc w:val="right"/>
              <w:rPr>
                <w:sz w:val="16"/>
                <w:szCs w:val="16"/>
              </w:rPr>
            </w:pPr>
            <w:r>
              <w:rPr>
                <w:sz w:val="16"/>
                <w:szCs w:val="16"/>
              </w:rPr>
              <w:t>2.55</w:t>
            </w:r>
          </w:p>
        </w:tc>
        <w:tc>
          <w:tcPr>
            <w:tcW w:w="630" w:type="dxa"/>
            <w:tcBorders>
              <w:top w:val="single" w:sz="4" w:space="0" w:color="auto"/>
              <w:left w:val="single" w:sz="4" w:space="0" w:color="auto"/>
              <w:bottom w:val="single" w:sz="4" w:space="0" w:color="auto"/>
              <w:right w:val="single" w:sz="4" w:space="0" w:color="auto"/>
            </w:tcBorders>
            <w:vAlign w:val="bottom"/>
            <w:hideMark/>
          </w:tcPr>
          <w:p w14:paraId="1C2CBA9F" w14:textId="77777777" w:rsidR="00776316" w:rsidRDefault="00776316">
            <w:pPr>
              <w:jc w:val="right"/>
              <w:rPr>
                <w:sz w:val="16"/>
                <w:szCs w:val="16"/>
              </w:rPr>
            </w:pPr>
            <w:r>
              <w:rPr>
                <w:sz w:val="16"/>
                <w:szCs w:val="16"/>
              </w:rPr>
              <w:t>2.59</w:t>
            </w:r>
          </w:p>
        </w:tc>
        <w:tc>
          <w:tcPr>
            <w:tcW w:w="630" w:type="dxa"/>
            <w:tcBorders>
              <w:top w:val="single" w:sz="4" w:space="0" w:color="auto"/>
              <w:left w:val="single" w:sz="4" w:space="0" w:color="auto"/>
              <w:bottom w:val="single" w:sz="4" w:space="0" w:color="auto"/>
              <w:right w:val="single" w:sz="4" w:space="0" w:color="auto"/>
            </w:tcBorders>
            <w:vAlign w:val="bottom"/>
            <w:hideMark/>
          </w:tcPr>
          <w:p w14:paraId="7B002F90" w14:textId="77777777" w:rsidR="00776316" w:rsidRDefault="00776316">
            <w:pPr>
              <w:jc w:val="right"/>
              <w:rPr>
                <w:sz w:val="16"/>
                <w:szCs w:val="16"/>
              </w:rPr>
            </w:pPr>
            <w:r>
              <w:rPr>
                <w:sz w:val="16"/>
                <w:szCs w:val="16"/>
              </w:rPr>
              <w:t>3.31</w:t>
            </w:r>
          </w:p>
        </w:tc>
        <w:tc>
          <w:tcPr>
            <w:tcW w:w="540" w:type="dxa"/>
            <w:tcBorders>
              <w:top w:val="single" w:sz="4" w:space="0" w:color="auto"/>
              <w:left w:val="single" w:sz="4" w:space="0" w:color="auto"/>
              <w:bottom w:val="single" w:sz="4" w:space="0" w:color="auto"/>
              <w:right w:val="single" w:sz="4" w:space="0" w:color="auto"/>
            </w:tcBorders>
            <w:vAlign w:val="bottom"/>
            <w:hideMark/>
          </w:tcPr>
          <w:p w14:paraId="512DA44B" w14:textId="77777777" w:rsidR="00776316" w:rsidRDefault="00776316">
            <w:pPr>
              <w:jc w:val="right"/>
              <w:rPr>
                <w:sz w:val="16"/>
                <w:szCs w:val="16"/>
              </w:rPr>
            </w:pPr>
            <w:r>
              <w:rPr>
                <w:sz w:val="16"/>
                <w:szCs w:val="16"/>
              </w:rPr>
              <w:t>3.66</w:t>
            </w:r>
          </w:p>
        </w:tc>
        <w:tc>
          <w:tcPr>
            <w:tcW w:w="630" w:type="dxa"/>
            <w:tcBorders>
              <w:top w:val="single" w:sz="4" w:space="0" w:color="auto"/>
              <w:left w:val="single" w:sz="4" w:space="0" w:color="auto"/>
              <w:bottom w:val="single" w:sz="4" w:space="0" w:color="auto"/>
              <w:right w:val="single" w:sz="4" w:space="0" w:color="auto"/>
            </w:tcBorders>
            <w:vAlign w:val="bottom"/>
            <w:hideMark/>
          </w:tcPr>
          <w:p w14:paraId="5F04AA2F" w14:textId="77777777" w:rsidR="00776316" w:rsidRDefault="00776316">
            <w:pPr>
              <w:jc w:val="right"/>
              <w:rPr>
                <w:sz w:val="16"/>
                <w:szCs w:val="16"/>
              </w:rPr>
            </w:pPr>
            <w:r>
              <w:rPr>
                <w:sz w:val="16"/>
                <w:szCs w:val="16"/>
              </w:rPr>
              <w:t>3.66</w:t>
            </w:r>
          </w:p>
        </w:tc>
        <w:tc>
          <w:tcPr>
            <w:tcW w:w="540" w:type="dxa"/>
            <w:tcBorders>
              <w:top w:val="single" w:sz="4" w:space="0" w:color="auto"/>
              <w:left w:val="single" w:sz="4" w:space="0" w:color="auto"/>
              <w:bottom w:val="single" w:sz="4" w:space="0" w:color="auto"/>
              <w:right w:val="single" w:sz="4" w:space="0" w:color="auto"/>
            </w:tcBorders>
            <w:vAlign w:val="bottom"/>
            <w:hideMark/>
          </w:tcPr>
          <w:p w14:paraId="5101BE37" w14:textId="77777777" w:rsidR="00776316" w:rsidRDefault="00776316">
            <w:pPr>
              <w:jc w:val="right"/>
              <w:rPr>
                <w:sz w:val="16"/>
                <w:szCs w:val="16"/>
              </w:rPr>
            </w:pPr>
            <w:r>
              <w:rPr>
                <w:sz w:val="16"/>
                <w:szCs w:val="16"/>
              </w:rPr>
              <w:t>3.99</w:t>
            </w:r>
          </w:p>
        </w:tc>
        <w:tc>
          <w:tcPr>
            <w:tcW w:w="540" w:type="dxa"/>
            <w:tcBorders>
              <w:top w:val="single" w:sz="4" w:space="0" w:color="auto"/>
              <w:left w:val="single" w:sz="4" w:space="0" w:color="auto"/>
              <w:bottom w:val="single" w:sz="4" w:space="0" w:color="auto"/>
              <w:right w:val="single" w:sz="4" w:space="0" w:color="auto"/>
            </w:tcBorders>
            <w:hideMark/>
          </w:tcPr>
          <w:p w14:paraId="4AEB2875" w14:textId="77777777" w:rsidR="00776316" w:rsidRDefault="00776316">
            <w:pPr>
              <w:jc w:val="right"/>
              <w:rPr>
                <w:sz w:val="16"/>
                <w:szCs w:val="16"/>
              </w:rPr>
            </w:pPr>
            <w:r>
              <w:rPr>
                <w:sz w:val="16"/>
                <w:szCs w:val="16"/>
              </w:rPr>
              <w:t>4.05</w:t>
            </w:r>
          </w:p>
        </w:tc>
        <w:tc>
          <w:tcPr>
            <w:tcW w:w="540" w:type="dxa"/>
            <w:tcBorders>
              <w:top w:val="single" w:sz="4" w:space="0" w:color="auto"/>
              <w:left w:val="single" w:sz="4" w:space="0" w:color="auto"/>
              <w:bottom w:val="single" w:sz="4" w:space="0" w:color="auto"/>
              <w:right w:val="single" w:sz="4" w:space="0" w:color="auto"/>
            </w:tcBorders>
            <w:hideMark/>
          </w:tcPr>
          <w:p w14:paraId="3A7C0099" w14:textId="77777777" w:rsidR="00776316" w:rsidRDefault="00776316">
            <w:pPr>
              <w:jc w:val="right"/>
              <w:rPr>
                <w:sz w:val="16"/>
                <w:szCs w:val="16"/>
              </w:rPr>
            </w:pPr>
            <w:r>
              <w:rPr>
                <w:sz w:val="16"/>
                <w:szCs w:val="16"/>
              </w:rPr>
              <w:t>4.11</w:t>
            </w:r>
          </w:p>
        </w:tc>
        <w:tc>
          <w:tcPr>
            <w:tcW w:w="540" w:type="dxa"/>
            <w:tcBorders>
              <w:top w:val="single" w:sz="4" w:space="0" w:color="auto"/>
              <w:left w:val="single" w:sz="4" w:space="0" w:color="auto"/>
              <w:bottom w:val="single" w:sz="4" w:space="0" w:color="auto"/>
              <w:right w:val="single" w:sz="4" w:space="0" w:color="auto"/>
            </w:tcBorders>
            <w:hideMark/>
          </w:tcPr>
          <w:p w14:paraId="422FBD3B" w14:textId="77777777" w:rsidR="00776316" w:rsidRDefault="00776316">
            <w:pPr>
              <w:snapToGrid w:val="0"/>
              <w:jc w:val="right"/>
              <w:rPr>
                <w:sz w:val="16"/>
                <w:szCs w:val="16"/>
              </w:rPr>
            </w:pPr>
            <w:r>
              <w:rPr>
                <w:sz w:val="16"/>
                <w:szCs w:val="16"/>
              </w:rPr>
              <w:t>3.42</w:t>
            </w:r>
          </w:p>
        </w:tc>
        <w:tc>
          <w:tcPr>
            <w:tcW w:w="704" w:type="dxa"/>
            <w:tcBorders>
              <w:top w:val="single" w:sz="4" w:space="0" w:color="auto"/>
              <w:left w:val="single" w:sz="4" w:space="0" w:color="auto"/>
              <w:bottom w:val="single" w:sz="4" w:space="0" w:color="auto"/>
              <w:right w:val="single" w:sz="4" w:space="0" w:color="auto"/>
            </w:tcBorders>
            <w:hideMark/>
          </w:tcPr>
          <w:p w14:paraId="3C7B5D7F" w14:textId="77777777" w:rsidR="00776316" w:rsidRDefault="00776316">
            <w:pPr>
              <w:snapToGrid w:val="0"/>
              <w:jc w:val="center"/>
              <w:rPr>
                <w:sz w:val="16"/>
                <w:szCs w:val="16"/>
              </w:rPr>
            </w:pPr>
            <w:r>
              <w:rPr>
                <w:sz w:val="16"/>
                <w:szCs w:val="16"/>
              </w:rPr>
              <w:t>3.32</w:t>
            </w:r>
          </w:p>
        </w:tc>
        <w:tc>
          <w:tcPr>
            <w:tcW w:w="630" w:type="dxa"/>
            <w:tcBorders>
              <w:top w:val="single" w:sz="4" w:space="0" w:color="auto"/>
              <w:left w:val="single" w:sz="4" w:space="0" w:color="auto"/>
              <w:bottom w:val="single" w:sz="4" w:space="0" w:color="auto"/>
              <w:right w:val="single" w:sz="4" w:space="0" w:color="auto"/>
            </w:tcBorders>
            <w:hideMark/>
          </w:tcPr>
          <w:p w14:paraId="63BE9B8A" w14:textId="77777777" w:rsidR="00776316" w:rsidRDefault="00776316">
            <w:pPr>
              <w:snapToGrid w:val="0"/>
              <w:jc w:val="center"/>
              <w:rPr>
                <w:sz w:val="16"/>
                <w:szCs w:val="16"/>
              </w:rPr>
            </w:pPr>
            <w:r>
              <w:rPr>
                <w:sz w:val="16"/>
                <w:szCs w:val="16"/>
              </w:rPr>
              <w:t>2.88</w:t>
            </w:r>
          </w:p>
        </w:tc>
        <w:tc>
          <w:tcPr>
            <w:tcW w:w="567" w:type="dxa"/>
            <w:tcBorders>
              <w:top w:val="single" w:sz="4" w:space="0" w:color="auto"/>
              <w:left w:val="single" w:sz="4" w:space="0" w:color="auto"/>
              <w:bottom w:val="single" w:sz="4" w:space="0" w:color="auto"/>
              <w:right w:val="single" w:sz="4" w:space="0" w:color="auto"/>
            </w:tcBorders>
            <w:hideMark/>
          </w:tcPr>
          <w:p w14:paraId="2261E523" w14:textId="77777777" w:rsidR="00776316" w:rsidRDefault="00776316">
            <w:pPr>
              <w:snapToGrid w:val="0"/>
              <w:jc w:val="center"/>
              <w:rPr>
                <w:sz w:val="16"/>
                <w:szCs w:val="16"/>
              </w:rPr>
            </w:pPr>
            <w:r>
              <w:rPr>
                <w:sz w:val="16"/>
                <w:szCs w:val="16"/>
              </w:rPr>
              <w:t>2.69</w:t>
            </w:r>
          </w:p>
        </w:tc>
        <w:tc>
          <w:tcPr>
            <w:tcW w:w="591" w:type="dxa"/>
            <w:tcBorders>
              <w:top w:val="single" w:sz="4" w:space="0" w:color="auto"/>
              <w:left w:val="single" w:sz="4" w:space="0" w:color="auto"/>
              <w:bottom w:val="single" w:sz="4" w:space="0" w:color="auto"/>
              <w:right w:val="single" w:sz="4" w:space="0" w:color="auto"/>
            </w:tcBorders>
            <w:hideMark/>
          </w:tcPr>
          <w:p w14:paraId="20A027B0" w14:textId="77777777" w:rsidR="00776316" w:rsidRDefault="00776316">
            <w:pPr>
              <w:snapToGrid w:val="0"/>
              <w:jc w:val="center"/>
              <w:rPr>
                <w:sz w:val="16"/>
                <w:szCs w:val="16"/>
              </w:rPr>
            </w:pPr>
            <w:r>
              <w:rPr>
                <w:sz w:val="16"/>
                <w:szCs w:val="16"/>
              </w:rPr>
              <w:t>M/µL</w:t>
            </w:r>
          </w:p>
        </w:tc>
      </w:tr>
      <w:tr w:rsidR="00776316" w14:paraId="7FCCD227" w14:textId="77777777" w:rsidTr="00776316">
        <w:trPr>
          <w:trHeight w:val="195"/>
          <w:jc w:val="center"/>
        </w:trPr>
        <w:tc>
          <w:tcPr>
            <w:tcW w:w="1153" w:type="dxa"/>
            <w:tcBorders>
              <w:top w:val="single" w:sz="4" w:space="0" w:color="auto"/>
              <w:left w:val="single" w:sz="4" w:space="0" w:color="auto"/>
              <w:bottom w:val="single" w:sz="4" w:space="0" w:color="auto"/>
              <w:right w:val="single" w:sz="4" w:space="0" w:color="auto"/>
            </w:tcBorders>
            <w:hideMark/>
          </w:tcPr>
          <w:p w14:paraId="3C9B2CC9" w14:textId="77777777" w:rsidR="00776316" w:rsidRDefault="00776316">
            <w:pPr>
              <w:rPr>
                <w:sz w:val="16"/>
                <w:szCs w:val="16"/>
              </w:rPr>
            </w:pPr>
            <w:r>
              <w:rPr>
                <w:sz w:val="16"/>
                <w:szCs w:val="16"/>
              </w:rPr>
              <w:t>HGB</w:t>
            </w:r>
          </w:p>
        </w:tc>
        <w:tc>
          <w:tcPr>
            <w:tcW w:w="673" w:type="dxa"/>
            <w:tcBorders>
              <w:top w:val="single" w:sz="4" w:space="0" w:color="auto"/>
              <w:left w:val="single" w:sz="4" w:space="0" w:color="auto"/>
              <w:bottom w:val="single" w:sz="4" w:space="0" w:color="auto"/>
              <w:right w:val="single" w:sz="4" w:space="0" w:color="auto"/>
            </w:tcBorders>
            <w:hideMark/>
          </w:tcPr>
          <w:p w14:paraId="2811FFBA" w14:textId="77777777" w:rsidR="00776316" w:rsidRDefault="00776316">
            <w:pPr>
              <w:jc w:val="right"/>
              <w:rPr>
                <w:sz w:val="16"/>
                <w:szCs w:val="16"/>
              </w:rPr>
            </w:pPr>
            <w:r>
              <w:rPr>
                <w:sz w:val="16"/>
                <w:szCs w:val="16"/>
              </w:rPr>
              <w:t>8.6</w:t>
            </w:r>
          </w:p>
        </w:tc>
        <w:tc>
          <w:tcPr>
            <w:tcW w:w="709" w:type="dxa"/>
            <w:tcBorders>
              <w:top w:val="single" w:sz="4" w:space="0" w:color="auto"/>
              <w:left w:val="single" w:sz="4" w:space="0" w:color="auto"/>
              <w:bottom w:val="single" w:sz="4" w:space="0" w:color="auto"/>
              <w:right w:val="single" w:sz="4" w:space="0" w:color="auto"/>
            </w:tcBorders>
            <w:hideMark/>
          </w:tcPr>
          <w:p w14:paraId="558C3AD7" w14:textId="77777777" w:rsidR="00776316" w:rsidRDefault="00776316">
            <w:pPr>
              <w:jc w:val="right"/>
              <w:rPr>
                <w:sz w:val="16"/>
                <w:szCs w:val="16"/>
              </w:rPr>
            </w:pPr>
            <w:r>
              <w:rPr>
                <w:sz w:val="16"/>
                <w:szCs w:val="16"/>
              </w:rPr>
              <w:t>9.3</w:t>
            </w:r>
          </w:p>
        </w:tc>
        <w:tc>
          <w:tcPr>
            <w:tcW w:w="623" w:type="dxa"/>
            <w:tcBorders>
              <w:top w:val="single" w:sz="4" w:space="0" w:color="auto"/>
              <w:left w:val="single" w:sz="4" w:space="0" w:color="auto"/>
              <w:bottom w:val="single" w:sz="4" w:space="0" w:color="auto"/>
              <w:right w:val="single" w:sz="4" w:space="0" w:color="auto"/>
            </w:tcBorders>
            <w:hideMark/>
          </w:tcPr>
          <w:p w14:paraId="7FBA33C0" w14:textId="77777777" w:rsidR="00776316" w:rsidRDefault="00776316">
            <w:pPr>
              <w:jc w:val="right"/>
              <w:rPr>
                <w:sz w:val="16"/>
                <w:szCs w:val="16"/>
              </w:rPr>
            </w:pPr>
            <w:r>
              <w:rPr>
                <w:sz w:val="16"/>
                <w:szCs w:val="16"/>
              </w:rPr>
              <w:t>8.4</w:t>
            </w:r>
          </w:p>
        </w:tc>
        <w:tc>
          <w:tcPr>
            <w:tcW w:w="630" w:type="dxa"/>
            <w:tcBorders>
              <w:top w:val="single" w:sz="4" w:space="0" w:color="auto"/>
              <w:left w:val="single" w:sz="4" w:space="0" w:color="auto"/>
              <w:bottom w:val="single" w:sz="4" w:space="0" w:color="auto"/>
              <w:right w:val="single" w:sz="4" w:space="0" w:color="auto"/>
            </w:tcBorders>
            <w:hideMark/>
          </w:tcPr>
          <w:p w14:paraId="2560514D" w14:textId="77777777" w:rsidR="00776316" w:rsidRDefault="00776316">
            <w:pPr>
              <w:jc w:val="right"/>
              <w:rPr>
                <w:sz w:val="16"/>
                <w:szCs w:val="16"/>
              </w:rPr>
            </w:pPr>
            <w:r>
              <w:rPr>
                <w:sz w:val="16"/>
                <w:szCs w:val="16"/>
              </w:rPr>
              <w:t>9.6</w:t>
            </w:r>
          </w:p>
        </w:tc>
        <w:tc>
          <w:tcPr>
            <w:tcW w:w="630" w:type="dxa"/>
            <w:tcBorders>
              <w:top w:val="single" w:sz="4" w:space="0" w:color="auto"/>
              <w:left w:val="single" w:sz="4" w:space="0" w:color="auto"/>
              <w:bottom w:val="single" w:sz="4" w:space="0" w:color="auto"/>
              <w:right w:val="single" w:sz="4" w:space="0" w:color="auto"/>
            </w:tcBorders>
            <w:vAlign w:val="bottom"/>
            <w:hideMark/>
          </w:tcPr>
          <w:p w14:paraId="7B1BB6E2" w14:textId="77777777" w:rsidR="00776316" w:rsidRDefault="00776316">
            <w:pPr>
              <w:jc w:val="right"/>
              <w:rPr>
                <w:sz w:val="16"/>
                <w:szCs w:val="16"/>
              </w:rPr>
            </w:pPr>
            <w:r>
              <w:rPr>
                <w:sz w:val="16"/>
                <w:szCs w:val="16"/>
              </w:rPr>
              <w:t>10.6</w:t>
            </w:r>
          </w:p>
        </w:tc>
        <w:tc>
          <w:tcPr>
            <w:tcW w:w="630" w:type="dxa"/>
            <w:tcBorders>
              <w:top w:val="single" w:sz="4" w:space="0" w:color="auto"/>
              <w:left w:val="single" w:sz="4" w:space="0" w:color="auto"/>
              <w:bottom w:val="single" w:sz="4" w:space="0" w:color="auto"/>
              <w:right w:val="single" w:sz="4" w:space="0" w:color="auto"/>
            </w:tcBorders>
            <w:vAlign w:val="bottom"/>
            <w:hideMark/>
          </w:tcPr>
          <w:p w14:paraId="7143F9FA" w14:textId="77777777" w:rsidR="00776316" w:rsidRDefault="00776316">
            <w:pPr>
              <w:jc w:val="right"/>
              <w:rPr>
                <w:sz w:val="16"/>
                <w:szCs w:val="16"/>
              </w:rPr>
            </w:pPr>
            <w:r>
              <w:rPr>
                <w:sz w:val="16"/>
                <w:szCs w:val="16"/>
              </w:rPr>
              <w:t>12.9</w:t>
            </w:r>
          </w:p>
        </w:tc>
        <w:tc>
          <w:tcPr>
            <w:tcW w:w="540" w:type="dxa"/>
            <w:tcBorders>
              <w:top w:val="single" w:sz="4" w:space="0" w:color="auto"/>
              <w:left w:val="single" w:sz="4" w:space="0" w:color="auto"/>
              <w:bottom w:val="single" w:sz="4" w:space="0" w:color="auto"/>
              <w:right w:val="single" w:sz="4" w:space="0" w:color="auto"/>
            </w:tcBorders>
            <w:vAlign w:val="bottom"/>
            <w:hideMark/>
          </w:tcPr>
          <w:p w14:paraId="57D9F204" w14:textId="77777777" w:rsidR="00776316" w:rsidRDefault="00776316">
            <w:pPr>
              <w:jc w:val="right"/>
              <w:rPr>
                <w:sz w:val="16"/>
                <w:szCs w:val="16"/>
              </w:rPr>
            </w:pPr>
            <w:r>
              <w:rPr>
                <w:sz w:val="16"/>
                <w:szCs w:val="16"/>
              </w:rPr>
              <w:t>13.5</w:t>
            </w:r>
          </w:p>
        </w:tc>
        <w:tc>
          <w:tcPr>
            <w:tcW w:w="630" w:type="dxa"/>
            <w:tcBorders>
              <w:top w:val="single" w:sz="4" w:space="0" w:color="auto"/>
              <w:left w:val="single" w:sz="4" w:space="0" w:color="auto"/>
              <w:bottom w:val="single" w:sz="4" w:space="0" w:color="auto"/>
              <w:right w:val="single" w:sz="4" w:space="0" w:color="auto"/>
            </w:tcBorders>
            <w:vAlign w:val="bottom"/>
            <w:hideMark/>
          </w:tcPr>
          <w:p w14:paraId="5F266994" w14:textId="77777777" w:rsidR="00776316" w:rsidRDefault="00776316">
            <w:pPr>
              <w:jc w:val="right"/>
              <w:rPr>
                <w:sz w:val="16"/>
                <w:szCs w:val="16"/>
              </w:rPr>
            </w:pPr>
            <w:r>
              <w:rPr>
                <w:sz w:val="16"/>
                <w:szCs w:val="16"/>
              </w:rPr>
              <w:t>12.9</w:t>
            </w:r>
          </w:p>
        </w:tc>
        <w:tc>
          <w:tcPr>
            <w:tcW w:w="540" w:type="dxa"/>
            <w:tcBorders>
              <w:top w:val="single" w:sz="4" w:space="0" w:color="auto"/>
              <w:left w:val="single" w:sz="4" w:space="0" w:color="auto"/>
              <w:bottom w:val="single" w:sz="4" w:space="0" w:color="auto"/>
              <w:right w:val="single" w:sz="4" w:space="0" w:color="auto"/>
            </w:tcBorders>
            <w:vAlign w:val="bottom"/>
            <w:hideMark/>
          </w:tcPr>
          <w:p w14:paraId="5FAD42B5" w14:textId="77777777" w:rsidR="00776316" w:rsidRDefault="00776316">
            <w:pPr>
              <w:jc w:val="right"/>
              <w:rPr>
                <w:sz w:val="16"/>
                <w:szCs w:val="16"/>
              </w:rPr>
            </w:pPr>
            <w:r>
              <w:rPr>
                <w:sz w:val="16"/>
                <w:szCs w:val="16"/>
              </w:rPr>
              <w:t>13.8</w:t>
            </w:r>
          </w:p>
        </w:tc>
        <w:tc>
          <w:tcPr>
            <w:tcW w:w="540" w:type="dxa"/>
            <w:tcBorders>
              <w:top w:val="single" w:sz="4" w:space="0" w:color="auto"/>
              <w:left w:val="single" w:sz="4" w:space="0" w:color="auto"/>
              <w:bottom w:val="single" w:sz="4" w:space="0" w:color="auto"/>
              <w:right w:val="single" w:sz="4" w:space="0" w:color="auto"/>
            </w:tcBorders>
            <w:hideMark/>
          </w:tcPr>
          <w:p w14:paraId="14E501D5" w14:textId="77777777" w:rsidR="00776316" w:rsidRDefault="00776316">
            <w:pPr>
              <w:jc w:val="right"/>
              <w:rPr>
                <w:sz w:val="16"/>
                <w:szCs w:val="16"/>
              </w:rPr>
            </w:pPr>
            <w:r>
              <w:rPr>
                <w:sz w:val="16"/>
                <w:szCs w:val="16"/>
              </w:rPr>
              <w:t>13.6</w:t>
            </w:r>
          </w:p>
        </w:tc>
        <w:tc>
          <w:tcPr>
            <w:tcW w:w="540" w:type="dxa"/>
            <w:tcBorders>
              <w:top w:val="single" w:sz="4" w:space="0" w:color="auto"/>
              <w:left w:val="single" w:sz="4" w:space="0" w:color="auto"/>
              <w:bottom w:val="single" w:sz="4" w:space="0" w:color="auto"/>
              <w:right w:val="single" w:sz="4" w:space="0" w:color="auto"/>
            </w:tcBorders>
            <w:hideMark/>
          </w:tcPr>
          <w:p w14:paraId="30840752" w14:textId="77777777" w:rsidR="00776316" w:rsidRDefault="00776316">
            <w:pPr>
              <w:jc w:val="right"/>
              <w:rPr>
                <w:sz w:val="16"/>
                <w:szCs w:val="16"/>
              </w:rPr>
            </w:pPr>
            <w:r>
              <w:rPr>
                <w:sz w:val="16"/>
                <w:szCs w:val="16"/>
              </w:rPr>
              <w:t>14</w:t>
            </w:r>
          </w:p>
        </w:tc>
        <w:tc>
          <w:tcPr>
            <w:tcW w:w="540" w:type="dxa"/>
            <w:tcBorders>
              <w:top w:val="single" w:sz="4" w:space="0" w:color="auto"/>
              <w:left w:val="single" w:sz="4" w:space="0" w:color="auto"/>
              <w:bottom w:val="single" w:sz="4" w:space="0" w:color="auto"/>
              <w:right w:val="single" w:sz="4" w:space="0" w:color="auto"/>
            </w:tcBorders>
            <w:hideMark/>
          </w:tcPr>
          <w:p w14:paraId="54199E71" w14:textId="77777777" w:rsidR="00776316" w:rsidRDefault="00776316">
            <w:pPr>
              <w:snapToGrid w:val="0"/>
              <w:jc w:val="right"/>
              <w:rPr>
                <w:sz w:val="16"/>
                <w:szCs w:val="16"/>
              </w:rPr>
            </w:pPr>
            <w:r>
              <w:rPr>
                <w:sz w:val="16"/>
                <w:szCs w:val="16"/>
              </w:rPr>
              <w:t>11.7</w:t>
            </w:r>
          </w:p>
        </w:tc>
        <w:tc>
          <w:tcPr>
            <w:tcW w:w="704" w:type="dxa"/>
            <w:tcBorders>
              <w:top w:val="single" w:sz="4" w:space="0" w:color="auto"/>
              <w:left w:val="single" w:sz="4" w:space="0" w:color="auto"/>
              <w:bottom w:val="single" w:sz="4" w:space="0" w:color="auto"/>
              <w:right w:val="single" w:sz="4" w:space="0" w:color="auto"/>
            </w:tcBorders>
            <w:hideMark/>
          </w:tcPr>
          <w:p w14:paraId="75E04417" w14:textId="77777777" w:rsidR="00776316" w:rsidRDefault="00776316">
            <w:pPr>
              <w:snapToGrid w:val="0"/>
              <w:jc w:val="center"/>
              <w:rPr>
                <w:sz w:val="16"/>
                <w:szCs w:val="16"/>
              </w:rPr>
            </w:pPr>
            <w:r>
              <w:rPr>
                <w:sz w:val="16"/>
                <w:szCs w:val="16"/>
              </w:rPr>
              <w:t>11.6</w:t>
            </w:r>
          </w:p>
        </w:tc>
        <w:tc>
          <w:tcPr>
            <w:tcW w:w="630" w:type="dxa"/>
            <w:tcBorders>
              <w:top w:val="single" w:sz="4" w:space="0" w:color="auto"/>
              <w:left w:val="single" w:sz="4" w:space="0" w:color="auto"/>
              <w:bottom w:val="single" w:sz="4" w:space="0" w:color="auto"/>
              <w:right w:val="single" w:sz="4" w:space="0" w:color="auto"/>
            </w:tcBorders>
            <w:hideMark/>
          </w:tcPr>
          <w:p w14:paraId="37A12DE7" w14:textId="77777777" w:rsidR="00776316" w:rsidRDefault="00776316">
            <w:pPr>
              <w:snapToGrid w:val="0"/>
              <w:jc w:val="center"/>
              <w:rPr>
                <w:sz w:val="16"/>
                <w:szCs w:val="16"/>
              </w:rPr>
            </w:pPr>
            <w:r>
              <w:rPr>
                <w:sz w:val="16"/>
                <w:szCs w:val="16"/>
              </w:rPr>
              <w:t>9.3</w:t>
            </w:r>
          </w:p>
        </w:tc>
        <w:tc>
          <w:tcPr>
            <w:tcW w:w="567" w:type="dxa"/>
            <w:tcBorders>
              <w:top w:val="single" w:sz="4" w:space="0" w:color="auto"/>
              <w:left w:val="single" w:sz="4" w:space="0" w:color="auto"/>
              <w:bottom w:val="single" w:sz="4" w:space="0" w:color="auto"/>
              <w:right w:val="single" w:sz="4" w:space="0" w:color="auto"/>
            </w:tcBorders>
            <w:hideMark/>
          </w:tcPr>
          <w:p w14:paraId="3D6AC106" w14:textId="77777777" w:rsidR="00776316" w:rsidRDefault="00776316">
            <w:pPr>
              <w:snapToGrid w:val="0"/>
              <w:jc w:val="center"/>
              <w:rPr>
                <w:sz w:val="16"/>
                <w:szCs w:val="16"/>
              </w:rPr>
            </w:pPr>
            <w:r>
              <w:rPr>
                <w:sz w:val="16"/>
                <w:szCs w:val="16"/>
              </w:rPr>
              <w:t>8.4</w:t>
            </w:r>
          </w:p>
        </w:tc>
        <w:tc>
          <w:tcPr>
            <w:tcW w:w="591" w:type="dxa"/>
            <w:tcBorders>
              <w:top w:val="single" w:sz="4" w:space="0" w:color="auto"/>
              <w:left w:val="single" w:sz="4" w:space="0" w:color="auto"/>
              <w:bottom w:val="single" w:sz="4" w:space="0" w:color="auto"/>
              <w:right w:val="single" w:sz="4" w:space="0" w:color="auto"/>
            </w:tcBorders>
            <w:hideMark/>
          </w:tcPr>
          <w:p w14:paraId="437BCF4F" w14:textId="77777777" w:rsidR="00776316" w:rsidRDefault="00776316">
            <w:pPr>
              <w:snapToGrid w:val="0"/>
              <w:jc w:val="center"/>
              <w:rPr>
                <w:sz w:val="16"/>
                <w:szCs w:val="16"/>
              </w:rPr>
            </w:pPr>
            <w:r>
              <w:rPr>
                <w:sz w:val="16"/>
                <w:szCs w:val="16"/>
              </w:rPr>
              <w:t>g/dL</w:t>
            </w:r>
          </w:p>
        </w:tc>
      </w:tr>
      <w:tr w:rsidR="00776316" w14:paraId="7FFE3166"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6FA714CE" w14:textId="77777777" w:rsidR="00776316" w:rsidRDefault="00776316">
            <w:pPr>
              <w:rPr>
                <w:sz w:val="16"/>
                <w:szCs w:val="16"/>
              </w:rPr>
            </w:pPr>
            <w:r>
              <w:rPr>
                <w:sz w:val="16"/>
                <w:szCs w:val="16"/>
              </w:rPr>
              <w:t>HCT</w:t>
            </w:r>
          </w:p>
        </w:tc>
        <w:tc>
          <w:tcPr>
            <w:tcW w:w="673" w:type="dxa"/>
            <w:tcBorders>
              <w:top w:val="single" w:sz="4" w:space="0" w:color="auto"/>
              <w:left w:val="single" w:sz="4" w:space="0" w:color="auto"/>
              <w:bottom w:val="single" w:sz="4" w:space="0" w:color="auto"/>
              <w:right w:val="single" w:sz="4" w:space="0" w:color="auto"/>
            </w:tcBorders>
            <w:hideMark/>
          </w:tcPr>
          <w:p w14:paraId="77D61FBD" w14:textId="77777777" w:rsidR="00776316" w:rsidRDefault="00776316">
            <w:pPr>
              <w:jc w:val="right"/>
              <w:rPr>
                <w:sz w:val="16"/>
                <w:szCs w:val="16"/>
              </w:rPr>
            </w:pPr>
            <w:r>
              <w:rPr>
                <w:sz w:val="16"/>
                <w:szCs w:val="16"/>
              </w:rPr>
              <w:t>26.2</w:t>
            </w:r>
          </w:p>
        </w:tc>
        <w:tc>
          <w:tcPr>
            <w:tcW w:w="709" w:type="dxa"/>
            <w:tcBorders>
              <w:top w:val="single" w:sz="4" w:space="0" w:color="auto"/>
              <w:left w:val="single" w:sz="4" w:space="0" w:color="auto"/>
              <w:bottom w:val="single" w:sz="4" w:space="0" w:color="auto"/>
              <w:right w:val="single" w:sz="4" w:space="0" w:color="auto"/>
            </w:tcBorders>
            <w:hideMark/>
          </w:tcPr>
          <w:p w14:paraId="6C8C8E11" w14:textId="77777777" w:rsidR="00776316" w:rsidRDefault="00776316">
            <w:pPr>
              <w:jc w:val="right"/>
              <w:rPr>
                <w:sz w:val="16"/>
                <w:szCs w:val="16"/>
              </w:rPr>
            </w:pPr>
            <w:r>
              <w:rPr>
                <w:sz w:val="16"/>
                <w:szCs w:val="16"/>
              </w:rPr>
              <w:t>27.8</w:t>
            </w:r>
          </w:p>
        </w:tc>
        <w:tc>
          <w:tcPr>
            <w:tcW w:w="623" w:type="dxa"/>
            <w:tcBorders>
              <w:top w:val="single" w:sz="4" w:space="0" w:color="auto"/>
              <w:left w:val="single" w:sz="4" w:space="0" w:color="auto"/>
              <w:bottom w:val="single" w:sz="4" w:space="0" w:color="auto"/>
              <w:right w:val="single" w:sz="4" w:space="0" w:color="auto"/>
            </w:tcBorders>
            <w:hideMark/>
          </w:tcPr>
          <w:p w14:paraId="67331E7B" w14:textId="77777777" w:rsidR="00776316" w:rsidRDefault="00776316">
            <w:pPr>
              <w:jc w:val="right"/>
              <w:rPr>
                <w:sz w:val="16"/>
                <w:szCs w:val="16"/>
              </w:rPr>
            </w:pPr>
            <w:r>
              <w:rPr>
                <w:sz w:val="16"/>
                <w:szCs w:val="16"/>
              </w:rPr>
              <w:t>25.6</w:t>
            </w:r>
          </w:p>
        </w:tc>
        <w:tc>
          <w:tcPr>
            <w:tcW w:w="630" w:type="dxa"/>
            <w:tcBorders>
              <w:top w:val="single" w:sz="4" w:space="0" w:color="auto"/>
              <w:left w:val="single" w:sz="4" w:space="0" w:color="auto"/>
              <w:bottom w:val="single" w:sz="4" w:space="0" w:color="auto"/>
              <w:right w:val="single" w:sz="4" w:space="0" w:color="auto"/>
            </w:tcBorders>
            <w:hideMark/>
          </w:tcPr>
          <w:p w14:paraId="2F253BB6" w14:textId="77777777" w:rsidR="00776316" w:rsidRDefault="00776316">
            <w:pPr>
              <w:jc w:val="right"/>
              <w:rPr>
                <w:sz w:val="16"/>
                <w:szCs w:val="16"/>
              </w:rPr>
            </w:pPr>
            <w:r>
              <w:rPr>
                <w:sz w:val="16"/>
                <w:szCs w:val="16"/>
              </w:rPr>
              <w:t>28.2</w:t>
            </w:r>
          </w:p>
        </w:tc>
        <w:tc>
          <w:tcPr>
            <w:tcW w:w="630" w:type="dxa"/>
            <w:tcBorders>
              <w:top w:val="single" w:sz="4" w:space="0" w:color="auto"/>
              <w:left w:val="single" w:sz="4" w:space="0" w:color="auto"/>
              <w:bottom w:val="single" w:sz="4" w:space="0" w:color="auto"/>
              <w:right w:val="single" w:sz="4" w:space="0" w:color="auto"/>
            </w:tcBorders>
            <w:vAlign w:val="bottom"/>
            <w:hideMark/>
          </w:tcPr>
          <w:p w14:paraId="42708597" w14:textId="77777777" w:rsidR="00776316" w:rsidRDefault="00776316">
            <w:pPr>
              <w:jc w:val="right"/>
              <w:rPr>
                <w:sz w:val="16"/>
                <w:szCs w:val="16"/>
              </w:rPr>
            </w:pPr>
            <w:r>
              <w:rPr>
                <w:sz w:val="16"/>
                <w:szCs w:val="16"/>
              </w:rPr>
              <w:t>30.5</w:t>
            </w:r>
          </w:p>
        </w:tc>
        <w:tc>
          <w:tcPr>
            <w:tcW w:w="630" w:type="dxa"/>
            <w:tcBorders>
              <w:top w:val="single" w:sz="4" w:space="0" w:color="auto"/>
              <w:left w:val="single" w:sz="4" w:space="0" w:color="auto"/>
              <w:bottom w:val="single" w:sz="4" w:space="0" w:color="auto"/>
              <w:right w:val="single" w:sz="4" w:space="0" w:color="auto"/>
            </w:tcBorders>
            <w:vAlign w:val="bottom"/>
            <w:hideMark/>
          </w:tcPr>
          <w:p w14:paraId="71C1CED7" w14:textId="77777777" w:rsidR="00776316" w:rsidRDefault="00776316">
            <w:pPr>
              <w:jc w:val="right"/>
              <w:rPr>
                <w:sz w:val="16"/>
                <w:szCs w:val="16"/>
              </w:rPr>
            </w:pPr>
            <w:r>
              <w:rPr>
                <w:sz w:val="16"/>
                <w:szCs w:val="16"/>
              </w:rPr>
              <w:t>37.5</w:t>
            </w:r>
          </w:p>
        </w:tc>
        <w:tc>
          <w:tcPr>
            <w:tcW w:w="540" w:type="dxa"/>
            <w:tcBorders>
              <w:top w:val="single" w:sz="4" w:space="0" w:color="auto"/>
              <w:left w:val="single" w:sz="4" w:space="0" w:color="auto"/>
              <w:bottom w:val="single" w:sz="4" w:space="0" w:color="auto"/>
              <w:right w:val="single" w:sz="4" w:space="0" w:color="auto"/>
            </w:tcBorders>
            <w:vAlign w:val="bottom"/>
            <w:hideMark/>
          </w:tcPr>
          <w:p w14:paraId="3328F7E8" w14:textId="77777777" w:rsidR="00776316" w:rsidRDefault="00776316">
            <w:pPr>
              <w:jc w:val="right"/>
              <w:rPr>
                <w:sz w:val="16"/>
                <w:szCs w:val="16"/>
              </w:rPr>
            </w:pPr>
            <w:r>
              <w:rPr>
                <w:sz w:val="16"/>
                <w:szCs w:val="16"/>
              </w:rPr>
              <w:t>38.8</w:t>
            </w:r>
          </w:p>
        </w:tc>
        <w:tc>
          <w:tcPr>
            <w:tcW w:w="630" w:type="dxa"/>
            <w:tcBorders>
              <w:top w:val="single" w:sz="4" w:space="0" w:color="auto"/>
              <w:left w:val="single" w:sz="4" w:space="0" w:color="auto"/>
              <w:bottom w:val="single" w:sz="4" w:space="0" w:color="auto"/>
              <w:right w:val="single" w:sz="4" w:space="0" w:color="auto"/>
            </w:tcBorders>
            <w:vAlign w:val="bottom"/>
            <w:hideMark/>
          </w:tcPr>
          <w:p w14:paraId="45BB450A" w14:textId="77777777" w:rsidR="00776316" w:rsidRDefault="00776316">
            <w:pPr>
              <w:jc w:val="right"/>
              <w:rPr>
                <w:sz w:val="16"/>
                <w:szCs w:val="16"/>
              </w:rPr>
            </w:pPr>
            <w:r>
              <w:rPr>
                <w:sz w:val="16"/>
                <w:szCs w:val="16"/>
              </w:rPr>
              <w:t>37.3</w:t>
            </w:r>
          </w:p>
        </w:tc>
        <w:tc>
          <w:tcPr>
            <w:tcW w:w="540" w:type="dxa"/>
            <w:tcBorders>
              <w:top w:val="single" w:sz="4" w:space="0" w:color="auto"/>
              <w:left w:val="single" w:sz="4" w:space="0" w:color="auto"/>
              <w:bottom w:val="single" w:sz="4" w:space="0" w:color="auto"/>
              <w:right w:val="single" w:sz="4" w:space="0" w:color="auto"/>
            </w:tcBorders>
            <w:vAlign w:val="bottom"/>
            <w:hideMark/>
          </w:tcPr>
          <w:p w14:paraId="3C546E98" w14:textId="77777777" w:rsidR="00776316" w:rsidRDefault="00776316">
            <w:pPr>
              <w:jc w:val="right"/>
              <w:rPr>
                <w:sz w:val="16"/>
                <w:szCs w:val="16"/>
              </w:rPr>
            </w:pPr>
            <w:r>
              <w:rPr>
                <w:sz w:val="16"/>
                <w:szCs w:val="16"/>
              </w:rPr>
              <w:t>39.2</w:t>
            </w:r>
          </w:p>
        </w:tc>
        <w:tc>
          <w:tcPr>
            <w:tcW w:w="540" w:type="dxa"/>
            <w:tcBorders>
              <w:top w:val="single" w:sz="4" w:space="0" w:color="auto"/>
              <w:left w:val="single" w:sz="4" w:space="0" w:color="auto"/>
              <w:bottom w:val="single" w:sz="4" w:space="0" w:color="auto"/>
              <w:right w:val="single" w:sz="4" w:space="0" w:color="auto"/>
            </w:tcBorders>
            <w:hideMark/>
          </w:tcPr>
          <w:p w14:paraId="0E238E85" w14:textId="77777777" w:rsidR="00776316" w:rsidRDefault="00776316">
            <w:pPr>
              <w:jc w:val="right"/>
              <w:rPr>
                <w:sz w:val="16"/>
                <w:szCs w:val="16"/>
              </w:rPr>
            </w:pPr>
            <w:r>
              <w:rPr>
                <w:sz w:val="16"/>
                <w:szCs w:val="16"/>
              </w:rPr>
              <w:t>40.1</w:t>
            </w:r>
          </w:p>
        </w:tc>
        <w:tc>
          <w:tcPr>
            <w:tcW w:w="540" w:type="dxa"/>
            <w:tcBorders>
              <w:top w:val="single" w:sz="4" w:space="0" w:color="auto"/>
              <w:left w:val="single" w:sz="4" w:space="0" w:color="auto"/>
              <w:bottom w:val="single" w:sz="4" w:space="0" w:color="auto"/>
              <w:right w:val="single" w:sz="4" w:space="0" w:color="auto"/>
            </w:tcBorders>
            <w:hideMark/>
          </w:tcPr>
          <w:p w14:paraId="051F3ADE" w14:textId="77777777" w:rsidR="00776316" w:rsidRDefault="00776316">
            <w:pPr>
              <w:jc w:val="right"/>
              <w:rPr>
                <w:sz w:val="16"/>
                <w:szCs w:val="16"/>
              </w:rPr>
            </w:pPr>
            <w:r>
              <w:rPr>
                <w:sz w:val="16"/>
                <w:szCs w:val="16"/>
              </w:rPr>
              <w:t>40.7</w:t>
            </w:r>
          </w:p>
        </w:tc>
        <w:tc>
          <w:tcPr>
            <w:tcW w:w="540" w:type="dxa"/>
            <w:tcBorders>
              <w:top w:val="single" w:sz="4" w:space="0" w:color="auto"/>
              <w:left w:val="single" w:sz="4" w:space="0" w:color="auto"/>
              <w:bottom w:val="single" w:sz="4" w:space="0" w:color="auto"/>
              <w:right w:val="single" w:sz="4" w:space="0" w:color="auto"/>
            </w:tcBorders>
            <w:hideMark/>
          </w:tcPr>
          <w:p w14:paraId="1A22131E" w14:textId="77777777" w:rsidR="00776316" w:rsidRDefault="00776316">
            <w:pPr>
              <w:snapToGrid w:val="0"/>
              <w:jc w:val="right"/>
              <w:rPr>
                <w:sz w:val="16"/>
                <w:szCs w:val="16"/>
              </w:rPr>
            </w:pPr>
            <w:r>
              <w:rPr>
                <w:sz w:val="16"/>
                <w:szCs w:val="16"/>
              </w:rPr>
              <w:t>33.4</w:t>
            </w:r>
          </w:p>
        </w:tc>
        <w:tc>
          <w:tcPr>
            <w:tcW w:w="704" w:type="dxa"/>
            <w:tcBorders>
              <w:top w:val="single" w:sz="4" w:space="0" w:color="auto"/>
              <w:left w:val="single" w:sz="4" w:space="0" w:color="auto"/>
              <w:bottom w:val="single" w:sz="4" w:space="0" w:color="auto"/>
              <w:right w:val="single" w:sz="4" w:space="0" w:color="auto"/>
            </w:tcBorders>
            <w:hideMark/>
          </w:tcPr>
          <w:p w14:paraId="28442FC8" w14:textId="77777777" w:rsidR="00776316" w:rsidRDefault="00776316">
            <w:pPr>
              <w:snapToGrid w:val="0"/>
              <w:jc w:val="center"/>
              <w:rPr>
                <w:sz w:val="16"/>
                <w:szCs w:val="16"/>
              </w:rPr>
            </w:pPr>
            <w:r>
              <w:rPr>
                <w:sz w:val="16"/>
                <w:szCs w:val="16"/>
              </w:rPr>
              <w:t>33.6</w:t>
            </w:r>
          </w:p>
        </w:tc>
        <w:tc>
          <w:tcPr>
            <w:tcW w:w="630" w:type="dxa"/>
            <w:tcBorders>
              <w:top w:val="single" w:sz="4" w:space="0" w:color="auto"/>
              <w:left w:val="single" w:sz="4" w:space="0" w:color="auto"/>
              <w:bottom w:val="single" w:sz="4" w:space="0" w:color="auto"/>
              <w:right w:val="single" w:sz="4" w:space="0" w:color="auto"/>
            </w:tcBorders>
            <w:hideMark/>
          </w:tcPr>
          <w:p w14:paraId="5AE9C2E1" w14:textId="77777777" w:rsidR="00776316" w:rsidRDefault="00776316">
            <w:pPr>
              <w:snapToGrid w:val="0"/>
              <w:jc w:val="center"/>
              <w:rPr>
                <w:sz w:val="16"/>
                <w:szCs w:val="16"/>
              </w:rPr>
            </w:pPr>
            <w:r>
              <w:rPr>
                <w:sz w:val="16"/>
                <w:szCs w:val="16"/>
              </w:rPr>
              <w:t>27.1</w:t>
            </w:r>
          </w:p>
        </w:tc>
        <w:tc>
          <w:tcPr>
            <w:tcW w:w="567" w:type="dxa"/>
            <w:tcBorders>
              <w:top w:val="single" w:sz="4" w:space="0" w:color="auto"/>
              <w:left w:val="single" w:sz="4" w:space="0" w:color="auto"/>
              <w:bottom w:val="single" w:sz="4" w:space="0" w:color="auto"/>
              <w:right w:val="single" w:sz="4" w:space="0" w:color="auto"/>
            </w:tcBorders>
            <w:hideMark/>
          </w:tcPr>
          <w:p w14:paraId="54E6068E" w14:textId="77777777" w:rsidR="00776316" w:rsidRDefault="00776316">
            <w:pPr>
              <w:snapToGrid w:val="0"/>
              <w:jc w:val="center"/>
              <w:rPr>
                <w:sz w:val="16"/>
                <w:szCs w:val="16"/>
              </w:rPr>
            </w:pPr>
            <w:r>
              <w:rPr>
                <w:sz w:val="16"/>
                <w:szCs w:val="16"/>
              </w:rPr>
              <w:t>24.8</w:t>
            </w:r>
          </w:p>
        </w:tc>
        <w:tc>
          <w:tcPr>
            <w:tcW w:w="591" w:type="dxa"/>
            <w:tcBorders>
              <w:top w:val="single" w:sz="4" w:space="0" w:color="auto"/>
              <w:left w:val="single" w:sz="4" w:space="0" w:color="auto"/>
              <w:bottom w:val="single" w:sz="4" w:space="0" w:color="auto"/>
              <w:right w:val="single" w:sz="4" w:space="0" w:color="auto"/>
            </w:tcBorders>
            <w:hideMark/>
          </w:tcPr>
          <w:p w14:paraId="1796671B" w14:textId="77777777" w:rsidR="00776316" w:rsidRDefault="00776316">
            <w:pPr>
              <w:snapToGrid w:val="0"/>
              <w:jc w:val="center"/>
              <w:rPr>
                <w:sz w:val="16"/>
                <w:szCs w:val="16"/>
              </w:rPr>
            </w:pPr>
            <w:r>
              <w:rPr>
                <w:sz w:val="16"/>
                <w:szCs w:val="16"/>
              </w:rPr>
              <w:t>%</w:t>
            </w:r>
          </w:p>
        </w:tc>
      </w:tr>
      <w:tr w:rsidR="00776316" w14:paraId="7A7634E0" w14:textId="77777777" w:rsidTr="00776316">
        <w:trPr>
          <w:trHeight w:val="195"/>
          <w:jc w:val="center"/>
        </w:trPr>
        <w:tc>
          <w:tcPr>
            <w:tcW w:w="1153" w:type="dxa"/>
            <w:tcBorders>
              <w:top w:val="single" w:sz="4" w:space="0" w:color="auto"/>
              <w:left w:val="single" w:sz="4" w:space="0" w:color="auto"/>
              <w:bottom w:val="single" w:sz="4" w:space="0" w:color="auto"/>
              <w:right w:val="single" w:sz="4" w:space="0" w:color="auto"/>
            </w:tcBorders>
            <w:hideMark/>
          </w:tcPr>
          <w:p w14:paraId="55BA17E8" w14:textId="77777777" w:rsidR="00776316" w:rsidRDefault="00776316">
            <w:pPr>
              <w:rPr>
                <w:sz w:val="16"/>
                <w:szCs w:val="16"/>
              </w:rPr>
            </w:pPr>
            <w:r>
              <w:rPr>
                <w:sz w:val="16"/>
                <w:szCs w:val="16"/>
              </w:rPr>
              <w:t>MCV</w:t>
            </w:r>
          </w:p>
        </w:tc>
        <w:tc>
          <w:tcPr>
            <w:tcW w:w="673" w:type="dxa"/>
            <w:tcBorders>
              <w:top w:val="single" w:sz="4" w:space="0" w:color="auto"/>
              <w:left w:val="single" w:sz="4" w:space="0" w:color="auto"/>
              <w:bottom w:val="single" w:sz="4" w:space="0" w:color="auto"/>
              <w:right w:val="single" w:sz="4" w:space="0" w:color="auto"/>
            </w:tcBorders>
            <w:hideMark/>
          </w:tcPr>
          <w:p w14:paraId="5F33F0E0" w14:textId="77777777" w:rsidR="00776316" w:rsidRDefault="00776316">
            <w:pPr>
              <w:jc w:val="right"/>
              <w:rPr>
                <w:sz w:val="16"/>
                <w:szCs w:val="16"/>
              </w:rPr>
            </w:pPr>
            <w:r>
              <w:rPr>
                <w:sz w:val="16"/>
                <w:szCs w:val="16"/>
              </w:rPr>
              <w:t>103.6</w:t>
            </w:r>
          </w:p>
        </w:tc>
        <w:tc>
          <w:tcPr>
            <w:tcW w:w="709" w:type="dxa"/>
            <w:tcBorders>
              <w:top w:val="single" w:sz="4" w:space="0" w:color="auto"/>
              <w:left w:val="single" w:sz="4" w:space="0" w:color="auto"/>
              <w:bottom w:val="single" w:sz="4" w:space="0" w:color="auto"/>
              <w:right w:val="single" w:sz="4" w:space="0" w:color="auto"/>
            </w:tcBorders>
            <w:hideMark/>
          </w:tcPr>
          <w:p w14:paraId="66ACBA28" w14:textId="77777777" w:rsidR="00776316" w:rsidRDefault="00776316">
            <w:pPr>
              <w:jc w:val="right"/>
              <w:rPr>
                <w:sz w:val="16"/>
                <w:szCs w:val="16"/>
              </w:rPr>
            </w:pPr>
            <w:r>
              <w:rPr>
                <w:sz w:val="16"/>
                <w:szCs w:val="16"/>
              </w:rPr>
              <w:t>106.5</w:t>
            </w:r>
          </w:p>
        </w:tc>
        <w:tc>
          <w:tcPr>
            <w:tcW w:w="623" w:type="dxa"/>
            <w:tcBorders>
              <w:top w:val="single" w:sz="4" w:space="0" w:color="auto"/>
              <w:left w:val="single" w:sz="4" w:space="0" w:color="auto"/>
              <w:bottom w:val="single" w:sz="4" w:space="0" w:color="auto"/>
              <w:right w:val="single" w:sz="4" w:space="0" w:color="auto"/>
            </w:tcBorders>
            <w:hideMark/>
          </w:tcPr>
          <w:p w14:paraId="0B6E893F" w14:textId="77777777" w:rsidR="00776316" w:rsidRDefault="00776316">
            <w:pPr>
              <w:jc w:val="right"/>
              <w:rPr>
                <w:sz w:val="16"/>
                <w:szCs w:val="16"/>
              </w:rPr>
            </w:pPr>
            <w:r>
              <w:rPr>
                <w:sz w:val="16"/>
                <w:szCs w:val="16"/>
              </w:rPr>
              <w:t>104.5</w:t>
            </w:r>
          </w:p>
        </w:tc>
        <w:tc>
          <w:tcPr>
            <w:tcW w:w="630" w:type="dxa"/>
            <w:tcBorders>
              <w:top w:val="single" w:sz="4" w:space="0" w:color="auto"/>
              <w:left w:val="single" w:sz="4" w:space="0" w:color="auto"/>
              <w:bottom w:val="single" w:sz="4" w:space="0" w:color="auto"/>
              <w:right w:val="single" w:sz="4" w:space="0" w:color="auto"/>
            </w:tcBorders>
            <w:hideMark/>
          </w:tcPr>
          <w:p w14:paraId="2A93DAE7" w14:textId="77777777" w:rsidR="00776316" w:rsidRDefault="00776316">
            <w:pPr>
              <w:jc w:val="right"/>
              <w:rPr>
                <w:sz w:val="16"/>
                <w:szCs w:val="16"/>
              </w:rPr>
            </w:pPr>
            <w:r>
              <w:rPr>
                <w:sz w:val="16"/>
                <w:szCs w:val="16"/>
              </w:rPr>
              <w:t>110.6</w:t>
            </w:r>
          </w:p>
        </w:tc>
        <w:tc>
          <w:tcPr>
            <w:tcW w:w="630" w:type="dxa"/>
            <w:tcBorders>
              <w:top w:val="single" w:sz="4" w:space="0" w:color="auto"/>
              <w:left w:val="single" w:sz="4" w:space="0" w:color="auto"/>
              <w:bottom w:val="single" w:sz="4" w:space="0" w:color="auto"/>
              <w:right w:val="single" w:sz="4" w:space="0" w:color="auto"/>
            </w:tcBorders>
            <w:vAlign w:val="bottom"/>
            <w:hideMark/>
          </w:tcPr>
          <w:p w14:paraId="05419F6C" w14:textId="77777777" w:rsidR="00776316" w:rsidRDefault="00776316">
            <w:pPr>
              <w:jc w:val="right"/>
              <w:rPr>
                <w:sz w:val="16"/>
                <w:szCs w:val="16"/>
              </w:rPr>
            </w:pPr>
            <w:r>
              <w:rPr>
                <w:sz w:val="16"/>
                <w:szCs w:val="16"/>
              </w:rPr>
              <w:t>117.8</w:t>
            </w:r>
          </w:p>
        </w:tc>
        <w:tc>
          <w:tcPr>
            <w:tcW w:w="630" w:type="dxa"/>
            <w:tcBorders>
              <w:top w:val="single" w:sz="4" w:space="0" w:color="auto"/>
              <w:left w:val="single" w:sz="4" w:space="0" w:color="auto"/>
              <w:bottom w:val="single" w:sz="4" w:space="0" w:color="auto"/>
              <w:right w:val="single" w:sz="4" w:space="0" w:color="auto"/>
            </w:tcBorders>
            <w:vAlign w:val="bottom"/>
            <w:hideMark/>
          </w:tcPr>
          <w:p w14:paraId="418D9AFF" w14:textId="77777777" w:rsidR="00776316" w:rsidRDefault="00776316">
            <w:pPr>
              <w:jc w:val="right"/>
              <w:rPr>
                <w:sz w:val="16"/>
                <w:szCs w:val="16"/>
              </w:rPr>
            </w:pPr>
            <w:r>
              <w:rPr>
                <w:sz w:val="16"/>
                <w:szCs w:val="16"/>
              </w:rPr>
              <w:t>113.3</w:t>
            </w:r>
          </w:p>
        </w:tc>
        <w:tc>
          <w:tcPr>
            <w:tcW w:w="540" w:type="dxa"/>
            <w:tcBorders>
              <w:top w:val="single" w:sz="4" w:space="0" w:color="auto"/>
              <w:left w:val="single" w:sz="4" w:space="0" w:color="auto"/>
              <w:bottom w:val="single" w:sz="4" w:space="0" w:color="auto"/>
              <w:right w:val="single" w:sz="4" w:space="0" w:color="auto"/>
            </w:tcBorders>
            <w:vAlign w:val="bottom"/>
            <w:hideMark/>
          </w:tcPr>
          <w:p w14:paraId="707FFB48" w14:textId="77777777" w:rsidR="00776316" w:rsidRDefault="00776316">
            <w:pPr>
              <w:jc w:val="right"/>
              <w:rPr>
                <w:sz w:val="16"/>
                <w:szCs w:val="16"/>
              </w:rPr>
            </w:pPr>
            <w:r>
              <w:rPr>
                <w:sz w:val="16"/>
                <w:szCs w:val="16"/>
              </w:rPr>
              <w:t>106</w:t>
            </w:r>
          </w:p>
        </w:tc>
        <w:tc>
          <w:tcPr>
            <w:tcW w:w="630" w:type="dxa"/>
            <w:tcBorders>
              <w:top w:val="single" w:sz="4" w:space="0" w:color="auto"/>
              <w:left w:val="single" w:sz="4" w:space="0" w:color="auto"/>
              <w:bottom w:val="single" w:sz="4" w:space="0" w:color="auto"/>
              <w:right w:val="single" w:sz="4" w:space="0" w:color="auto"/>
            </w:tcBorders>
            <w:vAlign w:val="bottom"/>
            <w:hideMark/>
          </w:tcPr>
          <w:p w14:paraId="78D7E068" w14:textId="77777777" w:rsidR="00776316" w:rsidRDefault="00776316">
            <w:pPr>
              <w:jc w:val="right"/>
              <w:rPr>
                <w:sz w:val="16"/>
                <w:szCs w:val="16"/>
              </w:rPr>
            </w:pPr>
            <w:r>
              <w:rPr>
                <w:sz w:val="16"/>
                <w:szCs w:val="16"/>
              </w:rPr>
              <w:t>101.9</w:t>
            </w:r>
          </w:p>
        </w:tc>
        <w:tc>
          <w:tcPr>
            <w:tcW w:w="540" w:type="dxa"/>
            <w:tcBorders>
              <w:top w:val="single" w:sz="4" w:space="0" w:color="auto"/>
              <w:left w:val="single" w:sz="4" w:space="0" w:color="auto"/>
              <w:bottom w:val="single" w:sz="4" w:space="0" w:color="auto"/>
              <w:right w:val="single" w:sz="4" w:space="0" w:color="auto"/>
            </w:tcBorders>
            <w:vAlign w:val="bottom"/>
            <w:hideMark/>
          </w:tcPr>
          <w:p w14:paraId="0CC8DB50" w14:textId="77777777" w:rsidR="00776316" w:rsidRDefault="00776316">
            <w:pPr>
              <w:jc w:val="right"/>
              <w:rPr>
                <w:sz w:val="16"/>
                <w:szCs w:val="16"/>
              </w:rPr>
            </w:pPr>
            <w:r>
              <w:rPr>
                <w:sz w:val="16"/>
                <w:szCs w:val="16"/>
              </w:rPr>
              <w:t>98.2</w:t>
            </w:r>
          </w:p>
        </w:tc>
        <w:tc>
          <w:tcPr>
            <w:tcW w:w="540" w:type="dxa"/>
            <w:tcBorders>
              <w:top w:val="single" w:sz="4" w:space="0" w:color="auto"/>
              <w:left w:val="single" w:sz="4" w:space="0" w:color="auto"/>
              <w:bottom w:val="single" w:sz="4" w:space="0" w:color="auto"/>
              <w:right w:val="single" w:sz="4" w:space="0" w:color="auto"/>
            </w:tcBorders>
            <w:hideMark/>
          </w:tcPr>
          <w:p w14:paraId="10924456" w14:textId="77777777" w:rsidR="00776316" w:rsidRDefault="00776316">
            <w:pPr>
              <w:jc w:val="right"/>
              <w:rPr>
                <w:sz w:val="16"/>
                <w:szCs w:val="16"/>
              </w:rPr>
            </w:pPr>
            <w:r>
              <w:rPr>
                <w:sz w:val="16"/>
                <w:szCs w:val="16"/>
              </w:rPr>
              <w:t>99</w:t>
            </w:r>
          </w:p>
        </w:tc>
        <w:tc>
          <w:tcPr>
            <w:tcW w:w="540" w:type="dxa"/>
            <w:tcBorders>
              <w:top w:val="single" w:sz="4" w:space="0" w:color="auto"/>
              <w:left w:val="single" w:sz="4" w:space="0" w:color="auto"/>
              <w:bottom w:val="single" w:sz="4" w:space="0" w:color="auto"/>
              <w:right w:val="single" w:sz="4" w:space="0" w:color="auto"/>
            </w:tcBorders>
            <w:hideMark/>
          </w:tcPr>
          <w:p w14:paraId="56545A87" w14:textId="77777777" w:rsidR="00776316" w:rsidRDefault="00776316">
            <w:pPr>
              <w:jc w:val="right"/>
              <w:rPr>
                <w:sz w:val="16"/>
                <w:szCs w:val="16"/>
              </w:rPr>
            </w:pPr>
            <w:r>
              <w:rPr>
                <w:sz w:val="16"/>
                <w:szCs w:val="16"/>
              </w:rPr>
              <w:t>99</w:t>
            </w:r>
          </w:p>
        </w:tc>
        <w:tc>
          <w:tcPr>
            <w:tcW w:w="540" w:type="dxa"/>
            <w:tcBorders>
              <w:top w:val="single" w:sz="4" w:space="0" w:color="auto"/>
              <w:left w:val="single" w:sz="4" w:space="0" w:color="auto"/>
              <w:bottom w:val="single" w:sz="4" w:space="0" w:color="auto"/>
              <w:right w:val="single" w:sz="4" w:space="0" w:color="auto"/>
            </w:tcBorders>
            <w:hideMark/>
          </w:tcPr>
          <w:p w14:paraId="7D21CB39" w14:textId="77777777" w:rsidR="00776316" w:rsidRDefault="00776316">
            <w:pPr>
              <w:snapToGrid w:val="0"/>
              <w:jc w:val="right"/>
              <w:rPr>
                <w:sz w:val="16"/>
                <w:szCs w:val="16"/>
              </w:rPr>
            </w:pPr>
            <w:r>
              <w:rPr>
                <w:sz w:val="16"/>
                <w:szCs w:val="16"/>
              </w:rPr>
              <w:t>97.7</w:t>
            </w:r>
          </w:p>
        </w:tc>
        <w:tc>
          <w:tcPr>
            <w:tcW w:w="704" w:type="dxa"/>
            <w:tcBorders>
              <w:top w:val="single" w:sz="4" w:space="0" w:color="auto"/>
              <w:left w:val="single" w:sz="4" w:space="0" w:color="auto"/>
              <w:bottom w:val="single" w:sz="4" w:space="0" w:color="auto"/>
              <w:right w:val="single" w:sz="4" w:space="0" w:color="auto"/>
            </w:tcBorders>
            <w:hideMark/>
          </w:tcPr>
          <w:p w14:paraId="147E5647" w14:textId="77777777" w:rsidR="00776316" w:rsidRDefault="00776316">
            <w:pPr>
              <w:snapToGrid w:val="0"/>
              <w:rPr>
                <w:sz w:val="16"/>
                <w:szCs w:val="16"/>
              </w:rPr>
            </w:pPr>
            <w:r>
              <w:rPr>
                <w:sz w:val="16"/>
                <w:szCs w:val="16"/>
              </w:rPr>
              <w:t>101.2</w:t>
            </w:r>
          </w:p>
        </w:tc>
        <w:tc>
          <w:tcPr>
            <w:tcW w:w="630" w:type="dxa"/>
            <w:tcBorders>
              <w:top w:val="single" w:sz="4" w:space="0" w:color="auto"/>
              <w:left w:val="single" w:sz="4" w:space="0" w:color="auto"/>
              <w:bottom w:val="single" w:sz="4" w:space="0" w:color="auto"/>
              <w:right w:val="single" w:sz="4" w:space="0" w:color="auto"/>
            </w:tcBorders>
            <w:hideMark/>
          </w:tcPr>
          <w:p w14:paraId="4DC08BFA" w14:textId="77777777" w:rsidR="00776316" w:rsidRDefault="00776316">
            <w:pPr>
              <w:snapToGrid w:val="0"/>
              <w:rPr>
                <w:sz w:val="16"/>
                <w:szCs w:val="16"/>
              </w:rPr>
            </w:pPr>
            <w:r>
              <w:rPr>
                <w:sz w:val="16"/>
                <w:szCs w:val="16"/>
              </w:rPr>
              <w:t xml:space="preserve"> 94.1</w:t>
            </w:r>
          </w:p>
        </w:tc>
        <w:tc>
          <w:tcPr>
            <w:tcW w:w="567" w:type="dxa"/>
            <w:tcBorders>
              <w:top w:val="single" w:sz="4" w:space="0" w:color="auto"/>
              <w:left w:val="single" w:sz="4" w:space="0" w:color="auto"/>
              <w:bottom w:val="single" w:sz="4" w:space="0" w:color="auto"/>
              <w:right w:val="single" w:sz="4" w:space="0" w:color="auto"/>
            </w:tcBorders>
            <w:hideMark/>
          </w:tcPr>
          <w:p w14:paraId="6EC6D9C6" w14:textId="77777777" w:rsidR="00776316" w:rsidRDefault="00776316">
            <w:pPr>
              <w:snapToGrid w:val="0"/>
              <w:rPr>
                <w:sz w:val="16"/>
                <w:szCs w:val="16"/>
              </w:rPr>
            </w:pPr>
            <w:r>
              <w:rPr>
                <w:sz w:val="16"/>
                <w:szCs w:val="16"/>
              </w:rPr>
              <w:t>92.2</w:t>
            </w:r>
          </w:p>
        </w:tc>
        <w:tc>
          <w:tcPr>
            <w:tcW w:w="591" w:type="dxa"/>
            <w:tcBorders>
              <w:top w:val="single" w:sz="4" w:space="0" w:color="auto"/>
              <w:left w:val="single" w:sz="4" w:space="0" w:color="auto"/>
              <w:bottom w:val="single" w:sz="4" w:space="0" w:color="auto"/>
              <w:right w:val="single" w:sz="4" w:space="0" w:color="auto"/>
            </w:tcBorders>
            <w:hideMark/>
          </w:tcPr>
          <w:p w14:paraId="5D9D669B" w14:textId="77777777" w:rsidR="00776316" w:rsidRDefault="00776316">
            <w:pPr>
              <w:snapToGrid w:val="0"/>
              <w:rPr>
                <w:sz w:val="16"/>
                <w:szCs w:val="16"/>
              </w:rPr>
            </w:pPr>
            <w:r>
              <w:rPr>
                <w:sz w:val="16"/>
                <w:szCs w:val="16"/>
              </w:rPr>
              <w:t xml:space="preserve">    </w:t>
            </w:r>
            <w:proofErr w:type="spellStart"/>
            <w:r>
              <w:rPr>
                <w:sz w:val="16"/>
                <w:szCs w:val="16"/>
              </w:rPr>
              <w:t>fL</w:t>
            </w:r>
            <w:proofErr w:type="spellEnd"/>
          </w:p>
        </w:tc>
      </w:tr>
      <w:tr w:rsidR="00776316" w14:paraId="69651AE5" w14:textId="77777777" w:rsidTr="00776316">
        <w:trPr>
          <w:trHeight w:val="195"/>
          <w:jc w:val="center"/>
        </w:trPr>
        <w:tc>
          <w:tcPr>
            <w:tcW w:w="1153" w:type="dxa"/>
            <w:tcBorders>
              <w:top w:val="single" w:sz="4" w:space="0" w:color="auto"/>
              <w:left w:val="single" w:sz="4" w:space="0" w:color="auto"/>
              <w:bottom w:val="single" w:sz="4" w:space="0" w:color="auto"/>
              <w:right w:val="single" w:sz="4" w:space="0" w:color="auto"/>
            </w:tcBorders>
            <w:hideMark/>
          </w:tcPr>
          <w:p w14:paraId="23D77D26" w14:textId="77777777" w:rsidR="00776316" w:rsidRDefault="00776316">
            <w:pPr>
              <w:rPr>
                <w:sz w:val="16"/>
                <w:szCs w:val="16"/>
              </w:rPr>
            </w:pPr>
            <w:r>
              <w:rPr>
                <w:sz w:val="16"/>
                <w:szCs w:val="16"/>
              </w:rPr>
              <w:t>MCH</w:t>
            </w:r>
          </w:p>
        </w:tc>
        <w:tc>
          <w:tcPr>
            <w:tcW w:w="673" w:type="dxa"/>
            <w:tcBorders>
              <w:top w:val="single" w:sz="4" w:space="0" w:color="auto"/>
              <w:left w:val="single" w:sz="4" w:space="0" w:color="auto"/>
              <w:bottom w:val="single" w:sz="4" w:space="0" w:color="auto"/>
              <w:right w:val="single" w:sz="4" w:space="0" w:color="auto"/>
            </w:tcBorders>
            <w:hideMark/>
          </w:tcPr>
          <w:p w14:paraId="1CE8D361" w14:textId="77777777" w:rsidR="00776316" w:rsidRDefault="00776316">
            <w:pPr>
              <w:jc w:val="right"/>
              <w:rPr>
                <w:sz w:val="16"/>
                <w:szCs w:val="16"/>
              </w:rPr>
            </w:pPr>
            <w:r>
              <w:rPr>
                <w:sz w:val="16"/>
                <w:szCs w:val="16"/>
              </w:rPr>
              <w:t>34</w:t>
            </w:r>
          </w:p>
        </w:tc>
        <w:tc>
          <w:tcPr>
            <w:tcW w:w="709" w:type="dxa"/>
            <w:tcBorders>
              <w:top w:val="single" w:sz="4" w:space="0" w:color="auto"/>
              <w:left w:val="single" w:sz="4" w:space="0" w:color="auto"/>
              <w:bottom w:val="single" w:sz="4" w:space="0" w:color="auto"/>
              <w:right w:val="single" w:sz="4" w:space="0" w:color="auto"/>
            </w:tcBorders>
            <w:hideMark/>
          </w:tcPr>
          <w:p w14:paraId="2B01E909" w14:textId="77777777" w:rsidR="00776316" w:rsidRDefault="00776316">
            <w:pPr>
              <w:jc w:val="right"/>
              <w:rPr>
                <w:sz w:val="16"/>
                <w:szCs w:val="16"/>
              </w:rPr>
            </w:pPr>
            <w:r>
              <w:rPr>
                <w:sz w:val="16"/>
                <w:szCs w:val="16"/>
              </w:rPr>
              <w:t>35.6</w:t>
            </w:r>
          </w:p>
        </w:tc>
        <w:tc>
          <w:tcPr>
            <w:tcW w:w="623" w:type="dxa"/>
            <w:tcBorders>
              <w:top w:val="single" w:sz="4" w:space="0" w:color="auto"/>
              <w:left w:val="single" w:sz="4" w:space="0" w:color="auto"/>
              <w:bottom w:val="single" w:sz="4" w:space="0" w:color="auto"/>
              <w:right w:val="single" w:sz="4" w:space="0" w:color="auto"/>
            </w:tcBorders>
            <w:hideMark/>
          </w:tcPr>
          <w:p w14:paraId="0355CBF9" w14:textId="77777777" w:rsidR="00776316" w:rsidRDefault="00776316">
            <w:pPr>
              <w:jc w:val="right"/>
              <w:rPr>
                <w:sz w:val="16"/>
                <w:szCs w:val="16"/>
              </w:rPr>
            </w:pPr>
            <w:r>
              <w:rPr>
                <w:sz w:val="16"/>
                <w:szCs w:val="16"/>
              </w:rPr>
              <w:t>34.3</w:t>
            </w:r>
          </w:p>
        </w:tc>
        <w:tc>
          <w:tcPr>
            <w:tcW w:w="630" w:type="dxa"/>
            <w:tcBorders>
              <w:top w:val="single" w:sz="4" w:space="0" w:color="auto"/>
              <w:left w:val="single" w:sz="4" w:space="0" w:color="auto"/>
              <w:bottom w:val="single" w:sz="4" w:space="0" w:color="auto"/>
              <w:right w:val="single" w:sz="4" w:space="0" w:color="auto"/>
            </w:tcBorders>
            <w:hideMark/>
          </w:tcPr>
          <w:p w14:paraId="0D7ED0CC" w14:textId="77777777" w:rsidR="00776316" w:rsidRDefault="00776316">
            <w:pPr>
              <w:jc w:val="right"/>
              <w:rPr>
                <w:sz w:val="16"/>
                <w:szCs w:val="16"/>
              </w:rPr>
            </w:pPr>
            <w:r>
              <w:rPr>
                <w:sz w:val="16"/>
                <w:szCs w:val="16"/>
              </w:rPr>
              <w:t>37.6</w:t>
            </w:r>
          </w:p>
        </w:tc>
        <w:tc>
          <w:tcPr>
            <w:tcW w:w="630" w:type="dxa"/>
            <w:tcBorders>
              <w:top w:val="single" w:sz="4" w:space="0" w:color="auto"/>
              <w:left w:val="single" w:sz="4" w:space="0" w:color="auto"/>
              <w:bottom w:val="single" w:sz="4" w:space="0" w:color="auto"/>
              <w:right w:val="single" w:sz="4" w:space="0" w:color="auto"/>
            </w:tcBorders>
            <w:vAlign w:val="bottom"/>
            <w:hideMark/>
          </w:tcPr>
          <w:p w14:paraId="551CE492" w14:textId="77777777" w:rsidR="00776316" w:rsidRDefault="00776316">
            <w:pPr>
              <w:jc w:val="right"/>
              <w:rPr>
                <w:sz w:val="16"/>
                <w:szCs w:val="16"/>
              </w:rPr>
            </w:pPr>
            <w:r>
              <w:rPr>
                <w:sz w:val="16"/>
                <w:szCs w:val="16"/>
              </w:rPr>
              <w:t>40.9</w:t>
            </w:r>
          </w:p>
        </w:tc>
        <w:tc>
          <w:tcPr>
            <w:tcW w:w="630" w:type="dxa"/>
            <w:tcBorders>
              <w:top w:val="single" w:sz="4" w:space="0" w:color="auto"/>
              <w:left w:val="single" w:sz="4" w:space="0" w:color="auto"/>
              <w:bottom w:val="single" w:sz="4" w:space="0" w:color="auto"/>
              <w:right w:val="single" w:sz="4" w:space="0" w:color="auto"/>
            </w:tcBorders>
            <w:vAlign w:val="bottom"/>
            <w:hideMark/>
          </w:tcPr>
          <w:p w14:paraId="5079934C" w14:textId="77777777" w:rsidR="00776316" w:rsidRDefault="00776316">
            <w:pPr>
              <w:jc w:val="right"/>
              <w:rPr>
                <w:sz w:val="16"/>
                <w:szCs w:val="16"/>
              </w:rPr>
            </w:pPr>
            <w:r>
              <w:rPr>
                <w:sz w:val="16"/>
                <w:szCs w:val="16"/>
              </w:rPr>
              <w:t>39.0</w:t>
            </w:r>
          </w:p>
        </w:tc>
        <w:tc>
          <w:tcPr>
            <w:tcW w:w="540" w:type="dxa"/>
            <w:tcBorders>
              <w:top w:val="single" w:sz="4" w:space="0" w:color="auto"/>
              <w:left w:val="single" w:sz="4" w:space="0" w:color="auto"/>
              <w:bottom w:val="single" w:sz="4" w:space="0" w:color="auto"/>
              <w:right w:val="single" w:sz="4" w:space="0" w:color="auto"/>
            </w:tcBorders>
            <w:vAlign w:val="bottom"/>
            <w:hideMark/>
          </w:tcPr>
          <w:p w14:paraId="6314B7C7" w14:textId="77777777" w:rsidR="00776316" w:rsidRDefault="00776316">
            <w:pPr>
              <w:jc w:val="right"/>
              <w:rPr>
                <w:sz w:val="16"/>
                <w:szCs w:val="16"/>
              </w:rPr>
            </w:pPr>
            <w:r>
              <w:rPr>
                <w:sz w:val="16"/>
                <w:szCs w:val="16"/>
              </w:rPr>
              <w:t>36.9</w:t>
            </w:r>
          </w:p>
        </w:tc>
        <w:tc>
          <w:tcPr>
            <w:tcW w:w="630" w:type="dxa"/>
            <w:tcBorders>
              <w:top w:val="single" w:sz="4" w:space="0" w:color="auto"/>
              <w:left w:val="single" w:sz="4" w:space="0" w:color="auto"/>
              <w:bottom w:val="single" w:sz="4" w:space="0" w:color="auto"/>
              <w:right w:val="single" w:sz="4" w:space="0" w:color="auto"/>
            </w:tcBorders>
            <w:vAlign w:val="bottom"/>
            <w:hideMark/>
          </w:tcPr>
          <w:p w14:paraId="2CDB4016" w14:textId="77777777" w:rsidR="00776316" w:rsidRDefault="00776316">
            <w:pPr>
              <w:jc w:val="right"/>
              <w:rPr>
                <w:sz w:val="16"/>
                <w:szCs w:val="16"/>
              </w:rPr>
            </w:pPr>
            <w:r>
              <w:rPr>
                <w:sz w:val="16"/>
                <w:szCs w:val="16"/>
              </w:rPr>
              <w:t>35.2</w:t>
            </w:r>
          </w:p>
        </w:tc>
        <w:tc>
          <w:tcPr>
            <w:tcW w:w="540" w:type="dxa"/>
            <w:tcBorders>
              <w:top w:val="single" w:sz="4" w:space="0" w:color="auto"/>
              <w:left w:val="single" w:sz="4" w:space="0" w:color="auto"/>
              <w:bottom w:val="single" w:sz="4" w:space="0" w:color="auto"/>
              <w:right w:val="single" w:sz="4" w:space="0" w:color="auto"/>
            </w:tcBorders>
            <w:vAlign w:val="bottom"/>
            <w:hideMark/>
          </w:tcPr>
          <w:p w14:paraId="723649F5" w14:textId="77777777" w:rsidR="00776316" w:rsidRDefault="00776316">
            <w:pPr>
              <w:jc w:val="right"/>
              <w:rPr>
                <w:sz w:val="16"/>
                <w:szCs w:val="16"/>
              </w:rPr>
            </w:pPr>
            <w:r>
              <w:rPr>
                <w:sz w:val="16"/>
                <w:szCs w:val="16"/>
              </w:rPr>
              <w:t>34.6</w:t>
            </w:r>
          </w:p>
        </w:tc>
        <w:tc>
          <w:tcPr>
            <w:tcW w:w="540" w:type="dxa"/>
            <w:tcBorders>
              <w:top w:val="single" w:sz="4" w:space="0" w:color="auto"/>
              <w:left w:val="single" w:sz="4" w:space="0" w:color="auto"/>
              <w:bottom w:val="single" w:sz="4" w:space="0" w:color="auto"/>
              <w:right w:val="single" w:sz="4" w:space="0" w:color="auto"/>
            </w:tcBorders>
            <w:hideMark/>
          </w:tcPr>
          <w:p w14:paraId="27C01E29" w14:textId="77777777" w:rsidR="00776316" w:rsidRDefault="00776316">
            <w:pPr>
              <w:jc w:val="right"/>
              <w:rPr>
                <w:sz w:val="16"/>
                <w:szCs w:val="16"/>
              </w:rPr>
            </w:pPr>
            <w:r>
              <w:rPr>
                <w:sz w:val="16"/>
                <w:szCs w:val="16"/>
              </w:rPr>
              <w:t>33.6</w:t>
            </w:r>
          </w:p>
        </w:tc>
        <w:tc>
          <w:tcPr>
            <w:tcW w:w="540" w:type="dxa"/>
            <w:tcBorders>
              <w:top w:val="single" w:sz="4" w:space="0" w:color="auto"/>
              <w:left w:val="single" w:sz="4" w:space="0" w:color="auto"/>
              <w:bottom w:val="single" w:sz="4" w:space="0" w:color="auto"/>
              <w:right w:val="single" w:sz="4" w:space="0" w:color="auto"/>
            </w:tcBorders>
            <w:hideMark/>
          </w:tcPr>
          <w:p w14:paraId="1051E2F0" w14:textId="77777777" w:rsidR="00776316" w:rsidRDefault="00776316">
            <w:pPr>
              <w:jc w:val="right"/>
              <w:rPr>
                <w:sz w:val="16"/>
                <w:szCs w:val="16"/>
              </w:rPr>
            </w:pPr>
            <w:r>
              <w:rPr>
                <w:sz w:val="16"/>
                <w:szCs w:val="16"/>
              </w:rPr>
              <w:t>34.1</w:t>
            </w:r>
          </w:p>
        </w:tc>
        <w:tc>
          <w:tcPr>
            <w:tcW w:w="540" w:type="dxa"/>
            <w:tcBorders>
              <w:top w:val="single" w:sz="4" w:space="0" w:color="auto"/>
              <w:left w:val="single" w:sz="4" w:space="0" w:color="auto"/>
              <w:bottom w:val="single" w:sz="4" w:space="0" w:color="auto"/>
              <w:right w:val="single" w:sz="4" w:space="0" w:color="auto"/>
            </w:tcBorders>
            <w:hideMark/>
          </w:tcPr>
          <w:p w14:paraId="307BD513" w14:textId="77777777" w:rsidR="00776316" w:rsidRDefault="00776316">
            <w:pPr>
              <w:snapToGrid w:val="0"/>
              <w:jc w:val="right"/>
              <w:rPr>
                <w:sz w:val="16"/>
                <w:szCs w:val="16"/>
              </w:rPr>
            </w:pPr>
            <w:r>
              <w:rPr>
                <w:sz w:val="16"/>
                <w:szCs w:val="16"/>
              </w:rPr>
              <w:t>34.2</w:t>
            </w:r>
          </w:p>
        </w:tc>
        <w:tc>
          <w:tcPr>
            <w:tcW w:w="704" w:type="dxa"/>
            <w:tcBorders>
              <w:top w:val="single" w:sz="4" w:space="0" w:color="auto"/>
              <w:left w:val="single" w:sz="4" w:space="0" w:color="auto"/>
              <w:bottom w:val="single" w:sz="4" w:space="0" w:color="auto"/>
              <w:right w:val="single" w:sz="4" w:space="0" w:color="auto"/>
            </w:tcBorders>
            <w:hideMark/>
          </w:tcPr>
          <w:p w14:paraId="19AA031C" w14:textId="77777777" w:rsidR="00776316" w:rsidRDefault="00776316">
            <w:pPr>
              <w:snapToGrid w:val="0"/>
              <w:jc w:val="center"/>
              <w:rPr>
                <w:sz w:val="16"/>
                <w:szCs w:val="16"/>
              </w:rPr>
            </w:pPr>
            <w:r>
              <w:rPr>
                <w:sz w:val="16"/>
                <w:szCs w:val="16"/>
              </w:rPr>
              <w:t>34.9</w:t>
            </w:r>
          </w:p>
        </w:tc>
        <w:tc>
          <w:tcPr>
            <w:tcW w:w="630" w:type="dxa"/>
            <w:tcBorders>
              <w:top w:val="single" w:sz="4" w:space="0" w:color="auto"/>
              <w:left w:val="single" w:sz="4" w:space="0" w:color="auto"/>
              <w:bottom w:val="single" w:sz="4" w:space="0" w:color="auto"/>
              <w:right w:val="single" w:sz="4" w:space="0" w:color="auto"/>
            </w:tcBorders>
            <w:hideMark/>
          </w:tcPr>
          <w:p w14:paraId="2A460E68" w14:textId="77777777" w:rsidR="00776316" w:rsidRDefault="00776316">
            <w:pPr>
              <w:snapToGrid w:val="0"/>
              <w:jc w:val="center"/>
              <w:rPr>
                <w:sz w:val="16"/>
                <w:szCs w:val="16"/>
              </w:rPr>
            </w:pPr>
            <w:r>
              <w:rPr>
                <w:sz w:val="16"/>
                <w:szCs w:val="16"/>
              </w:rPr>
              <w:t>32.3</w:t>
            </w:r>
          </w:p>
        </w:tc>
        <w:tc>
          <w:tcPr>
            <w:tcW w:w="567" w:type="dxa"/>
            <w:tcBorders>
              <w:top w:val="single" w:sz="4" w:space="0" w:color="auto"/>
              <w:left w:val="single" w:sz="4" w:space="0" w:color="auto"/>
              <w:bottom w:val="single" w:sz="4" w:space="0" w:color="auto"/>
              <w:right w:val="single" w:sz="4" w:space="0" w:color="auto"/>
            </w:tcBorders>
            <w:hideMark/>
          </w:tcPr>
          <w:p w14:paraId="5CA37F53" w14:textId="77777777" w:rsidR="00776316" w:rsidRDefault="00776316">
            <w:pPr>
              <w:snapToGrid w:val="0"/>
              <w:jc w:val="center"/>
              <w:rPr>
                <w:sz w:val="16"/>
                <w:szCs w:val="16"/>
              </w:rPr>
            </w:pPr>
            <w:r>
              <w:rPr>
                <w:sz w:val="16"/>
                <w:szCs w:val="16"/>
              </w:rPr>
              <w:t>31.2</w:t>
            </w:r>
          </w:p>
        </w:tc>
        <w:tc>
          <w:tcPr>
            <w:tcW w:w="591" w:type="dxa"/>
            <w:tcBorders>
              <w:top w:val="single" w:sz="4" w:space="0" w:color="auto"/>
              <w:left w:val="single" w:sz="4" w:space="0" w:color="auto"/>
              <w:bottom w:val="single" w:sz="4" w:space="0" w:color="auto"/>
              <w:right w:val="single" w:sz="4" w:space="0" w:color="auto"/>
            </w:tcBorders>
            <w:hideMark/>
          </w:tcPr>
          <w:p w14:paraId="0758814D" w14:textId="77777777" w:rsidR="00776316" w:rsidRDefault="00776316">
            <w:pPr>
              <w:snapToGrid w:val="0"/>
              <w:jc w:val="center"/>
              <w:rPr>
                <w:sz w:val="16"/>
                <w:szCs w:val="16"/>
              </w:rPr>
            </w:pPr>
            <w:r>
              <w:rPr>
                <w:sz w:val="16"/>
                <w:szCs w:val="16"/>
              </w:rPr>
              <w:t>pg</w:t>
            </w:r>
          </w:p>
        </w:tc>
      </w:tr>
      <w:tr w:rsidR="00776316" w14:paraId="6D8D668A"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66C5BEAC" w14:textId="77777777" w:rsidR="00776316" w:rsidRDefault="00776316">
            <w:pPr>
              <w:rPr>
                <w:sz w:val="16"/>
                <w:szCs w:val="16"/>
              </w:rPr>
            </w:pPr>
            <w:r>
              <w:rPr>
                <w:sz w:val="16"/>
                <w:szCs w:val="16"/>
              </w:rPr>
              <w:t>MCHC</w:t>
            </w:r>
          </w:p>
        </w:tc>
        <w:tc>
          <w:tcPr>
            <w:tcW w:w="673" w:type="dxa"/>
            <w:tcBorders>
              <w:top w:val="single" w:sz="4" w:space="0" w:color="auto"/>
              <w:left w:val="single" w:sz="4" w:space="0" w:color="auto"/>
              <w:bottom w:val="single" w:sz="4" w:space="0" w:color="auto"/>
              <w:right w:val="single" w:sz="4" w:space="0" w:color="auto"/>
            </w:tcBorders>
            <w:hideMark/>
          </w:tcPr>
          <w:p w14:paraId="4B30B383" w14:textId="77777777" w:rsidR="00776316" w:rsidRDefault="00776316">
            <w:pPr>
              <w:jc w:val="right"/>
              <w:rPr>
                <w:sz w:val="16"/>
                <w:szCs w:val="16"/>
              </w:rPr>
            </w:pPr>
            <w:r>
              <w:rPr>
                <w:sz w:val="16"/>
                <w:szCs w:val="16"/>
              </w:rPr>
              <w:t>32.8</w:t>
            </w:r>
          </w:p>
        </w:tc>
        <w:tc>
          <w:tcPr>
            <w:tcW w:w="709" w:type="dxa"/>
            <w:tcBorders>
              <w:top w:val="single" w:sz="4" w:space="0" w:color="auto"/>
              <w:left w:val="single" w:sz="4" w:space="0" w:color="auto"/>
              <w:bottom w:val="single" w:sz="4" w:space="0" w:color="auto"/>
              <w:right w:val="single" w:sz="4" w:space="0" w:color="auto"/>
            </w:tcBorders>
            <w:hideMark/>
          </w:tcPr>
          <w:p w14:paraId="26637911" w14:textId="77777777" w:rsidR="00776316" w:rsidRDefault="00776316">
            <w:pPr>
              <w:jc w:val="right"/>
              <w:rPr>
                <w:sz w:val="16"/>
                <w:szCs w:val="16"/>
              </w:rPr>
            </w:pPr>
            <w:r>
              <w:rPr>
                <w:sz w:val="16"/>
                <w:szCs w:val="16"/>
              </w:rPr>
              <w:t>33.5</w:t>
            </w:r>
          </w:p>
        </w:tc>
        <w:tc>
          <w:tcPr>
            <w:tcW w:w="623" w:type="dxa"/>
            <w:tcBorders>
              <w:top w:val="single" w:sz="4" w:space="0" w:color="auto"/>
              <w:left w:val="single" w:sz="4" w:space="0" w:color="auto"/>
              <w:bottom w:val="single" w:sz="4" w:space="0" w:color="auto"/>
              <w:right w:val="single" w:sz="4" w:space="0" w:color="auto"/>
            </w:tcBorders>
            <w:hideMark/>
          </w:tcPr>
          <w:p w14:paraId="512837CC" w14:textId="77777777" w:rsidR="00776316" w:rsidRDefault="00776316">
            <w:pPr>
              <w:jc w:val="right"/>
              <w:rPr>
                <w:sz w:val="16"/>
                <w:szCs w:val="16"/>
              </w:rPr>
            </w:pPr>
            <w:r>
              <w:rPr>
                <w:sz w:val="16"/>
                <w:szCs w:val="16"/>
              </w:rPr>
              <w:t>32.8</w:t>
            </w:r>
          </w:p>
        </w:tc>
        <w:tc>
          <w:tcPr>
            <w:tcW w:w="630" w:type="dxa"/>
            <w:tcBorders>
              <w:top w:val="single" w:sz="4" w:space="0" w:color="auto"/>
              <w:left w:val="single" w:sz="4" w:space="0" w:color="auto"/>
              <w:bottom w:val="single" w:sz="4" w:space="0" w:color="auto"/>
              <w:right w:val="single" w:sz="4" w:space="0" w:color="auto"/>
            </w:tcBorders>
            <w:hideMark/>
          </w:tcPr>
          <w:p w14:paraId="0EF176E9" w14:textId="77777777" w:rsidR="00776316" w:rsidRDefault="00776316">
            <w:pPr>
              <w:jc w:val="right"/>
              <w:rPr>
                <w:sz w:val="16"/>
                <w:szCs w:val="16"/>
              </w:rPr>
            </w:pPr>
            <w:r>
              <w:rPr>
                <w:sz w:val="16"/>
                <w:szCs w:val="16"/>
              </w:rPr>
              <w:t>34</w:t>
            </w:r>
          </w:p>
        </w:tc>
        <w:tc>
          <w:tcPr>
            <w:tcW w:w="630" w:type="dxa"/>
            <w:tcBorders>
              <w:top w:val="single" w:sz="4" w:space="0" w:color="auto"/>
              <w:left w:val="single" w:sz="4" w:space="0" w:color="auto"/>
              <w:bottom w:val="single" w:sz="4" w:space="0" w:color="auto"/>
              <w:right w:val="single" w:sz="4" w:space="0" w:color="auto"/>
            </w:tcBorders>
            <w:vAlign w:val="bottom"/>
            <w:hideMark/>
          </w:tcPr>
          <w:p w14:paraId="606B8E67" w14:textId="77777777" w:rsidR="00776316" w:rsidRDefault="00776316">
            <w:pPr>
              <w:jc w:val="right"/>
              <w:rPr>
                <w:sz w:val="16"/>
                <w:szCs w:val="16"/>
              </w:rPr>
            </w:pPr>
            <w:r>
              <w:rPr>
                <w:sz w:val="16"/>
                <w:szCs w:val="16"/>
              </w:rPr>
              <w:t>34.8</w:t>
            </w:r>
          </w:p>
        </w:tc>
        <w:tc>
          <w:tcPr>
            <w:tcW w:w="630" w:type="dxa"/>
            <w:tcBorders>
              <w:top w:val="single" w:sz="4" w:space="0" w:color="auto"/>
              <w:left w:val="single" w:sz="4" w:space="0" w:color="auto"/>
              <w:bottom w:val="single" w:sz="4" w:space="0" w:color="auto"/>
              <w:right w:val="single" w:sz="4" w:space="0" w:color="auto"/>
            </w:tcBorders>
            <w:vAlign w:val="bottom"/>
            <w:hideMark/>
          </w:tcPr>
          <w:p w14:paraId="1942E361" w14:textId="77777777" w:rsidR="00776316" w:rsidRDefault="00776316">
            <w:pPr>
              <w:jc w:val="right"/>
              <w:rPr>
                <w:sz w:val="16"/>
                <w:szCs w:val="16"/>
              </w:rPr>
            </w:pPr>
            <w:r>
              <w:rPr>
                <w:sz w:val="16"/>
                <w:szCs w:val="16"/>
              </w:rPr>
              <w:t>34.4</w:t>
            </w:r>
          </w:p>
        </w:tc>
        <w:tc>
          <w:tcPr>
            <w:tcW w:w="540" w:type="dxa"/>
            <w:tcBorders>
              <w:top w:val="single" w:sz="4" w:space="0" w:color="auto"/>
              <w:left w:val="single" w:sz="4" w:space="0" w:color="auto"/>
              <w:bottom w:val="single" w:sz="4" w:space="0" w:color="auto"/>
              <w:right w:val="single" w:sz="4" w:space="0" w:color="auto"/>
            </w:tcBorders>
            <w:vAlign w:val="bottom"/>
            <w:hideMark/>
          </w:tcPr>
          <w:p w14:paraId="3619D189" w14:textId="77777777" w:rsidR="00776316" w:rsidRDefault="00776316">
            <w:pPr>
              <w:jc w:val="right"/>
              <w:rPr>
                <w:sz w:val="16"/>
                <w:szCs w:val="16"/>
              </w:rPr>
            </w:pPr>
            <w:r>
              <w:rPr>
                <w:sz w:val="16"/>
                <w:szCs w:val="16"/>
              </w:rPr>
              <w:t>34.8</w:t>
            </w:r>
          </w:p>
        </w:tc>
        <w:tc>
          <w:tcPr>
            <w:tcW w:w="630" w:type="dxa"/>
            <w:tcBorders>
              <w:top w:val="single" w:sz="4" w:space="0" w:color="auto"/>
              <w:left w:val="single" w:sz="4" w:space="0" w:color="auto"/>
              <w:bottom w:val="single" w:sz="4" w:space="0" w:color="auto"/>
              <w:right w:val="single" w:sz="4" w:space="0" w:color="auto"/>
            </w:tcBorders>
            <w:vAlign w:val="bottom"/>
            <w:hideMark/>
          </w:tcPr>
          <w:p w14:paraId="178851AF" w14:textId="77777777" w:rsidR="00776316" w:rsidRDefault="00776316">
            <w:pPr>
              <w:jc w:val="right"/>
              <w:rPr>
                <w:sz w:val="16"/>
                <w:szCs w:val="16"/>
              </w:rPr>
            </w:pPr>
            <w:r>
              <w:rPr>
                <w:sz w:val="16"/>
                <w:szCs w:val="16"/>
              </w:rPr>
              <w:t>34.6</w:t>
            </w:r>
          </w:p>
        </w:tc>
        <w:tc>
          <w:tcPr>
            <w:tcW w:w="540" w:type="dxa"/>
            <w:tcBorders>
              <w:top w:val="single" w:sz="4" w:space="0" w:color="auto"/>
              <w:left w:val="single" w:sz="4" w:space="0" w:color="auto"/>
              <w:bottom w:val="single" w:sz="4" w:space="0" w:color="auto"/>
              <w:right w:val="single" w:sz="4" w:space="0" w:color="auto"/>
            </w:tcBorders>
            <w:vAlign w:val="bottom"/>
            <w:hideMark/>
          </w:tcPr>
          <w:p w14:paraId="63B2630A" w14:textId="77777777" w:rsidR="00776316" w:rsidRDefault="00776316">
            <w:pPr>
              <w:jc w:val="right"/>
              <w:rPr>
                <w:sz w:val="16"/>
                <w:szCs w:val="16"/>
              </w:rPr>
            </w:pPr>
            <w:r>
              <w:rPr>
                <w:sz w:val="16"/>
                <w:szCs w:val="16"/>
              </w:rPr>
              <w:t>35.2</w:t>
            </w:r>
          </w:p>
        </w:tc>
        <w:tc>
          <w:tcPr>
            <w:tcW w:w="540" w:type="dxa"/>
            <w:tcBorders>
              <w:top w:val="single" w:sz="4" w:space="0" w:color="auto"/>
              <w:left w:val="single" w:sz="4" w:space="0" w:color="auto"/>
              <w:bottom w:val="single" w:sz="4" w:space="0" w:color="auto"/>
              <w:right w:val="single" w:sz="4" w:space="0" w:color="auto"/>
            </w:tcBorders>
            <w:hideMark/>
          </w:tcPr>
          <w:p w14:paraId="4D8E66E0" w14:textId="77777777" w:rsidR="00776316" w:rsidRDefault="00776316">
            <w:pPr>
              <w:jc w:val="right"/>
              <w:rPr>
                <w:sz w:val="16"/>
                <w:szCs w:val="16"/>
              </w:rPr>
            </w:pPr>
            <w:r>
              <w:rPr>
                <w:sz w:val="16"/>
                <w:szCs w:val="16"/>
              </w:rPr>
              <w:t>33.9</w:t>
            </w:r>
          </w:p>
        </w:tc>
        <w:tc>
          <w:tcPr>
            <w:tcW w:w="540" w:type="dxa"/>
            <w:tcBorders>
              <w:top w:val="single" w:sz="4" w:space="0" w:color="auto"/>
              <w:left w:val="single" w:sz="4" w:space="0" w:color="auto"/>
              <w:bottom w:val="single" w:sz="4" w:space="0" w:color="auto"/>
              <w:right w:val="single" w:sz="4" w:space="0" w:color="auto"/>
            </w:tcBorders>
            <w:hideMark/>
          </w:tcPr>
          <w:p w14:paraId="6B0D7CF5" w14:textId="77777777" w:rsidR="00776316" w:rsidRDefault="00776316">
            <w:pPr>
              <w:jc w:val="right"/>
              <w:rPr>
                <w:sz w:val="16"/>
                <w:szCs w:val="16"/>
              </w:rPr>
            </w:pPr>
            <w:r>
              <w:rPr>
                <w:sz w:val="16"/>
                <w:szCs w:val="16"/>
              </w:rPr>
              <w:t>34.4</w:t>
            </w:r>
          </w:p>
        </w:tc>
        <w:tc>
          <w:tcPr>
            <w:tcW w:w="540" w:type="dxa"/>
            <w:tcBorders>
              <w:top w:val="single" w:sz="4" w:space="0" w:color="auto"/>
              <w:left w:val="single" w:sz="4" w:space="0" w:color="auto"/>
              <w:bottom w:val="single" w:sz="4" w:space="0" w:color="auto"/>
              <w:right w:val="single" w:sz="4" w:space="0" w:color="auto"/>
            </w:tcBorders>
            <w:hideMark/>
          </w:tcPr>
          <w:p w14:paraId="7F7FBE2F" w14:textId="77777777" w:rsidR="00776316" w:rsidRDefault="00776316">
            <w:pPr>
              <w:snapToGrid w:val="0"/>
              <w:jc w:val="right"/>
              <w:rPr>
                <w:sz w:val="16"/>
                <w:szCs w:val="16"/>
              </w:rPr>
            </w:pPr>
            <w:r>
              <w:rPr>
                <w:sz w:val="16"/>
                <w:szCs w:val="16"/>
              </w:rPr>
              <w:t>35</w:t>
            </w:r>
          </w:p>
        </w:tc>
        <w:tc>
          <w:tcPr>
            <w:tcW w:w="704" w:type="dxa"/>
            <w:tcBorders>
              <w:top w:val="single" w:sz="4" w:space="0" w:color="auto"/>
              <w:left w:val="single" w:sz="4" w:space="0" w:color="auto"/>
              <w:bottom w:val="single" w:sz="4" w:space="0" w:color="auto"/>
              <w:right w:val="single" w:sz="4" w:space="0" w:color="auto"/>
            </w:tcBorders>
            <w:hideMark/>
          </w:tcPr>
          <w:p w14:paraId="62B00297" w14:textId="77777777" w:rsidR="00776316" w:rsidRDefault="00776316">
            <w:pPr>
              <w:snapToGrid w:val="0"/>
              <w:jc w:val="center"/>
              <w:rPr>
                <w:sz w:val="16"/>
                <w:szCs w:val="16"/>
              </w:rPr>
            </w:pPr>
            <w:r>
              <w:rPr>
                <w:sz w:val="16"/>
                <w:szCs w:val="16"/>
              </w:rPr>
              <w:t>34.5</w:t>
            </w:r>
          </w:p>
        </w:tc>
        <w:tc>
          <w:tcPr>
            <w:tcW w:w="630" w:type="dxa"/>
            <w:tcBorders>
              <w:top w:val="single" w:sz="4" w:space="0" w:color="auto"/>
              <w:left w:val="single" w:sz="4" w:space="0" w:color="auto"/>
              <w:bottom w:val="single" w:sz="4" w:space="0" w:color="auto"/>
              <w:right w:val="single" w:sz="4" w:space="0" w:color="auto"/>
            </w:tcBorders>
            <w:hideMark/>
          </w:tcPr>
          <w:p w14:paraId="15603BE4" w14:textId="77777777" w:rsidR="00776316" w:rsidRDefault="00776316">
            <w:pPr>
              <w:snapToGrid w:val="0"/>
              <w:jc w:val="center"/>
              <w:rPr>
                <w:sz w:val="16"/>
                <w:szCs w:val="16"/>
              </w:rPr>
            </w:pPr>
            <w:r>
              <w:rPr>
                <w:sz w:val="16"/>
                <w:szCs w:val="16"/>
              </w:rPr>
              <w:t>34.3</w:t>
            </w:r>
          </w:p>
        </w:tc>
        <w:tc>
          <w:tcPr>
            <w:tcW w:w="567" w:type="dxa"/>
            <w:tcBorders>
              <w:top w:val="single" w:sz="4" w:space="0" w:color="auto"/>
              <w:left w:val="single" w:sz="4" w:space="0" w:color="auto"/>
              <w:bottom w:val="single" w:sz="4" w:space="0" w:color="auto"/>
              <w:right w:val="single" w:sz="4" w:space="0" w:color="auto"/>
            </w:tcBorders>
            <w:hideMark/>
          </w:tcPr>
          <w:p w14:paraId="27E655EC" w14:textId="77777777" w:rsidR="00776316" w:rsidRDefault="00776316">
            <w:pPr>
              <w:snapToGrid w:val="0"/>
              <w:jc w:val="center"/>
              <w:rPr>
                <w:sz w:val="16"/>
                <w:szCs w:val="16"/>
              </w:rPr>
            </w:pPr>
            <w:r>
              <w:rPr>
                <w:sz w:val="16"/>
                <w:szCs w:val="16"/>
              </w:rPr>
              <w:t>33.9</w:t>
            </w:r>
          </w:p>
        </w:tc>
        <w:tc>
          <w:tcPr>
            <w:tcW w:w="591" w:type="dxa"/>
            <w:tcBorders>
              <w:top w:val="single" w:sz="4" w:space="0" w:color="auto"/>
              <w:left w:val="single" w:sz="4" w:space="0" w:color="auto"/>
              <w:bottom w:val="single" w:sz="4" w:space="0" w:color="auto"/>
              <w:right w:val="single" w:sz="4" w:space="0" w:color="auto"/>
            </w:tcBorders>
            <w:hideMark/>
          </w:tcPr>
          <w:p w14:paraId="4A7B0C23" w14:textId="77777777" w:rsidR="00776316" w:rsidRDefault="00776316">
            <w:pPr>
              <w:snapToGrid w:val="0"/>
              <w:jc w:val="center"/>
              <w:rPr>
                <w:sz w:val="16"/>
                <w:szCs w:val="16"/>
              </w:rPr>
            </w:pPr>
            <w:r>
              <w:rPr>
                <w:sz w:val="16"/>
                <w:szCs w:val="16"/>
              </w:rPr>
              <w:t>g/dL</w:t>
            </w:r>
          </w:p>
        </w:tc>
      </w:tr>
      <w:tr w:rsidR="00776316" w14:paraId="75A14AF3"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64A3B571" w14:textId="77777777" w:rsidR="00776316" w:rsidRDefault="00776316">
            <w:pPr>
              <w:rPr>
                <w:sz w:val="16"/>
                <w:szCs w:val="16"/>
              </w:rPr>
            </w:pPr>
            <w:r>
              <w:rPr>
                <w:sz w:val="16"/>
                <w:szCs w:val="16"/>
              </w:rPr>
              <w:t>PLT</w:t>
            </w:r>
          </w:p>
        </w:tc>
        <w:tc>
          <w:tcPr>
            <w:tcW w:w="673" w:type="dxa"/>
            <w:tcBorders>
              <w:top w:val="single" w:sz="4" w:space="0" w:color="auto"/>
              <w:left w:val="single" w:sz="4" w:space="0" w:color="auto"/>
              <w:bottom w:val="single" w:sz="4" w:space="0" w:color="auto"/>
              <w:right w:val="single" w:sz="4" w:space="0" w:color="auto"/>
            </w:tcBorders>
            <w:hideMark/>
          </w:tcPr>
          <w:p w14:paraId="77748CE2" w14:textId="77777777" w:rsidR="00776316" w:rsidRDefault="00776316">
            <w:pPr>
              <w:jc w:val="right"/>
              <w:rPr>
                <w:sz w:val="16"/>
                <w:szCs w:val="16"/>
              </w:rPr>
            </w:pPr>
            <w:r>
              <w:rPr>
                <w:sz w:val="16"/>
                <w:szCs w:val="16"/>
              </w:rPr>
              <w:t>89</w:t>
            </w:r>
          </w:p>
        </w:tc>
        <w:tc>
          <w:tcPr>
            <w:tcW w:w="709" w:type="dxa"/>
            <w:tcBorders>
              <w:top w:val="single" w:sz="4" w:space="0" w:color="auto"/>
              <w:left w:val="single" w:sz="4" w:space="0" w:color="auto"/>
              <w:bottom w:val="single" w:sz="4" w:space="0" w:color="auto"/>
              <w:right w:val="single" w:sz="4" w:space="0" w:color="auto"/>
            </w:tcBorders>
            <w:hideMark/>
          </w:tcPr>
          <w:p w14:paraId="4D4DBC54" w14:textId="77777777" w:rsidR="00776316" w:rsidRDefault="00776316">
            <w:pPr>
              <w:jc w:val="right"/>
              <w:rPr>
                <w:sz w:val="16"/>
                <w:szCs w:val="16"/>
              </w:rPr>
            </w:pPr>
            <w:r>
              <w:rPr>
                <w:sz w:val="16"/>
                <w:szCs w:val="16"/>
              </w:rPr>
              <w:t>48</w:t>
            </w:r>
          </w:p>
        </w:tc>
        <w:tc>
          <w:tcPr>
            <w:tcW w:w="623" w:type="dxa"/>
            <w:tcBorders>
              <w:top w:val="single" w:sz="4" w:space="0" w:color="auto"/>
              <w:left w:val="single" w:sz="4" w:space="0" w:color="auto"/>
              <w:bottom w:val="single" w:sz="4" w:space="0" w:color="auto"/>
              <w:right w:val="single" w:sz="4" w:space="0" w:color="auto"/>
            </w:tcBorders>
            <w:hideMark/>
          </w:tcPr>
          <w:p w14:paraId="3A3EB0AB" w14:textId="77777777" w:rsidR="00776316" w:rsidRDefault="00776316">
            <w:pPr>
              <w:jc w:val="right"/>
              <w:rPr>
                <w:sz w:val="16"/>
                <w:szCs w:val="16"/>
              </w:rPr>
            </w:pPr>
            <w:r>
              <w:rPr>
                <w:sz w:val="16"/>
                <w:szCs w:val="16"/>
              </w:rPr>
              <w:t>74</w:t>
            </w:r>
          </w:p>
        </w:tc>
        <w:tc>
          <w:tcPr>
            <w:tcW w:w="630" w:type="dxa"/>
            <w:tcBorders>
              <w:top w:val="single" w:sz="4" w:space="0" w:color="auto"/>
              <w:left w:val="single" w:sz="4" w:space="0" w:color="auto"/>
              <w:bottom w:val="single" w:sz="4" w:space="0" w:color="auto"/>
              <w:right w:val="single" w:sz="4" w:space="0" w:color="auto"/>
            </w:tcBorders>
            <w:hideMark/>
          </w:tcPr>
          <w:p w14:paraId="120C54E9" w14:textId="77777777" w:rsidR="00776316" w:rsidRDefault="00776316">
            <w:pPr>
              <w:jc w:val="right"/>
              <w:rPr>
                <w:sz w:val="16"/>
                <w:szCs w:val="16"/>
              </w:rPr>
            </w:pPr>
            <w:r>
              <w:rPr>
                <w:sz w:val="16"/>
                <w:szCs w:val="16"/>
              </w:rPr>
              <w:t>121</w:t>
            </w:r>
          </w:p>
        </w:tc>
        <w:tc>
          <w:tcPr>
            <w:tcW w:w="630" w:type="dxa"/>
            <w:tcBorders>
              <w:top w:val="single" w:sz="4" w:space="0" w:color="auto"/>
              <w:left w:val="single" w:sz="4" w:space="0" w:color="auto"/>
              <w:bottom w:val="single" w:sz="4" w:space="0" w:color="auto"/>
              <w:right w:val="single" w:sz="4" w:space="0" w:color="auto"/>
            </w:tcBorders>
            <w:vAlign w:val="bottom"/>
            <w:hideMark/>
          </w:tcPr>
          <w:p w14:paraId="7E221860" w14:textId="77777777" w:rsidR="00776316" w:rsidRDefault="00776316">
            <w:pPr>
              <w:jc w:val="right"/>
              <w:rPr>
                <w:sz w:val="16"/>
                <w:szCs w:val="16"/>
              </w:rPr>
            </w:pPr>
            <w:r>
              <w:rPr>
                <w:sz w:val="16"/>
                <w:szCs w:val="16"/>
              </w:rPr>
              <w:t>145</w:t>
            </w:r>
          </w:p>
        </w:tc>
        <w:tc>
          <w:tcPr>
            <w:tcW w:w="630" w:type="dxa"/>
            <w:tcBorders>
              <w:top w:val="single" w:sz="4" w:space="0" w:color="auto"/>
              <w:left w:val="single" w:sz="4" w:space="0" w:color="auto"/>
              <w:bottom w:val="single" w:sz="4" w:space="0" w:color="auto"/>
              <w:right w:val="single" w:sz="4" w:space="0" w:color="auto"/>
            </w:tcBorders>
            <w:vAlign w:val="bottom"/>
            <w:hideMark/>
          </w:tcPr>
          <w:p w14:paraId="7D0E21BE" w14:textId="77777777" w:rsidR="00776316" w:rsidRDefault="00776316">
            <w:pPr>
              <w:jc w:val="right"/>
              <w:rPr>
                <w:sz w:val="16"/>
                <w:szCs w:val="16"/>
              </w:rPr>
            </w:pPr>
            <w:r>
              <w:rPr>
                <w:sz w:val="16"/>
                <w:szCs w:val="16"/>
              </w:rPr>
              <w:t>179</w:t>
            </w:r>
          </w:p>
        </w:tc>
        <w:tc>
          <w:tcPr>
            <w:tcW w:w="540" w:type="dxa"/>
            <w:tcBorders>
              <w:top w:val="single" w:sz="4" w:space="0" w:color="auto"/>
              <w:left w:val="single" w:sz="4" w:space="0" w:color="auto"/>
              <w:bottom w:val="single" w:sz="4" w:space="0" w:color="auto"/>
              <w:right w:val="single" w:sz="4" w:space="0" w:color="auto"/>
            </w:tcBorders>
            <w:vAlign w:val="bottom"/>
            <w:hideMark/>
          </w:tcPr>
          <w:p w14:paraId="2231746E" w14:textId="77777777" w:rsidR="00776316" w:rsidRDefault="00776316">
            <w:pPr>
              <w:jc w:val="right"/>
              <w:rPr>
                <w:sz w:val="16"/>
                <w:szCs w:val="16"/>
              </w:rPr>
            </w:pPr>
            <w:r>
              <w:rPr>
                <w:sz w:val="16"/>
                <w:szCs w:val="16"/>
              </w:rPr>
              <w:t>189</w:t>
            </w:r>
          </w:p>
        </w:tc>
        <w:tc>
          <w:tcPr>
            <w:tcW w:w="630" w:type="dxa"/>
            <w:tcBorders>
              <w:top w:val="single" w:sz="4" w:space="0" w:color="auto"/>
              <w:left w:val="single" w:sz="4" w:space="0" w:color="auto"/>
              <w:bottom w:val="single" w:sz="4" w:space="0" w:color="auto"/>
              <w:right w:val="single" w:sz="4" w:space="0" w:color="auto"/>
            </w:tcBorders>
            <w:vAlign w:val="bottom"/>
            <w:hideMark/>
          </w:tcPr>
          <w:p w14:paraId="5E4C63EB" w14:textId="77777777" w:rsidR="00776316" w:rsidRDefault="00776316">
            <w:pPr>
              <w:jc w:val="right"/>
              <w:rPr>
                <w:sz w:val="16"/>
                <w:szCs w:val="16"/>
              </w:rPr>
            </w:pPr>
            <w:r>
              <w:rPr>
                <w:sz w:val="16"/>
                <w:szCs w:val="16"/>
              </w:rPr>
              <w:t>192</w:t>
            </w:r>
          </w:p>
        </w:tc>
        <w:tc>
          <w:tcPr>
            <w:tcW w:w="540" w:type="dxa"/>
            <w:tcBorders>
              <w:top w:val="single" w:sz="4" w:space="0" w:color="auto"/>
              <w:left w:val="single" w:sz="4" w:space="0" w:color="auto"/>
              <w:bottom w:val="single" w:sz="4" w:space="0" w:color="auto"/>
              <w:right w:val="single" w:sz="4" w:space="0" w:color="auto"/>
            </w:tcBorders>
            <w:vAlign w:val="bottom"/>
            <w:hideMark/>
          </w:tcPr>
          <w:p w14:paraId="33A224E9" w14:textId="77777777" w:rsidR="00776316" w:rsidRDefault="00776316">
            <w:pPr>
              <w:jc w:val="right"/>
              <w:rPr>
                <w:sz w:val="16"/>
                <w:szCs w:val="16"/>
              </w:rPr>
            </w:pPr>
            <w:r>
              <w:rPr>
                <w:sz w:val="16"/>
                <w:szCs w:val="16"/>
              </w:rPr>
              <w:t>180</w:t>
            </w:r>
          </w:p>
        </w:tc>
        <w:tc>
          <w:tcPr>
            <w:tcW w:w="540" w:type="dxa"/>
            <w:tcBorders>
              <w:top w:val="single" w:sz="4" w:space="0" w:color="auto"/>
              <w:left w:val="single" w:sz="4" w:space="0" w:color="auto"/>
              <w:bottom w:val="single" w:sz="4" w:space="0" w:color="auto"/>
              <w:right w:val="single" w:sz="4" w:space="0" w:color="auto"/>
            </w:tcBorders>
            <w:hideMark/>
          </w:tcPr>
          <w:p w14:paraId="6E6EBFC1" w14:textId="77777777" w:rsidR="00776316" w:rsidRDefault="00776316">
            <w:pPr>
              <w:jc w:val="right"/>
              <w:rPr>
                <w:sz w:val="16"/>
                <w:szCs w:val="16"/>
              </w:rPr>
            </w:pPr>
            <w:r>
              <w:rPr>
                <w:sz w:val="16"/>
                <w:szCs w:val="16"/>
              </w:rPr>
              <w:t>161</w:t>
            </w:r>
          </w:p>
        </w:tc>
        <w:tc>
          <w:tcPr>
            <w:tcW w:w="540" w:type="dxa"/>
            <w:tcBorders>
              <w:top w:val="single" w:sz="4" w:space="0" w:color="auto"/>
              <w:left w:val="single" w:sz="4" w:space="0" w:color="auto"/>
              <w:bottom w:val="single" w:sz="4" w:space="0" w:color="auto"/>
              <w:right w:val="single" w:sz="4" w:space="0" w:color="auto"/>
            </w:tcBorders>
            <w:hideMark/>
          </w:tcPr>
          <w:p w14:paraId="29BF4966" w14:textId="77777777" w:rsidR="00776316" w:rsidRDefault="00776316">
            <w:pPr>
              <w:jc w:val="right"/>
              <w:rPr>
                <w:sz w:val="16"/>
                <w:szCs w:val="16"/>
              </w:rPr>
            </w:pPr>
            <w:r>
              <w:rPr>
                <w:sz w:val="16"/>
                <w:szCs w:val="16"/>
              </w:rPr>
              <w:t>115</w:t>
            </w:r>
          </w:p>
        </w:tc>
        <w:tc>
          <w:tcPr>
            <w:tcW w:w="540" w:type="dxa"/>
            <w:tcBorders>
              <w:top w:val="single" w:sz="4" w:space="0" w:color="auto"/>
              <w:left w:val="single" w:sz="4" w:space="0" w:color="auto"/>
              <w:bottom w:val="single" w:sz="4" w:space="0" w:color="auto"/>
              <w:right w:val="single" w:sz="4" w:space="0" w:color="auto"/>
            </w:tcBorders>
            <w:hideMark/>
          </w:tcPr>
          <w:p w14:paraId="2A6F9251" w14:textId="77777777" w:rsidR="00776316" w:rsidRDefault="00776316">
            <w:pPr>
              <w:snapToGrid w:val="0"/>
              <w:jc w:val="right"/>
              <w:rPr>
                <w:sz w:val="16"/>
                <w:szCs w:val="16"/>
              </w:rPr>
            </w:pPr>
            <w:r>
              <w:rPr>
                <w:sz w:val="16"/>
                <w:szCs w:val="16"/>
              </w:rPr>
              <w:t>70</w:t>
            </w:r>
          </w:p>
        </w:tc>
        <w:tc>
          <w:tcPr>
            <w:tcW w:w="704" w:type="dxa"/>
            <w:tcBorders>
              <w:top w:val="single" w:sz="4" w:space="0" w:color="auto"/>
              <w:left w:val="single" w:sz="4" w:space="0" w:color="auto"/>
              <w:bottom w:val="single" w:sz="4" w:space="0" w:color="auto"/>
              <w:right w:val="single" w:sz="4" w:space="0" w:color="auto"/>
            </w:tcBorders>
            <w:hideMark/>
          </w:tcPr>
          <w:p w14:paraId="154CF31D" w14:textId="77777777" w:rsidR="00776316" w:rsidRDefault="00776316">
            <w:pPr>
              <w:snapToGrid w:val="0"/>
              <w:jc w:val="center"/>
              <w:rPr>
                <w:sz w:val="16"/>
                <w:szCs w:val="16"/>
              </w:rPr>
            </w:pPr>
            <w:r>
              <w:rPr>
                <w:sz w:val="16"/>
                <w:szCs w:val="16"/>
              </w:rPr>
              <w:t>58</w:t>
            </w:r>
          </w:p>
        </w:tc>
        <w:tc>
          <w:tcPr>
            <w:tcW w:w="630" w:type="dxa"/>
            <w:tcBorders>
              <w:top w:val="single" w:sz="4" w:space="0" w:color="auto"/>
              <w:left w:val="single" w:sz="4" w:space="0" w:color="auto"/>
              <w:bottom w:val="single" w:sz="4" w:space="0" w:color="auto"/>
              <w:right w:val="single" w:sz="4" w:space="0" w:color="auto"/>
            </w:tcBorders>
            <w:hideMark/>
          </w:tcPr>
          <w:p w14:paraId="4417502A" w14:textId="77777777" w:rsidR="00776316" w:rsidRDefault="00776316">
            <w:pPr>
              <w:snapToGrid w:val="0"/>
              <w:jc w:val="center"/>
              <w:rPr>
                <w:sz w:val="16"/>
                <w:szCs w:val="16"/>
              </w:rPr>
            </w:pPr>
            <w:r>
              <w:rPr>
                <w:sz w:val="16"/>
                <w:szCs w:val="16"/>
              </w:rPr>
              <w:t>8</w:t>
            </w:r>
          </w:p>
        </w:tc>
        <w:tc>
          <w:tcPr>
            <w:tcW w:w="567" w:type="dxa"/>
            <w:tcBorders>
              <w:top w:val="single" w:sz="4" w:space="0" w:color="auto"/>
              <w:left w:val="single" w:sz="4" w:space="0" w:color="auto"/>
              <w:bottom w:val="single" w:sz="4" w:space="0" w:color="auto"/>
              <w:right w:val="single" w:sz="4" w:space="0" w:color="auto"/>
            </w:tcBorders>
            <w:hideMark/>
          </w:tcPr>
          <w:p w14:paraId="4D6B30AD" w14:textId="77777777" w:rsidR="00776316" w:rsidRDefault="00776316">
            <w:pPr>
              <w:snapToGrid w:val="0"/>
              <w:jc w:val="center"/>
              <w:rPr>
                <w:sz w:val="16"/>
                <w:szCs w:val="16"/>
              </w:rPr>
            </w:pPr>
            <w:r>
              <w:rPr>
                <w:sz w:val="16"/>
                <w:szCs w:val="16"/>
              </w:rPr>
              <w:t>14</w:t>
            </w:r>
          </w:p>
        </w:tc>
        <w:tc>
          <w:tcPr>
            <w:tcW w:w="591" w:type="dxa"/>
            <w:tcBorders>
              <w:top w:val="single" w:sz="4" w:space="0" w:color="auto"/>
              <w:left w:val="single" w:sz="4" w:space="0" w:color="auto"/>
              <w:bottom w:val="single" w:sz="4" w:space="0" w:color="auto"/>
              <w:right w:val="single" w:sz="4" w:space="0" w:color="auto"/>
            </w:tcBorders>
            <w:hideMark/>
          </w:tcPr>
          <w:p w14:paraId="24373963" w14:textId="77777777" w:rsidR="00776316" w:rsidRDefault="00776316">
            <w:pPr>
              <w:snapToGrid w:val="0"/>
              <w:jc w:val="center"/>
              <w:rPr>
                <w:sz w:val="16"/>
                <w:szCs w:val="16"/>
              </w:rPr>
            </w:pPr>
            <w:r>
              <w:rPr>
                <w:sz w:val="16"/>
                <w:szCs w:val="16"/>
              </w:rPr>
              <w:t>K/µL</w:t>
            </w:r>
          </w:p>
        </w:tc>
      </w:tr>
      <w:tr w:rsidR="00776316" w14:paraId="647EF8E6"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47C55120" w14:textId="77777777" w:rsidR="00776316" w:rsidRDefault="00776316">
            <w:pPr>
              <w:rPr>
                <w:sz w:val="16"/>
                <w:szCs w:val="16"/>
              </w:rPr>
            </w:pPr>
            <w:r>
              <w:rPr>
                <w:sz w:val="16"/>
                <w:szCs w:val="16"/>
              </w:rPr>
              <w:t>RDW-CV</w:t>
            </w:r>
          </w:p>
        </w:tc>
        <w:tc>
          <w:tcPr>
            <w:tcW w:w="673" w:type="dxa"/>
            <w:tcBorders>
              <w:top w:val="single" w:sz="4" w:space="0" w:color="auto"/>
              <w:left w:val="single" w:sz="4" w:space="0" w:color="auto"/>
              <w:bottom w:val="single" w:sz="4" w:space="0" w:color="auto"/>
              <w:right w:val="single" w:sz="4" w:space="0" w:color="auto"/>
            </w:tcBorders>
            <w:hideMark/>
          </w:tcPr>
          <w:p w14:paraId="77C61469" w14:textId="77777777" w:rsidR="00776316" w:rsidRDefault="00776316">
            <w:pPr>
              <w:jc w:val="right"/>
              <w:rPr>
                <w:sz w:val="16"/>
                <w:szCs w:val="16"/>
              </w:rPr>
            </w:pPr>
            <w:r>
              <w:rPr>
                <w:sz w:val="16"/>
                <w:szCs w:val="16"/>
              </w:rPr>
              <w:t>18.4</w:t>
            </w:r>
          </w:p>
        </w:tc>
        <w:tc>
          <w:tcPr>
            <w:tcW w:w="709" w:type="dxa"/>
            <w:tcBorders>
              <w:top w:val="single" w:sz="4" w:space="0" w:color="auto"/>
              <w:left w:val="single" w:sz="4" w:space="0" w:color="auto"/>
              <w:bottom w:val="single" w:sz="4" w:space="0" w:color="auto"/>
              <w:right w:val="single" w:sz="4" w:space="0" w:color="auto"/>
            </w:tcBorders>
            <w:hideMark/>
          </w:tcPr>
          <w:p w14:paraId="0509ED8B" w14:textId="77777777" w:rsidR="00776316" w:rsidRDefault="00776316">
            <w:pPr>
              <w:jc w:val="right"/>
              <w:rPr>
                <w:sz w:val="16"/>
                <w:szCs w:val="16"/>
              </w:rPr>
            </w:pPr>
            <w:r>
              <w:rPr>
                <w:sz w:val="16"/>
                <w:szCs w:val="16"/>
              </w:rPr>
              <w:t>21.2</w:t>
            </w:r>
          </w:p>
        </w:tc>
        <w:tc>
          <w:tcPr>
            <w:tcW w:w="623" w:type="dxa"/>
            <w:tcBorders>
              <w:top w:val="single" w:sz="4" w:space="0" w:color="auto"/>
              <w:left w:val="single" w:sz="4" w:space="0" w:color="auto"/>
              <w:bottom w:val="single" w:sz="4" w:space="0" w:color="auto"/>
              <w:right w:val="single" w:sz="4" w:space="0" w:color="auto"/>
            </w:tcBorders>
            <w:hideMark/>
          </w:tcPr>
          <w:p w14:paraId="68EAA876" w14:textId="77777777" w:rsidR="00776316" w:rsidRDefault="00776316">
            <w:pPr>
              <w:jc w:val="right"/>
              <w:rPr>
                <w:sz w:val="16"/>
                <w:szCs w:val="16"/>
              </w:rPr>
            </w:pPr>
            <w:r>
              <w:rPr>
                <w:sz w:val="16"/>
                <w:szCs w:val="16"/>
              </w:rPr>
              <w:t>21.9</w:t>
            </w:r>
          </w:p>
        </w:tc>
        <w:tc>
          <w:tcPr>
            <w:tcW w:w="630" w:type="dxa"/>
            <w:tcBorders>
              <w:top w:val="single" w:sz="4" w:space="0" w:color="auto"/>
              <w:left w:val="single" w:sz="4" w:space="0" w:color="auto"/>
              <w:bottom w:val="single" w:sz="4" w:space="0" w:color="auto"/>
              <w:right w:val="single" w:sz="4" w:space="0" w:color="auto"/>
            </w:tcBorders>
            <w:hideMark/>
          </w:tcPr>
          <w:p w14:paraId="0D4DB533" w14:textId="77777777" w:rsidR="00776316" w:rsidRDefault="00776316">
            <w:pPr>
              <w:jc w:val="right"/>
              <w:rPr>
                <w:sz w:val="16"/>
                <w:szCs w:val="16"/>
              </w:rPr>
            </w:pPr>
            <w:r>
              <w:rPr>
                <w:sz w:val="16"/>
                <w:szCs w:val="16"/>
              </w:rPr>
              <w:t>23.3</w:t>
            </w:r>
          </w:p>
        </w:tc>
        <w:tc>
          <w:tcPr>
            <w:tcW w:w="630" w:type="dxa"/>
            <w:tcBorders>
              <w:top w:val="single" w:sz="4" w:space="0" w:color="auto"/>
              <w:left w:val="single" w:sz="4" w:space="0" w:color="auto"/>
              <w:bottom w:val="single" w:sz="4" w:space="0" w:color="auto"/>
              <w:right w:val="single" w:sz="4" w:space="0" w:color="auto"/>
            </w:tcBorders>
            <w:vAlign w:val="bottom"/>
            <w:hideMark/>
          </w:tcPr>
          <w:p w14:paraId="792D2271" w14:textId="77777777" w:rsidR="00776316" w:rsidRDefault="00776316">
            <w:pPr>
              <w:jc w:val="right"/>
              <w:rPr>
                <w:sz w:val="16"/>
                <w:szCs w:val="16"/>
              </w:rPr>
            </w:pPr>
            <w:r>
              <w:rPr>
                <w:sz w:val="16"/>
                <w:szCs w:val="16"/>
              </w:rPr>
              <w:t>15.6</w:t>
            </w:r>
          </w:p>
        </w:tc>
        <w:tc>
          <w:tcPr>
            <w:tcW w:w="630" w:type="dxa"/>
            <w:tcBorders>
              <w:top w:val="single" w:sz="4" w:space="0" w:color="auto"/>
              <w:left w:val="single" w:sz="4" w:space="0" w:color="auto"/>
              <w:bottom w:val="single" w:sz="4" w:space="0" w:color="auto"/>
              <w:right w:val="single" w:sz="4" w:space="0" w:color="auto"/>
            </w:tcBorders>
            <w:vAlign w:val="bottom"/>
            <w:hideMark/>
          </w:tcPr>
          <w:p w14:paraId="538F3CBD" w14:textId="77777777" w:rsidR="00776316" w:rsidRDefault="00776316">
            <w:pPr>
              <w:jc w:val="right"/>
              <w:rPr>
                <w:sz w:val="16"/>
                <w:szCs w:val="16"/>
              </w:rPr>
            </w:pPr>
            <w:r>
              <w:rPr>
                <w:sz w:val="16"/>
                <w:szCs w:val="16"/>
              </w:rPr>
              <w:t>11.9</w:t>
            </w:r>
          </w:p>
        </w:tc>
        <w:tc>
          <w:tcPr>
            <w:tcW w:w="540" w:type="dxa"/>
            <w:tcBorders>
              <w:top w:val="single" w:sz="4" w:space="0" w:color="auto"/>
              <w:left w:val="single" w:sz="4" w:space="0" w:color="auto"/>
              <w:bottom w:val="single" w:sz="4" w:space="0" w:color="auto"/>
              <w:right w:val="single" w:sz="4" w:space="0" w:color="auto"/>
            </w:tcBorders>
            <w:vAlign w:val="bottom"/>
            <w:hideMark/>
          </w:tcPr>
          <w:p w14:paraId="391A09E2" w14:textId="77777777" w:rsidR="00776316" w:rsidRDefault="00776316">
            <w:pPr>
              <w:jc w:val="right"/>
              <w:rPr>
                <w:sz w:val="16"/>
                <w:szCs w:val="16"/>
              </w:rPr>
            </w:pPr>
            <w:r>
              <w:rPr>
                <w:sz w:val="16"/>
                <w:szCs w:val="16"/>
              </w:rPr>
              <w:t>12</w:t>
            </w:r>
          </w:p>
        </w:tc>
        <w:tc>
          <w:tcPr>
            <w:tcW w:w="630" w:type="dxa"/>
            <w:tcBorders>
              <w:top w:val="single" w:sz="4" w:space="0" w:color="auto"/>
              <w:left w:val="single" w:sz="4" w:space="0" w:color="auto"/>
              <w:bottom w:val="single" w:sz="4" w:space="0" w:color="auto"/>
              <w:right w:val="single" w:sz="4" w:space="0" w:color="auto"/>
            </w:tcBorders>
            <w:vAlign w:val="bottom"/>
            <w:hideMark/>
          </w:tcPr>
          <w:p w14:paraId="36F9FA2B" w14:textId="77777777" w:rsidR="00776316" w:rsidRDefault="00776316">
            <w:pPr>
              <w:jc w:val="right"/>
              <w:rPr>
                <w:sz w:val="16"/>
                <w:szCs w:val="16"/>
              </w:rPr>
            </w:pPr>
            <w:r>
              <w:rPr>
                <w:sz w:val="16"/>
                <w:szCs w:val="16"/>
              </w:rPr>
              <w:t>12.7</w:t>
            </w:r>
          </w:p>
        </w:tc>
        <w:tc>
          <w:tcPr>
            <w:tcW w:w="540" w:type="dxa"/>
            <w:tcBorders>
              <w:top w:val="single" w:sz="4" w:space="0" w:color="auto"/>
              <w:left w:val="single" w:sz="4" w:space="0" w:color="auto"/>
              <w:bottom w:val="single" w:sz="4" w:space="0" w:color="auto"/>
              <w:right w:val="single" w:sz="4" w:space="0" w:color="auto"/>
            </w:tcBorders>
            <w:vAlign w:val="bottom"/>
            <w:hideMark/>
          </w:tcPr>
          <w:p w14:paraId="2EFF2002" w14:textId="77777777" w:rsidR="00776316" w:rsidRDefault="00776316">
            <w:pPr>
              <w:jc w:val="right"/>
              <w:rPr>
                <w:sz w:val="16"/>
                <w:szCs w:val="16"/>
              </w:rPr>
            </w:pPr>
            <w:r>
              <w:rPr>
                <w:sz w:val="16"/>
                <w:szCs w:val="16"/>
              </w:rPr>
              <w:t>13.6</w:t>
            </w:r>
          </w:p>
        </w:tc>
        <w:tc>
          <w:tcPr>
            <w:tcW w:w="540" w:type="dxa"/>
            <w:tcBorders>
              <w:top w:val="single" w:sz="4" w:space="0" w:color="auto"/>
              <w:left w:val="single" w:sz="4" w:space="0" w:color="auto"/>
              <w:bottom w:val="single" w:sz="4" w:space="0" w:color="auto"/>
              <w:right w:val="single" w:sz="4" w:space="0" w:color="auto"/>
            </w:tcBorders>
            <w:hideMark/>
          </w:tcPr>
          <w:p w14:paraId="0C7BC525" w14:textId="77777777" w:rsidR="00776316" w:rsidRDefault="00776316">
            <w:pPr>
              <w:jc w:val="right"/>
              <w:rPr>
                <w:sz w:val="16"/>
                <w:szCs w:val="16"/>
              </w:rPr>
            </w:pPr>
            <w:r>
              <w:rPr>
                <w:sz w:val="16"/>
                <w:szCs w:val="16"/>
              </w:rPr>
              <w:t>15.0</w:t>
            </w:r>
          </w:p>
        </w:tc>
        <w:tc>
          <w:tcPr>
            <w:tcW w:w="540" w:type="dxa"/>
            <w:tcBorders>
              <w:top w:val="single" w:sz="4" w:space="0" w:color="auto"/>
              <w:left w:val="single" w:sz="4" w:space="0" w:color="auto"/>
              <w:bottom w:val="single" w:sz="4" w:space="0" w:color="auto"/>
              <w:right w:val="single" w:sz="4" w:space="0" w:color="auto"/>
            </w:tcBorders>
            <w:hideMark/>
          </w:tcPr>
          <w:p w14:paraId="0346DCCF" w14:textId="77777777" w:rsidR="00776316" w:rsidRDefault="00776316">
            <w:pPr>
              <w:jc w:val="right"/>
              <w:rPr>
                <w:sz w:val="16"/>
                <w:szCs w:val="16"/>
              </w:rPr>
            </w:pPr>
            <w:r>
              <w:rPr>
                <w:sz w:val="16"/>
                <w:szCs w:val="16"/>
              </w:rPr>
              <w:t>16.1</w:t>
            </w:r>
          </w:p>
        </w:tc>
        <w:tc>
          <w:tcPr>
            <w:tcW w:w="540" w:type="dxa"/>
            <w:tcBorders>
              <w:top w:val="single" w:sz="4" w:space="0" w:color="auto"/>
              <w:left w:val="single" w:sz="4" w:space="0" w:color="auto"/>
              <w:bottom w:val="single" w:sz="4" w:space="0" w:color="auto"/>
              <w:right w:val="single" w:sz="4" w:space="0" w:color="auto"/>
            </w:tcBorders>
            <w:hideMark/>
          </w:tcPr>
          <w:p w14:paraId="5091A5CC" w14:textId="77777777" w:rsidR="00776316" w:rsidRDefault="00776316">
            <w:pPr>
              <w:snapToGrid w:val="0"/>
              <w:jc w:val="right"/>
              <w:rPr>
                <w:sz w:val="16"/>
                <w:szCs w:val="16"/>
              </w:rPr>
            </w:pPr>
            <w:r>
              <w:rPr>
                <w:sz w:val="16"/>
                <w:szCs w:val="16"/>
              </w:rPr>
              <w:t>16.8</w:t>
            </w:r>
          </w:p>
        </w:tc>
        <w:tc>
          <w:tcPr>
            <w:tcW w:w="704" w:type="dxa"/>
            <w:tcBorders>
              <w:top w:val="single" w:sz="4" w:space="0" w:color="auto"/>
              <w:left w:val="single" w:sz="4" w:space="0" w:color="auto"/>
              <w:bottom w:val="single" w:sz="4" w:space="0" w:color="auto"/>
              <w:right w:val="single" w:sz="4" w:space="0" w:color="auto"/>
            </w:tcBorders>
            <w:hideMark/>
          </w:tcPr>
          <w:p w14:paraId="7E927094" w14:textId="77777777" w:rsidR="00776316" w:rsidRDefault="00776316">
            <w:pPr>
              <w:snapToGrid w:val="0"/>
              <w:jc w:val="center"/>
              <w:rPr>
                <w:sz w:val="16"/>
                <w:szCs w:val="16"/>
              </w:rPr>
            </w:pPr>
            <w:r>
              <w:rPr>
                <w:sz w:val="16"/>
                <w:szCs w:val="16"/>
              </w:rPr>
              <w:t>17.3</w:t>
            </w:r>
          </w:p>
        </w:tc>
        <w:tc>
          <w:tcPr>
            <w:tcW w:w="630" w:type="dxa"/>
            <w:tcBorders>
              <w:top w:val="single" w:sz="4" w:space="0" w:color="auto"/>
              <w:left w:val="single" w:sz="4" w:space="0" w:color="auto"/>
              <w:bottom w:val="single" w:sz="4" w:space="0" w:color="auto"/>
              <w:right w:val="single" w:sz="4" w:space="0" w:color="auto"/>
            </w:tcBorders>
            <w:hideMark/>
          </w:tcPr>
          <w:p w14:paraId="52F5DD11" w14:textId="77777777" w:rsidR="00776316" w:rsidRDefault="00776316">
            <w:pPr>
              <w:snapToGrid w:val="0"/>
              <w:jc w:val="center"/>
              <w:rPr>
                <w:sz w:val="16"/>
                <w:szCs w:val="16"/>
              </w:rPr>
            </w:pPr>
            <w:r>
              <w:rPr>
                <w:sz w:val="16"/>
                <w:szCs w:val="16"/>
              </w:rPr>
              <w:t>17.9</w:t>
            </w:r>
          </w:p>
        </w:tc>
        <w:tc>
          <w:tcPr>
            <w:tcW w:w="567" w:type="dxa"/>
            <w:tcBorders>
              <w:top w:val="single" w:sz="4" w:space="0" w:color="auto"/>
              <w:left w:val="single" w:sz="4" w:space="0" w:color="auto"/>
              <w:bottom w:val="single" w:sz="4" w:space="0" w:color="auto"/>
              <w:right w:val="single" w:sz="4" w:space="0" w:color="auto"/>
            </w:tcBorders>
            <w:hideMark/>
          </w:tcPr>
          <w:p w14:paraId="3D2EC665" w14:textId="77777777" w:rsidR="00776316" w:rsidRDefault="00776316">
            <w:pPr>
              <w:snapToGrid w:val="0"/>
              <w:jc w:val="center"/>
              <w:rPr>
                <w:sz w:val="16"/>
                <w:szCs w:val="16"/>
              </w:rPr>
            </w:pPr>
            <w:r>
              <w:rPr>
                <w:sz w:val="16"/>
                <w:szCs w:val="16"/>
              </w:rPr>
              <w:t>15.9</w:t>
            </w:r>
          </w:p>
        </w:tc>
        <w:tc>
          <w:tcPr>
            <w:tcW w:w="591" w:type="dxa"/>
            <w:tcBorders>
              <w:top w:val="single" w:sz="4" w:space="0" w:color="auto"/>
              <w:left w:val="single" w:sz="4" w:space="0" w:color="auto"/>
              <w:bottom w:val="single" w:sz="4" w:space="0" w:color="auto"/>
              <w:right w:val="single" w:sz="4" w:space="0" w:color="auto"/>
            </w:tcBorders>
            <w:hideMark/>
          </w:tcPr>
          <w:p w14:paraId="467DD5C6" w14:textId="77777777" w:rsidR="00776316" w:rsidRDefault="00776316">
            <w:pPr>
              <w:snapToGrid w:val="0"/>
              <w:jc w:val="center"/>
              <w:rPr>
                <w:sz w:val="16"/>
                <w:szCs w:val="16"/>
              </w:rPr>
            </w:pPr>
            <w:r>
              <w:rPr>
                <w:sz w:val="16"/>
                <w:szCs w:val="16"/>
              </w:rPr>
              <w:t>%</w:t>
            </w:r>
          </w:p>
        </w:tc>
      </w:tr>
      <w:tr w:rsidR="00776316" w14:paraId="12D16EAD"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761F85F0" w14:textId="77777777" w:rsidR="00776316" w:rsidRDefault="00776316">
            <w:pPr>
              <w:rPr>
                <w:sz w:val="16"/>
                <w:szCs w:val="16"/>
              </w:rPr>
            </w:pPr>
            <w:r>
              <w:rPr>
                <w:sz w:val="16"/>
                <w:szCs w:val="16"/>
              </w:rPr>
              <w:t>PDW</w:t>
            </w:r>
          </w:p>
        </w:tc>
        <w:tc>
          <w:tcPr>
            <w:tcW w:w="673" w:type="dxa"/>
            <w:tcBorders>
              <w:top w:val="single" w:sz="4" w:space="0" w:color="auto"/>
              <w:left w:val="single" w:sz="4" w:space="0" w:color="auto"/>
              <w:bottom w:val="single" w:sz="4" w:space="0" w:color="auto"/>
              <w:right w:val="single" w:sz="4" w:space="0" w:color="auto"/>
            </w:tcBorders>
            <w:hideMark/>
          </w:tcPr>
          <w:p w14:paraId="32624817" w14:textId="77777777" w:rsidR="00776316" w:rsidRDefault="00776316">
            <w:pPr>
              <w:jc w:val="right"/>
              <w:rPr>
                <w:sz w:val="16"/>
                <w:szCs w:val="16"/>
              </w:rPr>
            </w:pPr>
            <w:r>
              <w:rPr>
                <w:sz w:val="16"/>
                <w:szCs w:val="16"/>
              </w:rPr>
              <w:t>8.3</w:t>
            </w:r>
          </w:p>
        </w:tc>
        <w:tc>
          <w:tcPr>
            <w:tcW w:w="709" w:type="dxa"/>
            <w:tcBorders>
              <w:top w:val="single" w:sz="4" w:space="0" w:color="auto"/>
              <w:left w:val="single" w:sz="4" w:space="0" w:color="auto"/>
              <w:bottom w:val="single" w:sz="4" w:space="0" w:color="auto"/>
              <w:right w:val="single" w:sz="4" w:space="0" w:color="auto"/>
            </w:tcBorders>
            <w:hideMark/>
          </w:tcPr>
          <w:p w14:paraId="7F747697" w14:textId="77777777" w:rsidR="00776316" w:rsidRDefault="00776316">
            <w:pPr>
              <w:jc w:val="right"/>
              <w:rPr>
                <w:sz w:val="16"/>
                <w:szCs w:val="16"/>
              </w:rPr>
            </w:pPr>
            <w:r>
              <w:rPr>
                <w:sz w:val="16"/>
                <w:szCs w:val="16"/>
              </w:rPr>
              <w:t>9.3</w:t>
            </w:r>
          </w:p>
        </w:tc>
        <w:tc>
          <w:tcPr>
            <w:tcW w:w="623" w:type="dxa"/>
            <w:tcBorders>
              <w:top w:val="single" w:sz="4" w:space="0" w:color="auto"/>
              <w:left w:val="single" w:sz="4" w:space="0" w:color="auto"/>
              <w:bottom w:val="single" w:sz="4" w:space="0" w:color="auto"/>
              <w:right w:val="single" w:sz="4" w:space="0" w:color="auto"/>
            </w:tcBorders>
            <w:hideMark/>
          </w:tcPr>
          <w:p w14:paraId="31F66FB3" w14:textId="77777777" w:rsidR="00776316" w:rsidRDefault="00776316">
            <w:pPr>
              <w:jc w:val="right"/>
              <w:rPr>
                <w:sz w:val="16"/>
                <w:szCs w:val="16"/>
              </w:rPr>
            </w:pPr>
            <w:r>
              <w:rPr>
                <w:sz w:val="16"/>
                <w:szCs w:val="16"/>
              </w:rPr>
              <w:t>10.2</w:t>
            </w:r>
          </w:p>
        </w:tc>
        <w:tc>
          <w:tcPr>
            <w:tcW w:w="630" w:type="dxa"/>
            <w:tcBorders>
              <w:top w:val="single" w:sz="4" w:space="0" w:color="auto"/>
              <w:left w:val="single" w:sz="4" w:space="0" w:color="auto"/>
              <w:bottom w:val="single" w:sz="4" w:space="0" w:color="auto"/>
              <w:right w:val="single" w:sz="4" w:space="0" w:color="auto"/>
            </w:tcBorders>
            <w:hideMark/>
          </w:tcPr>
          <w:p w14:paraId="5627EEC8" w14:textId="77777777" w:rsidR="00776316" w:rsidRDefault="00776316">
            <w:pPr>
              <w:jc w:val="right"/>
              <w:rPr>
                <w:sz w:val="16"/>
                <w:szCs w:val="16"/>
              </w:rPr>
            </w:pPr>
            <w:r>
              <w:rPr>
                <w:sz w:val="16"/>
                <w:szCs w:val="16"/>
              </w:rPr>
              <w:t>9</w:t>
            </w:r>
          </w:p>
        </w:tc>
        <w:tc>
          <w:tcPr>
            <w:tcW w:w="630" w:type="dxa"/>
            <w:tcBorders>
              <w:top w:val="single" w:sz="4" w:space="0" w:color="auto"/>
              <w:left w:val="single" w:sz="4" w:space="0" w:color="auto"/>
              <w:bottom w:val="single" w:sz="4" w:space="0" w:color="auto"/>
              <w:right w:val="single" w:sz="4" w:space="0" w:color="auto"/>
            </w:tcBorders>
            <w:vAlign w:val="bottom"/>
            <w:hideMark/>
          </w:tcPr>
          <w:p w14:paraId="550056CE" w14:textId="77777777" w:rsidR="00776316" w:rsidRDefault="00776316">
            <w:pPr>
              <w:jc w:val="right"/>
              <w:rPr>
                <w:sz w:val="16"/>
                <w:szCs w:val="16"/>
              </w:rPr>
            </w:pPr>
            <w:r>
              <w:rPr>
                <w:sz w:val="16"/>
                <w:szCs w:val="16"/>
              </w:rPr>
              <w:t>9.1</w:t>
            </w:r>
          </w:p>
        </w:tc>
        <w:tc>
          <w:tcPr>
            <w:tcW w:w="630" w:type="dxa"/>
            <w:tcBorders>
              <w:top w:val="single" w:sz="4" w:space="0" w:color="auto"/>
              <w:left w:val="single" w:sz="4" w:space="0" w:color="auto"/>
              <w:bottom w:val="single" w:sz="4" w:space="0" w:color="auto"/>
              <w:right w:val="single" w:sz="4" w:space="0" w:color="auto"/>
            </w:tcBorders>
            <w:vAlign w:val="bottom"/>
            <w:hideMark/>
          </w:tcPr>
          <w:p w14:paraId="090F091C" w14:textId="77777777" w:rsidR="00776316" w:rsidRDefault="00776316">
            <w:pPr>
              <w:jc w:val="right"/>
              <w:rPr>
                <w:sz w:val="16"/>
                <w:szCs w:val="16"/>
              </w:rPr>
            </w:pPr>
            <w:r>
              <w:rPr>
                <w:sz w:val="16"/>
                <w:szCs w:val="16"/>
              </w:rPr>
              <w:t>10.2</w:t>
            </w:r>
          </w:p>
        </w:tc>
        <w:tc>
          <w:tcPr>
            <w:tcW w:w="540" w:type="dxa"/>
            <w:tcBorders>
              <w:top w:val="single" w:sz="4" w:space="0" w:color="auto"/>
              <w:left w:val="single" w:sz="4" w:space="0" w:color="auto"/>
              <w:bottom w:val="single" w:sz="4" w:space="0" w:color="auto"/>
              <w:right w:val="single" w:sz="4" w:space="0" w:color="auto"/>
            </w:tcBorders>
            <w:vAlign w:val="bottom"/>
            <w:hideMark/>
          </w:tcPr>
          <w:p w14:paraId="20DD3CB5" w14:textId="77777777" w:rsidR="00776316" w:rsidRDefault="00776316">
            <w:pPr>
              <w:jc w:val="right"/>
              <w:rPr>
                <w:sz w:val="16"/>
                <w:szCs w:val="16"/>
              </w:rPr>
            </w:pPr>
            <w:r>
              <w:rPr>
                <w:sz w:val="16"/>
                <w:szCs w:val="16"/>
              </w:rPr>
              <w:t>10.6</w:t>
            </w:r>
          </w:p>
        </w:tc>
        <w:tc>
          <w:tcPr>
            <w:tcW w:w="630" w:type="dxa"/>
            <w:tcBorders>
              <w:top w:val="single" w:sz="4" w:space="0" w:color="auto"/>
              <w:left w:val="single" w:sz="4" w:space="0" w:color="auto"/>
              <w:bottom w:val="single" w:sz="4" w:space="0" w:color="auto"/>
              <w:right w:val="single" w:sz="4" w:space="0" w:color="auto"/>
            </w:tcBorders>
            <w:vAlign w:val="bottom"/>
            <w:hideMark/>
          </w:tcPr>
          <w:p w14:paraId="626EB4CF" w14:textId="77777777" w:rsidR="00776316" w:rsidRDefault="00776316">
            <w:pPr>
              <w:jc w:val="right"/>
              <w:rPr>
                <w:sz w:val="16"/>
                <w:szCs w:val="16"/>
              </w:rPr>
            </w:pPr>
            <w:r>
              <w:rPr>
                <w:sz w:val="16"/>
                <w:szCs w:val="16"/>
              </w:rPr>
              <w:t>12.3</w:t>
            </w:r>
          </w:p>
        </w:tc>
        <w:tc>
          <w:tcPr>
            <w:tcW w:w="540" w:type="dxa"/>
            <w:tcBorders>
              <w:top w:val="single" w:sz="4" w:space="0" w:color="auto"/>
              <w:left w:val="single" w:sz="4" w:space="0" w:color="auto"/>
              <w:bottom w:val="single" w:sz="4" w:space="0" w:color="auto"/>
              <w:right w:val="single" w:sz="4" w:space="0" w:color="auto"/>
            </w:tcBorders>
            <w:vAlign w:val="bottom"/>
            <w:hideMark/>
          </w:tcPr>
          <w:p w14:paraId="4C1B46DC" w14:textId="77777777" w:rsidR="00776316" w:rsidRDefault="00776316">
            <w:pPr>
              <w:jc w:val="right"/>
              <w:rPr>
                <w:sz w:val="16"/>
                <w:szCs w:val="16"/>
              </w:rPr>
            </w:pPr>
            <w:r>
              <w:rPr>
                <w:sz w:val="16"/>
                <w:szCs w:val="16"/>
              </w:rPr>
              <w:t>13.6</w:t>
            </w:r>
          </w:p>
        </w:tc>
        <w:tc>
          <w:tcPr>
            <w:tcW w:w="540" w:type="dxa"/>
            <w:tcBorders>
              <w:top w:val="single" w:sz="4" w:space="0" w:color="auto"/>
              <w:left w:val="single" w:sz="4" w:space="0" w:color="auto"/>
              <w:bottom w:val="single" w:sz="4" w:space="0" w:color="auto"/>
              <w:right w:val="single" w:sz="4" w:space="0" w:color="auto"/>
            </w:tcBorders>
            <w:hideMark/>
          </w:tcPr>
          <w:p w14:paraId="4D7A41B5" w14:textId="77777777" w:rsidR="00776316" w:rsidRDefault="00776316">
            <w:pPr>
              <w:jc w:val="right"/>
              <w:rPr>
                <w:sz w:val="16"/>
                <w:szCs w:val="16"/>
              </w:rPr>
            </w:pPr>
            <w:r>
              <w:rPr>
                <w:sz w:val="16"/>
                <w:szCs w:val="16"/>
              </w:rPr>
              <w:t>11.6</w:t>
            </w:r>
          </w:p>
        </w:tc>
        <w:tc>
          <w:tcPr>
            <w:tcW w:w="540" w:type="dxa"/>
            <w:tcBorders>
              <w:top w:val="single" w:sz="4" w:space="0" w:color="auto"/>
              <w:left w:val="single" w:sz="4" w:space="0" w:color="auto"/>
              <w:bottom w:val="single" w:sz="4" w:space="0" w:color="auto"/>
              <w:right w:val="single" w:sz="4" w:space="0" w:color="auto"/>
            </w:tcBorders>
            <w:hideMark/>
          </w:tcPr>
          <w:p w14:paraId="6637AA26" w14:textId="77777777" w:rsidR="00776316" w:rsidRDefault="00776316">
            <w:pPr>
              <w:jc w:val="right"/>
              <w:rPr>
                <w:sz w:val="16"/>
                <w:szCs w:val="16"/>
              </w:rPr>
            </w:pPr>
            <w:r>
              <w:rPr>
                <w:sz w:val="16"/>
                <w:szCs w:val="16"/>
              </w:rPr>
              <w:t>10.3</w:t>
            </w:r>
          </w:p>
        </w:tc>
        <w:tc>
          <w:tcPr>
            <w:tcW w:w="540" w:type="dxa"/>
            <w:tcBorders>
              <w:top w:val="single" w:sz="4" w:space="0" w:color="auto"/>
              <w:left w:val="single" w:sz="4" w:space="0" w:color="auto"/>
              <w:bottom w:val="single" w:sz="4" w:space="0" w:color="auto"/>
              <w:right w:val="single" w:sz="4" w:space="0" w:color="auto"/>
            </w:tcBorders>
            <w:hideMark/>
          </w:tcPr>
          <w:p w14:paraId="00875524" w14:textId="77777777" w:rsidR="00776316" w:rsidRDefault="00776316">
            <w:pPr>
              <w:snapToGrid w:val="0"/>
              <w:jc w:val="right"/>
              <w:rPr>
                <w:sz w:val="16"/>
                <w:szCs w:val="16"/>
              </w:rPr>
            </w:pPr>
            <w:r>
              <w:rPr>
                <w:sz w:val="16"/>
                <w:szCs w:val="16"/>
              </w:rPr>
              <w:t>11.2</w:t>
            </w:r>
          </w:p>
        </w:tc>
        <w:tc>
          <w:tcPr>
            <w:tcW w:w="704" w:type="dxa"/>
            <w:tcBorders>
              <w:top w:val="single" w:sz="4" w:space="0" w:color="auto"/>
              <w:left w:val="single" w:sz="4" w:space="0" w:color="auto"/>
              <w:bottom w:val="single" w:sz="4" w:space="0" w:color="auto"/>
              <w:right w:val="single" w:sz="4" w:space="0" w:color="auto"/>
            </w:tcBorders>
            <w:hideMark/>
          </w:tcPr>
          <w:p w14:paraId="62D9F7AE" w14:textId="77777777" w:rsidR="00776316" w:rsidRDefault="00776316">
            <w:pPr>
              <w:snapToGrid w:val="0"/>
              <w:rPr>
                <w:sz w:val="16"/>
                <w:szCs w:val="16"/>
              </w:rPr>
            </w:pPr>
            <w:r>
              <w:rPr>
                <w:sz w:val="16"/>
                <w:szCs w:val="16"/>
              </w:rPr>
              <w:t>12.2</w:t>
            </w:r>
          </w:p>
        </w:tc>
        <w:tc>
          <w:tcPr>
            <w:tcW w:w="630" w:type="dxa"/>
            <w:tcBorders>
              <w:top w:val="single" w:sz="4" w:space="0" w:color="auto"/>
              <w:left w:val="single" w:sz="4" w:space="0" w:color="auto"/>
              <w:bottom w:val="single" w:sz="4" w:space="0" w:color="auto"/>
              <w:right w:val="single" w:sz="4" w:space="0" w:color="auto"/>
            </w:tcBorders>
            <w:hideMark/>
          </w:tcPr>
          <w:p w14:paraId="5EFFB17E" w14:textId="77777777" w:rsidR="00776316" w:rsidRDefault="00776316">
            <w:pPr>
              <w:snapToGrid w:val="0"/>
              <w:rPr>
                <w:sz w:val="16"/>
                <w:szCs w:val="16"/>
              </w:rPr>
            </w:pPr>
            <w:r>
              <w:rPr>
                <w:sz w:val="16"/>
                <w:szCs w:val="16"/>
              </w:rPr>
              <w:t xml:space="preserve"> 13.2</w:t>
            </w:r>
          </w:p>
        </w:tc>
        <w:tc>
          <w:tcPr>
            <w:tcW w:w="567" w:type="dxa"/>
            <w:tcBorders>
              <w:top w:val="single" w:sz="4" w:space="0" w:color="auto"/>
              <w:left w:val="single" w:sz="4" w:space="0" w:color="auto"/>
              <w:bottom w:val="single" w:sz="4" w:space="0" w:color="auto"/>
              <w:right w:val="single" w:sz="4" w:space="0" w:color="auto"/>
            </w:tcBorders>
            <w:hideMark/>
          </w:tcPr>
          <w:p w14:paraId="12490791" w14:textId="77777777" w:rsidR="00776316" w:rsidRDefault="00776316">
            <w:pPr>
              <w:snapToGrid w:val="0"/>
              <w:rPr>
                <w:sz w:val="16"/>
                <w:szCs w:val="16"/>
              </w:rPr>
            </w:pPr>
            <w:r>
              <w:rPr>
                <w:sz w:val="16"/>
                <w:szCs w:val="16"/>
              </w:rPr>
              <w:t xml:space="preserve">  9.7</w:t>
            </w:r>
          </w:p>
        </w:tc>
        <w:tc>
          <w:tcPr>
            <w:tcW w:w="591" w:type="dxa"/>
            <w:tcBorders>
              <w:top w:val="single" w:sz="4" w:space="0" w:color="auto"/>
              <w:left w:val="single" w:sz="4" w:space="0" w:color="auto"/>
              <w:bottom w:val="single" w:sz="4" w:space="0" w:color="auto"/>
              <w:right w:val="single" w:sz="4" w:space="0" w:color="auto"/>
            </w:tcBorders>
            <w:hideMark/>
          </w:tcPr>
          <w:p w14:paraId="16B40285" w14:textId="77777777" w:rsidR="00776316" w:rsidRDefault="00776316">
            <w:pPr>
              <w:snapToGrid w:val="0"/>
              <w:rPr>
                <w:sz w:val="16"/>
                <w:szCs w:val="16"/>
              </w:rPr>
            </w:pPr>
            <w:r>
              <w:rPr>
                <w:sz w:val="16"/>
                <w:szCs w:val="16"/>
              </w:rPr>
              <w:t xml:space="preserve">    </w:t>
            </w:r>
            <w:proofErr w:type="spellStart"/>
            <w:r>
              <w:rPr>
                <w:sz w:val="16"/>
                <w:szCs w:val="16"/>
              </w:rPr>
              <w:t>fL</w:t>
            </w:r>
            <w:proofErr w:type="spellEnd"/>
          </w:p>
        </w:tc>
      </w:tr>
      <w:tr w:rsidR="00776316" w14:paraId="3B511265"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078FABD5" w14:textId="77777777" w:rsidR="00776316" w:rsidRDefault="00776316">
            <w:pPr>
              <w:rPr>
                <w:sz w:val="16"/>
                <w:szCs w:val="16"/>
              </w:rPr>
            </w:pPr>
            <w:r>
              <w:rPr>
                <w:sz w:val="16"/>
                <w:szCs w:val="16"/>
              </w:rPr>
              <w:t>MPV</w:t>
            </w:r>
          </w:p>
        </w:tc>
        <w:tc>
          <w:tcPr>
            <w:tcW w:w="673" w:type="dxa"/>
            <w:tcBorders>
              <w:top w:val="single" w:sz="4" w:space="0" w:color="auto"/>
              <w:left w:val="single" w:sz="4" w:space="0" w:color="auto"/>
              <w:bottom w:val="single" w:sz="4" w:space="0" w:color="auto"/>
              <w:right w:val="single" w:sz="4" w:space="0" w:color="auto"/>
            </w:tcBorders>
            <w:hideMark/>
          </w:tcPr>
          <w:p w14:paraId="2DBFBAB6" w14:textId="77777777" w:rsidR="00776316" w:rsidRDefault="00776316">
            <w:pPr>
              <w:jc w:val="right"/>
              <w:rPr>
                <w:sz w:val="16"/>
                <w:szCs w:val="16"/>
              </w:rPr>
            </w:pPr>
            <w:r>
              <w:rPr>
                <w:sz w:val="16"/>
                <w:szCs w:val="16"/>
              </w:rPr>
              <w:t>8.9</w:t>
            </w:r>
          </w:p>
        </w:tc>
        <w:tc>
          <w:tcPr>
            <w:tcW w:w="709" w:type="dxa"/>
            <w:tcBorders>
              <w:top w:val="single" w:sz="4" w:space="0" w:color="auto"/>
              <w:left w:val="single" w:sz="4" w:space="0" w:color="auto"/>
              <w:bottom w:val="single" w:sz="4" w:space="0" w:color="auto"/>
              <w:right w:val="single" w:sz="4" w:space="0" w:color="auto"/>
            </w:tcBorders>
            <w:hideMark/>
          </w:tcPr>
          <w:p w14:paraId="2F6A91AA" w14:textId="77777777" w:rsidR="00776316" w:rsidRDefault="00776316">
            <w:pPr>
              <w:jc w:val="right"/>
              <w:rPr>
                <w:sz w:val="16"/>
                <w:szCs w:val="16"/>
              </w:rPr>
            </w:pPr>
            <w:r>
              <w:rPr>
                <w:sz w:val="16"/>
                <w:szCs w:val="16"/>
              </w:rPr>
              <w:t>10</w:t>
            </w:r>
          </w:p>
        </w:tc>
        <w:tc>
          <w:tcPr>
            <w:tcW w:w="623" w:type="dxa"/>
            <w:tcBorders>
              <w:top w:val="single" w:sz="4" w:space="0" w:color="auto"/>
              <w:left w:val="single" w:sz="4" w:space="0" w:color="auto"/>
              <w:bottom w:val="single" w:sz="4" w:space="0" w:color="auto"/>
              <w:right w:val="single" w:sz="4" w:space="0" w:color="auto"/>
            </w:tcBorders>
            <w:hideMark/>
          </w:tcPr>
          <w:p w14:paraId="2662ED6B" w14:textId="77777777" w:rsidR="00776316" w:rsidRDefault="00776316">
            <w:pPr>
              <w:jc w:val="right"/>
              <w:rPr>
                <w:sz w:val="16"/>
                <w:szCs w:val="16"/>
              </w:rPr>
            </w:pPr>
            <w:r>
              <w:rPr>
                <w:sz w:val="16"/>
                <w:szCs w:val="16"/>
              </w:rPr>
              <w:t>10.1</w:t>
            </w:r>
          </w:p>
        </w:tc>
        <w:tc>
          <w:tcPr>
            <w:tcW w:w="630" w:type="dxa"/>
            <w:tcBorders>
              <w:top w:val="single" w:sz="4" w:space="0" w:color="auto"/>
              <w:left w:val="single" w:sz="4" w:space="0" w:color="auto"/>
              <w:bottom w:val="single" w:sz="4" w:space="0" w:color="auto"/>
              <w:right w:val="single" w:sz="4" w:space="0" w:color="auto"/>
            </w:tcBorders>
            <w:hideMark/>
          </w:tcPr>
          <w:p w14:paraId="3C3AE05D" w14:textId="77777777" w:rsidR="00776316" w:rsidRDefault="00776316">
            <w:pPr>
              <w:jc w:val="right"/>
              <w:rPr>
                <w:sz w:val="16"/>
                <w:szCs w:val="16"/>
              </w:rPr>
            </w:pPr>
            <w:r>
              <w:rPr>
                <w:sz w:val="16"/>
                <w:szCs w:val="16"/>
              </w:rPr>
              <w:t>9.7</w:t>
            </w:r>
          </w:p>
        </w:tc>
        <w:tc>
          <w:tcPr>
            <w:tcW w:w="630" w:type="dxa"/>
            <w:tcBorders>
              <w:top w:val="single" w:sz="4" w:space="0" w:color="auto"/>
              <w:left w:val="single" w:sz="4" w:space="0" w:color="auto"/>
              <w:bottom w:val="single" w:sz="4" w:space="0" w:color="auto"/>
              <w:right w:val="single" w:sz="4" w:space="0" w:color="auto"/>
            </w:tcBorders>
            <w:vAlign w:val="bottom"/>
            <w:hideMark/>
          </w:tcPr>
          <w:p w14:paraId="39BE15FE" w14:textId="77777777" w:rsidR="00776316" w:rsidRDefault="00776316">
            <w:pPr>
              <w:jc w:val="right"/>
              <w:rPr>
                <w:sz w:val="16"/>
                <w:szCs w:val="16"/>
              </w:rPr>
            </w:pPr>
            <w:r>
              <w:rPr>
                <w:sz w:val="16"/>
                <w:szCs w:val="16"/>
              </w:rPr>
              <w:t>9.2</w:t>
            </w:r>
          </w:p>
        </w:tc>
        <w:tc>
          <w:tcPr>
            <w:tcW w:w="630" w:type="dxa"/>
            <w:tcBorders>
              <w:top w:val="single" w:sz="4" w:space="0" w:color="auto"/>
              <w:left w:val="single" w:sz="4" w:space="0" w:color="auto"/>
              <w:bottom w:val="single" w:sz="4" w:space="0" w:color="auto"/>
              <w:right w:val="single" w:sz="4" w:space="0" w:color="auto"/>
            </w:tcBorders>
            <w:vAlign w:val="bottom"/>
            <w:hideMark/>
          </w:tcPr>
          <w:p w14:paraId="4C5E92AE" w14:textId="77777777" w:rsidR="00776316" w:rsidRDefault="00776316">
            <w:pPr>
              <w:jc w:val="right"/>
              <w:rPr>
                <w:sz w:val="16"/>
                <w:szCs w:val="16"/>
              </w:rPr>
            </w:pPr>
            <w:r>
              <w:rPr>
                <w:sz w:val="16"/>
                <w:szCs w:val="16"/>
              </w:rPr>
              <w:t>10</w:t>
            </w:r>
          </w:p>
        </w:tc>
        <w:tc>
          <w:tcPr>
            <w:tcW w:w="540" w:type="dxa"/>
            <w:tcBorders>
              <w:top w:val="single" w:sz="4" w:space="0" w:color="auto"/>
              <w:left w:val="single" w:sz="4" w:space="0" w:color="auto"/>
              <w:bottom w:val="single" w:sz="4" w:space="0" w:color="auto"/>
              <w:right w:val="single" w:sz="4" w:space="0" w:color="auto"/>
            </w:tcBorders>
            <w:vAlign w:val="bottom"/>
            <w:hideMark/>
          </w:tcPr>
          <w:p w14:paraId="632DFC25" w14:textId="77777777" w:rsidR="00776316" w:rsidRDefault="00776316">
            <w:pPr>
              <w:jc w:val="right"/>
              <w:rPr>
                <w:sz w:val="16"/>
                <w:szCs w:val="16"/>
              </w:rPr>
            </w:pPr>
            <w:r>
              <w:rPr>
                <w:sz w:val="16"/>
                <w:szCs w:val="16"/>
              </w:rPr>
              <w:t>10</w:t>
            </w:r>
          </w:p>
        </w:tc>
        <w:tc>
          <w:tcPr>
            <w:tcW w:w="630" w:type="dxa"/>
            <w:tcBorders>
              <w:top w:val="single" w:sz="4" w:space="0" w:color="auto"/>
              <w:left w:val="single" w:sz="4" w:space="0" w:color="auto"/>
              <w:bottom w:val="single" w:sz="4" w:space="0" w:color="auto"/>
              <w:right w:val="single" w:sz="4" w:space="0" w:color="auto"/>
            </w:tcBorders>
            <w:vAlign w:val="bottom"/>
            <w:hideMark/>
          </w:tcPr>
          <w:p w14:paraId="762EF699" w14:textId="77777777" w:rsidR="00776316" w:rsidRDefault="00776316">
            <w:pPr>
              <w:jc w:val="right"/>
              <w:rPr>
                <w:sz w:val="16"/>
                <w:szCs w:val="16"/>
              </w:rPr>
            </w:pPr>
            <w:r>
              <w:rPr>
                <w:sz w:val="16"/>
                <w:szCs w:val="16"/>
              </w:rPr>
              <w:t>10.6</w:t>
            </w:r>
          </w:p>
        </w:tc>
        <w:tc>
          <w:tcPr>
            <w:tcW w:w="540" w:type="dxa"/>
            <w:tcBorders>
              <w:top w:val="single" w:sz="4" w:space="0" w:color="auto"/>
              <w:left w:val="single" w:sz="4" w:space="0" w:color="auto"/>
              <w:bottom w:val="single" w:sz="4" w:space="0" w:color="auto"/>
              <w:right w:val="single" w:sz="4" w:space="0" w:color="auto"/>
            </w:tcBorders>
            <w:vAlign w:val="bottom"/>
            <w:hideMark/>
          </w:tcPr>
          <w:p w14:paraId="02B73FA6" w14:textId="77777777" w:rsidR="00776316" w:rsidRDefault="00776316">
            <w:pPr>
              <w:jc w:val="right"/>
              <w:rPr>
                <w:sz w:val="16"/>
                <w:szCs w:val="16"/>
              </w:rPr>
            </w:pPr>
            <w:r>
              <w:rPr>
                <w:sz w:val="16"/>
                <w:szCs w:val="16"/>
              </w:rPr>
              <w:t>11.1</w:t>
            </w:r>
          </w:p>
        </w:tc>
        <w:tc>
          <w:tcPr>
            <w:tcW w:w="540" w:type="dxa"/>
            <w:tcBorders>
              <w:top w:val="single" w:sz="4" w:space="0" w:color="auto"/>
              <w:left w:val="single" w:sz="4" w:space="0" w:color="auto"/>
              <w:bottom w:val="single" w:sz="4" w:space="0" w:color="auto"/>
              <w:right w:val="single" w:sz="4" w:space="0" w:color="auto"/>
            </w:tcBorders>
            <w:hideMark/>
          </w:tcPr>
          <w:p w14:paraId="4B1184B7" w14:textId="77777777" w:rsidR="00776316" w:rsidRDefault="00776316">
            <w:pPr>
              <w:jc w:val="right"/>
              <w:rPr>
                <w:sz w:val="16"/>
                <w:szCs w:val="16"/>
              </w:rPr>
            </w:pPr>
            <w:r>
              <w:rPr>
                <w:sz w:val="16"/>
                <w:szCs w:val="16"/>
              </w:rPr>
              <w:t>10.5</w:t>
            </w:r>
          </w:p>
        </w:tc>
        <w:tc>
          <w:tcPr>
            <w:tcW w:w="540" w:type="dxa"/>
            <w:tcBorders>
              <w:top w:val="single" w:sz="4" w:space="0" w:color="auto"/>
              <w:left w:val="single" w:sz="4" w:space="0" w:color="auto"/>
              <w:bottom w:val="single" w:sz="4" w:space="0" w:color="auto"/>
              <w:right w:val="single" w:sz="4" w:space="0" w:color="auto"/>
            </w:tcBorders>
            <w:hideMark/>
          </w:tcPr>
          <w:p w14:paraId="7A1D5046" w14:textId="77777777" w:rsidR="00776316" w:rsidRDefault="00776316">
            <w:pPr>
              <w:snapToGrid w:val="0"/>
              <w:jc w:val="right"/>
              <w:rPr>
                <w:sz w:val="16"/>
                <w:szCs w:val="16"/>
              </w:rPr>
            </w:pPr>
            <w:r>
              <w:rPr>
                <w:sz w:val="16"/>
                <w:szCs w:val="16"/>
              </w:rPr>
              <w:t>10.2</w:t>
            </w:r>
          </w:p>
        </w:tc>
        <w:tc>
          <w:tcPr>
            <w:tcW w:w="540" w:type="dxa"/>
            <w:tcBorders>
              <w:top w:val="single" w:sz="4" w:space="0" w:color="auto"/>
              <w:left w:val="single" w:sz="4" w:space="0" w:color="auto"/>
              <w:bottom w:val="single" w:sz="4" w:space="0" w:color="auto"/>
              <w:right w:val="single" w:sz="4" w:space="0" w:color="auto"/>
            </w:tcBorders>
            <w:hideMark/>
          </w:tcPr>
          <w:p w14:paraId="519D7E92" w14:textId="77777777" w:rsidR="00776316" w:rsidRDefault="00776316">
            <w:pPr>
              <w:snapToGrid w:val="0"/>
              <w:jc w:val="right"/>
              <w:rPr>
                <w:sz w:val="16"/>
                <w:szCs w:val="16"/>
              </w:rPr>
            </w:pPr>
            <w:r>
              <w:rPr>
                <w:sz w:val="16"/>
                <w:szCs w:val="16"/>
              </w:rPr>
              <w:t>10.1</w:t>
            </w:r>
          </w:p>
        </w:tc>
        <w:tc>
          <w:tcPr>
            <w:tcW w:w="704" w:type="dxa"/>
            <w:tcBorders>
              <w:top w:val="single" w:sz="4" w:space="0" w:color="auto"/>
              <w:left w:val="single" w:sz="4" w:space="0" w:color="auto"/>
              <w:bottom w:val="single" w:sz="4" w:space="0" w:color="auto"/>
              <w:right w:val="single" w:sz="4" w:space="0" w:color="auto"/>
            </w:tcBorders>
            <w:hideMark/>
          </w:tcPr>
          <w:p w14:paraId="220D8BAB" w14:textId="77777777" w:rsidR="00776316" w:rsidRDefault="00776316">
            <w:pPr>
              <w:snapToGrid w:val="0"/>
              <w:rPr>
                <w:sz w:val="16"/>
                <w:szCs w:val="16"/>
              </w:rPr>
            </w:pPr>
            <w:r>
              <w:rPr>
                <w:sz w:val="16"/>
                <w:szCs w:val="16"/>
              </w:rPr>
              <w:t>10.2</w:t>
            </w:r>
          </w:p>
        </w:tc>
        <w:tc>
          <w:tcPr>
            <w:tcW w:w="630" w:type="dxa"/>
            <w:tcBorders>
              <w:top w:val="single" w:sz="4" w:space="0" w:color="auto"/>
              <w:left w:val="single" w:sz="4" w:space="0" w:color="auto"/>
              <w:bottom w:val="single" w:sz="4" w:space="0" w:color="auto"/>
              <w:right w:val="single" w:sz="4" w:space="0" w:color="auto"/>
            </w:tcBorders>
            <w:hideMark/>
          </w:tcPr>
          <w:p w14:paraId="7CB3F6C9" w14:textId="77777777" w:rsidR="00776316" w:rsidRDefault="00776316">
            <w:pPr>
              <w:snapToGrid w:val="0"/>
              <w:rPr>
                <w:sz w:val="16"/>
                <w:szCs w:val="16"/>
              </w:rPr>
            </w:pPr>
            <w:r>
              <w:rPr>
                <w:sz w:val="16"/>
                <w:szCs w:val="16"/>
              </w:rPr>
              <w:t xml:space="preserve"> 11.6</w:t>
            </w:r>
          </w:p>
        </w:tc>
        <w:tc>
          <w:tcPr>
            <w:tcW w:w="567" w:type="dxa"/>
            <w:tcBorders>
              <w:top w:val="single" w:sz="4" w:space="0" w:color="auto"/>
              <w:left w:val="single" w:sz="4" w:space="0" w:color="auto"/>
              <w:bottom w:val="single" w:sz="4" w:space="0" w:color="auto"/>
              <w:right w:val="single" w:sz="4" w:space="0" w:color="auto"/>
            </w:tcBorders>
            <w:hideMark/>
          </w:tcPr>
          <w:p w14:paraId="1F0F6ACB" w14:textId="77777777" w:rsidR="00776316" w:rsidRDefault="00776316">
            <w:pPr>
              <w:snapToGrid w:val="0"/>
              <w:rPr>
                <w:sz w:val="16"/>
                <w:szCs w:val="16"/>
              </w:rPr>
            </w:pPr>
            <w:r>
              <w:rPr>
                <w:sz w:val="16"/>
                <w:szCs w:val="16"/>
              </w:rPr>
              <w:t xml:space="preserve">  9.5</w:t>
            </w:r>
          </w:p>
        </w:tc>
        <w:tc>
          <w:tcPr>
            <w:tcW w:w="591" w:type="dxa"/>
            <w:tcBorders>
              <w:top w:val="single" w:sz="4" w:space="0" w:color="auto"/>
              <w:left w:val="single" w:sz="4" w:space="0" w:color="auto"/>
              <w:bottom w:val="single" w:sz="4" w:space="0" w:color="auto"/>
              <w:right w:val="single" w:sz="4" w:space="0" w:color="auto"/>
            </w:tcBorders>
            <w:hideMark/>
          </w:tcPr>
          <w:p w14:paraId="2D80A545" w14:textId="77777777" w:rsidR="00776316" w:rsidRDefault="00776316">
            <w:pPr>
              <w:snapToGrid w:val="0"/>
              <w:rPr>
                <w:sz w:val="16"/>
                <w:szCs w:val="16"/>
              </w:rPr>
            </w:pPr>
            <w:r>
              <w:rPr>
                <w:sz w:val="16"/>
                <w:szCs w:val="16"/>
              </w:rPr>
              <w:t xml:space="preserve">    </w:t>
            </w:r>
            <w:proofErr w:type="spellStart"/>
            <w:r>
              <w:rPr>
                <w:sz w:val="16"/>
                <w:szCs w:val="16"/>
              </w:rPr>
              <w:t>fL</w:t>
            </w:r>
            <w:proofErr w:type="spellEnd"/>
          </w:p>
        </w:tc>
      </w:tr>
      <w:tr w:rsidR="00776316" w14:paraId="4C6C9647"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303B8DBA" w14:textId="77777777" w:rsidR="00776316" w:rsidRDefault="00776316">
            <w:pPr>
              <w:rPr>
                <w:sz w:val="16"/>
                <w:szCs w:val="16"/>
              </w:rPr>
            </w:pPr>
            <w:r>
              <w:rPr>
                <w:sz w:val="16"/>
                <w:szCs w:val="16"/>
              </w:rPr>
              <w:t>PCT</w:t>
            </w:r>
          </w:p>
        </w:tc>
        <w:tc>
          <w:tcPr>
            <w:tcW w:w="673" w:type="dxa"/>
            <w:tcBorders>
              <w:top w:val="single" w:sz="4" w:space="0" w:color="auto"/>
              <w:left w:val="single" w:sz="4" w:space="0" w:color="auto"/>
              <w:bottom w:val="single" w:sz="4" w:space="0" w:color="auto"/>
              <w:right w:val="single" w:sz="4" w:space="0" w:color="auto"/>
            </w:tcBorders>
            <w:hideMark/>
          </w:tcPr>
          <w:p w14:paraId="77B8D4A9" w14:textId="77777777" w:rsidR="00776316" w:rsidRDefault="00776316">
            <w:pPr>
              <w:jc w:val="right"/>
              <w:rPr>
                <w:sz w:val="16"/>
                <w:szCs w:val="16"/>
              </w:rPr>
            </w:pPr>
            <w:r>
              <w:rPr>
                <w:sz w:val="16"/>
                <w:szCs w:val="16"/>
              </w:rPr>
              <w:t>0.08</w:t>
            </w:r>
          </w:p>
        </w:tc>
        <w:tc>
          <w:tcPr>
            <w:tcW w:w="709" w:type="dxa"/>
            <w:tcBorders>
              <w:top w:val="single" w:sz="4" w:space="0" w:color="auto"/>
              <w:left w:val="single" w:sz="4" w:space="0" w:color="auto"/>
              <w:bottom w:val="single" w:sz="4" w:space="0" w:color="auto"/>
              <w:right w:val="single" w:sz="4" w:space="0" w:color="auto"/>
            </w:tcBorders>
            <w:hideMark/>
          </w:tcPr>
          <w:p w14:paraId="08C34B2A" w14:textId="77777777" w:rsidR="00776316" w:rsidRDefault="00776316">
            <w:pPr>
              <w:jc w:val="right"/>
              <w:rPr>
                <w:sz w:val="16"/>
                <w:szCs w:val="16"/>
              </w:rPr>
            </w:pPr>
            <w:r>
              <w:rPr>
                <w:sz w:val="16"/>
                <w:szCs w:val="16"/>
              </w:rPr>
              <w:t>0.1</w:t>
            </w:r>
          </w:p>
        </w:tc>
        <w:tc>
          <w:tcPr>
            <w:tcW w:w="623" w:type="dxa"/>
            <w:tcBorders>
              <w:top w:val="single" w:sz="4" w:space="0" w:color="auto"/>
              <w:left w:val="single" w:sz="4" w:space="0" w:color="auto"/>
              <w:bottom w:val="single" w:sz="4" w:space="0" w:color="auto"/>
              <w:right w:val="single" w:sz="4" w:space="0" w:color="auto"/>
            </w:tcBorders>
            <w:hideMark/>
          </w:tcPr>
          <w:p w14:paraId="47272FCC" w14:textId="77777777" w:rsidR="00776316" w:rsidRDefault="00776316">
            <w:pPr>
              <w:jc w:val="right"/>
              <w:rPr>
                <w:sz w:val="16"/>
                <w:szCs w:val="16"/>
              </w:rPr>
            </w:pPr>
            <w:r>
              <w:rPr>
                <w:sz w:val="16"/>
                <w:szCs w:val="16"/>
              </w:rPr>
              <w:t>0.1</w:t>
            </w:r>
          </w:p>
        </w:tc>
        <w:tc>
          <w:tcPr>
            <w:tcW w:w="630" w:type="dxa"/>
            <w:tcBorders>
              <w:top w:val="single" w:sz="4" w:space="0" w:color="auto"/>
              <w:left w:val="single" w:sz="4" w:space="0" w:color="auto"/>
              <w:bottom w:val="single" w:sz="4" w:space="0" w:color="auto"/>
              <w:right w:val="single" w:sz="4" w:space="0" w:color="auto"/>
            </w:tcBorders>
            <w:hideMark/>
          </w:tcPr>
          <w:p w14:paraId="45617F06" w14:textId="77777777" w:rsidR="00776316" w:rsidRDefault="00776316">
            <w:pPr>
              <w:jc w:val="right"/>
              <w:rPr>
                <w:sz w:val="16"/>
                <w:szCs w:val="16"/>
              </w:rPr>
            </w:pPr>
            <w:r>
              <w:rPr>
                <w:sz w:val="16"/>
                <w:szCs w:val="16"/>
              </w:rPr>
              <w:t>0.1</w:t>
            </w:r>
          </w:p>
        </w:tc>
        <w:tc>
          <w:tcPr>
            <w:tcW w:w="630" w:type="dxa"/>
            <w:tcBorders>
              <w:top w:val="single" w:sz="4" w:space="0" w:color="auto"/>
              <w:left w:val="single" w:sz="4" w:space="0" w:color="auto"/>
              <w:bottom w:val="single" w:sz="4" w:space="0" w:color="auto"/>
              <w:right w:val="single" w:sz="4" w:space="0" w:color="auto"/>
            </w:tcBorders>
            <w:vAlign w:val="bottom"/>
            <w:hideMark/>
          </w:tcPr>
          <w:p w14:paraId="4852E1D2" w14:textId="77777777" w:rsidR="00776316" w:rsidRDefault="00776316">
            <w:pPr>
              <w:jc w:val="right"/>
              <w:rPr>
                <w:sz w:val="16"/>
                <w:szCs w:val="16"/>
              </w:rPr>
            </w:pPr>
            <w:r>
              <w:rPr>
                <w:sz w:val="16"/>
                <w:szCs w:val="16"/>
              </w:rPr>
              <w:t>0.13</w:t>
            </w:r>
          </w:p>
        </w:tc>
        <w:tc>
          <w:tcPr>
            <w:tcW w:w="630" w:type="dxa"/>
            <w:tcBorders>
              <w:top w:val="single" w:sz="4" w:space="0" w:color="auto"/>
              <w:left w:val="single" w:sz="4" w:space="0" w:color="auto"/>
              <w:bottom w:val="single" w:sz="4" w:space="0" w:color="auto"/>
              <w:right w:val="single" w:sz="4" w:space="0" w:color="auto"/>
            </w:tcBorders>
            <w:vAlign w:val="bottom"/>
            <w:hideMark/>
          </w:tcPr>
          <w:p w14:paraId="2EAE0A8F" w14:textId="77777777" w:rsidR="00776316" w:rsidRDefault="00776316">
            <w:pPr>
              <w:jc w:val="right"/>
              <w:rPr>
                <w:sz w:val="16"/>
                <w:szCs w:val="16"/>
              </w:rPr>
            </w:pPr>
            <w:r>
              <w:rPr>
                <w:sz w:val="16"/>
                <w:szCs w:val="16"/>
              </w:rPr>
              <w:t>0.18</w:t>
            </w:r>
          </w:p>
        </w:tc>
        <w:tc>
          <w:tcPr>
            <w:tcW w:w="540" w:type="dxa"/>
            <w:tcBorders>
              <w:top w:val="single" w:sz="4" w:space="0" w:color="auto"/>
              <w:left w:val="single" w:sz="4" w:space="0" w:color="auto"/>
              <w:bottom w:val="single" w:sz="4" w:space="0" w:color="auto"/>
              <w:right w:val="single" w:sz="4" w:space="0" w:color="auto"/>
            </w:tcBorders>
            <w:vAlign w:val="bottom"/>
            <w:hideMark/>
          </w:tcPr>
          <w:p w14:paraId="65D7DE8C" w14:textId="77777777" w:rsidR="00776316" w:rsidRDefault="00776316">
            <w:pPr>
              <w:jc w:val="right"/>
              <w:rPr>
                <w:sz w:val="16"/>
                <w:szCs w:val="16"/>
              </w:rPr>
            </w:pPr>
            <w:r>
              <w:rPr>
                <w:sz w:val="16"/>
                <w:szCs w:val="16"/>
              </w:rPr>
              <w:t>0.19</w:t>
            </w:r>
          </w:p>
        </w:tc>
        <w:tc>
          <w:tcPr>
            <w:tcW w:w="630" w:type="dxa"/>
            <w:tcBorders>
              <w:top w:val="single" w:sz="4" w:space="0" w:color="auto"/>
              <w:left w:val="single" w:sz="4" w:space="0" w:color="auto"/>
              <w:bottom w:val="single" w:sz="4" w:space="0" w:color="auto"/>
              <w:right w:val="single" w:sz="4" w:space="0" w:color="auto"/>
            </w:tcBorders>
            <w:vAlign w:val="bottom"/>
            <w:hideMark/>
          </w:tcPr>
          <w:p w14:paraId="25818F75" w14:textId="77777777" w:rsidR="00776316" w:rsidRDefault="00776316">
            <w:pPr>
              <w:jc w:val="right"/>
              <w:rPr>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vAlign w:val="bottom"/>
            <w:hideMark/>
          </w:tcPr>
          <w:p w14:paraId="766932DF" w14:textId="77777777" w:rsidR="00776316" w:rsidRDefault="00776316">
            <w:pPr>
              <w:jc w:val="right"/>
              <w:rPr>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3CD19E22" w14:textId="77777777" w:rsidR="00776316" w:rsidRDefault="00776316">
            <w:pPr>
              <w:jc w:val="right"/>
              <w:rPr>
                <w:sz w:val="16"/>
                <w:szCs w:val="16"/>
              </w:rPr>
            </w:pPr>
            <w:r>
              <w:rPr>
                <w:sz w:val="16"/>
                <w:szCs w:val="16"/>
              </w:rPr>
              <w:t>0.17</w:t>
            </w:r>
          </w:p>
        </w:tc>
        <w:tc>
          <w:tcPr>
            <w:tcW w:w="540" w:type="dxa"/>
            <w:tcBorders>
              <w:top w:val="single" w:sz="4" w:space="0" w:color="auto"/>
              <w:left w:val="single" w:sz="4" w:space="0" w:color="auto"/>
              <w:bottom w:val="single" w:sz="4" w:space="0" w:color="auto"/>
              <w:right w:val="single" w:sz="4" w:space="0" w:color="auto"/>
            </w:tcBorders>
            <w:hideMark/>
          </w:tcPr>
          <w:p w14:paraId="50AC4169" w14:textId="77777777" w:rsidR="00776316" w:rsidRDefault="00776316">
            <w:pPr>
              <w:snapToGrid w:val="0"/>
              <w:jc w:val="right"/>
              <w:rPr>
                <w:sz w:val="16"/>
                <w:szCs w:val="16"/>
              </w:rPr>
            </w:pPr>
            <w:r>
              <w:rPr>
                <w:sz w:val="16"/>
                <w:szCs w:val="16"/>
              </w:rPr>
              <w:t xml:space="preserve"> 0.1</w:t>
            </w:r>
          </w:p>
        </w:tc>
        <w:tc>
          <w:tcPr>
            <w:tcW w:w="540" w:type="dxa"/>
            <w:tcBorders>
              <w:top w:val="single" w:sz="4" w:space="0" w:color="auto"/>
              <w:left w:val="single" w:sz="4" w:space="0" w:color="auto"/>
              <w:bottom w:val="single" w:sz="4" w:space="0" w:color="auto"/>
              <w:right w:val="single" w:sz="4" w:space="0" w:color="auto"/>
            </w:tcBorders>
            <w:hideMark/>
          </w:tcPr>
          <w:p w14:paraId="7B5648C9" w14:textId="77777777" w:rsidR="00776316" w:rsidRDefault="00776316">
            <w:pPr>
              <w:snapToGrid w:val="0"/>
              <w:jc w:val="right"/>
              <w:rPr>
                <w:sz w:val="16"/>
                <w:szCs w:val="16"/>
              </w:rPr>
            </w:pPr>
            <w:r>
              <w:rPr>
                <w:sz w:val="16"/>
                <w:szCs w:val="16"/>
              </w:rPr>
              <w:t>0.1</w:t>
            </w:r>
          </w:p>
        </w:tc>
        <w:tc>
          <w:tcPr>
            <w:tcW w:w="704" w:type="dxa"/>
            <w:tcBorders>
              <w:top w:val="single" w:sz="4" w:space="0" w:color="auto"/>
              <w:left w:val="single" w:sz="4" w:space="0" w:color="auto"/>
              <w:bottom w:val="single" w:sz="4" w:space="0" w:color="auto"/>
              <w:right w:val="single" w:sz="4" w:space="0" w:color="auto"/>
            </w:tcBorders>
            <w:hideMark/>
          </w:tcPr>
          <w:p w14:paraId="38333996" w14:textId="77777777" w:rsidR="00776316" w:rsidRDefault="00776316">
            <w:pPr>
              <w:snapToGrid w:val="0"/>
              <w:rPr>
                <w:sz w:val="16"/>
                <w:szCs w:val="16"/>
              </w:rPr>
            </w:pPr>
            <w:r>
              <w:rPr>
                <w:sz w:val="16"/>
                <w:szCs w:val="16"/>
              </w:rPr>
              <w:t>0.06</w:t>
            </w:r>
          </w:p>
        </w:tc>
        <w:tc>
          <w:tcPr>
            <w:tcW w:w="630" w:type="dxa"/>
            <w:tcBorders>
              <w:top w:val="single" w:sz="4" w:space="0" w:color="auto"/>
              <w:left w:val="single" w:sz="4" w:space="0" w:color="auto"/>
              <w:bottom w:val="single" w:sz="4" w:space="0" w:color="auto"/>
              <w:right w:val="single" w:sz="4" w:space="0" w:color="auto"/>
            </w:tcBorders>
            <w:hideMark/>
          </w:tcPr>
          <w:p w14:paraId="2034FEFE" w14:textId="77777777" w:rsidR="00776316" w:rsidRDefault="00776316">
            <w:pPr>
              <w:snapToGrid w:val="0"/>
              <w:rPr>
                <w:sz w:val="16"/>
                <w:szCs w:val="16"/>
              </w:rPr>
            </w:pPr>
            <w:r>
              <w:rPr>
                <w:sz w:val="16"/>
                <w:szCs w:val="16"/>
              </w:rPr>
              <w:t xml:space="preserve">   0</w:t>
            </w:r>
          </w:p>
        </w:tc>
        <w:tc>
          <w:tcPr>
            <w:tcW w:w="567" w:type="dxa"/>
            <w:tcBorders>
              <w:top w:val="single" w:sz="4" w:space="0" w:color="auto"/>
              <w:left w:val="single" w:sz="4" w:space="0" w:color="auto"/>
              <w:bottom w:val="single" w:sz="4" w:space="0" w:color="auto"/>
              <w:right w:val="single" w:sz="4" w:space="0" w:color="auto"/>
            </w:tcBorders>
            <w:hideMark/>
          </w:tcPr>
          <w:p w14:paraId="2C272566" w14:textId="77777777" w:rsidR="00776316" w:rsidRDefault="00776316">
            <w:pPr>
              <w:snapToGrid w:val="0"/>
              <w:rPr>
                <w:sz w:val="16"/>
                <w:szCs w:val="16"/>
              </w:rPr>
            </w:pPr>
            <w:r>
              <w:rPr>
                <w:sz w:val="16"/>
                <w:szCs w:val="16"/>
              </w:rPr>
              <w:t xml:space="preserve">   0</w:t>
            </w:r>
          </w:p>
        </w:tc>
        <w:tc>
          <w:tcPr>
            <w:tcW w:w="591" w:type="dxa"/>
            <w:tcBorders>
              <w:top w:val="single" w:sz="4" w:space="0" w:color="auto"/>
              <w:left w:val="single" w:sz="4" w:space="0" w:color="auto"/>
              <w:bottom w:val="single" w:sz="4" w:space="0" w:color="auto"/>
              <w:right w:val="single" w:sz="4" w:space="0" w:color="auto"/>
            </w:tcBorders>
            <w:hideMark/>
          </w:tcPr>
          <w:p w14:paraId="74D28CB3" w14:textId="77777777" w:rsidR="00776316" w:rsidRDefault="00776316">
            <w:pPr>
              <w:snapToGrid w:val="0"/>
              <w:rPr>
                <w:sz w:val="16"/>
                <w:szCs w:val="16"/>
              </w:rPr>
            </w:pPr>
            <w:r>
              <w:rPr>
                <w:sz w:val="16"/>
                <w:szCs w:val="16"/>
              </w:rPr>
              <w:t xml:space="preserve">    %</w:t>
            </w:r>
          </w:p>
        </w:tc>
      </w:tr>
      <w:tr w:rsidR="00776316" w14:paraId="58B92F39"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7CCE0751" w14:textId="77777777" w:rsidR="00776316" w:rsidRDefault="00776316">
            <w:pPr>
              <w:rPr>
                <w:sz w:val="16"/>
                <w:szCs w:val="16"/>
              </w:rPr>
            </w:pPr>
            <w:r>
              <w:rPr>
                <w:sz w:val="16"/>
                <w:szCs w:val="16"/>
              </w:rPr>
              <w:t>NRBC</w:t>
            </w:r>
          </w:p>
        </w:tc>
        <w:tc>
          <w:tcPr>
            <w:tcW w:w="673" w:type="dxa"/>
            <w:tcBorders>
              <w:top w:val="single" w:sz="4" w:space="0" w:color="auto"/>
              <w:left w:val="single" w:sz="4" w:space="0" w:color="auto"/>
              <w:bottom w:val="single" w:sz="4" w:space="0" w:color="auto"/>
              <w:right w:val="single" w:sz="4" w:space="0" w:color="auto"/>
            </w:tcBorders>
            <w:hideMark/>
          </w:tcPr>
          <w:p w14:paraId="06FBB35A" w14:textId="77777777" w:rsidR="00776316" w:rsidRDefault="00776316">
            <w:pPr>
              <w:jc w:val="right"/>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011C402B" w14:textId="77777777" w:rsidR="00776316" w:rsidRDefault="00776316">
            <w:pPr>
              <w:jc w:val="right"/>
              <w:rPr>
                <w:sz w:val="16"/>
                <w:szCs w:val="16"/>
              </w:rPr>
            </w:pPr>
            <w:r>
              <w:rPr>
                <w:sz w:val="16"/>
                <w:szCs w:val="16"/>
              </w:rPr>
              <w:t>0</w:t>
            </w:r>
          </w:p>
        </w:tc>
        <w:tc>
          <w:tcPr>
            <w:tcW w:w="623" w:type="dxa"/>
            <w:tcBorders>
              <w:top w:val="single" w:sz="4" w:space="0" w:color="auto"/>
              <w:left w:val="single" w:sz="4" w:space="0" w:color="auto"/>
              <w:bottom w:val="single" w:sz="4" w:space="0" w:color="auto"/>
              <w:right w:val="single" w:sz="4" w:space="0" w:color="auto"/>
            </w:tcBorders>
            <w:hideMark/>
          </w:tcPr>
          <w:p w14:paraId="33D65523"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hideMark/>
          </w:tcPr>
          <w:p w14:paraId="408CFD4D" w14:textId="77777777" w:rsidR="00776316" w:rsidRDefault="00776316">
            <w:pPr>
              <w:jc w:val="right"/>
              <w:rPr>
                <w:sz w:val="16"/>
                <w:szCs w:val="16"/>
              </w:rPr>
            </w:pPr>
            <w:r>
              <w:rPr>
                <w:sz w:val="16"/>
                <w:szCs w:val="16"/>
              </w:rPr>
              <w:t>0.3</w:t>
            </w:r>
          </w:p>
        </w:tc>
        <w:tc>
          <w:tcPr>
            <w:tcW w:w="630" w:type="dxa"/>
            <w:tcBorders>
              <w:top w:val="single" w:sz="4" w:space="0" w:color="auto"/>
              <w:left w:val="single" w:sz="4" w:space="0" w:color="auto"/>
              <w:bottom w:val="single" w:sz="4" w:space="0" w:color="auto"/>
              <w:right w:val="single" w:sz="4" w:space="0" w:color="auto"/>
            </w:tcBorders>
            <w:vAlign w:val="bottom"/>
            <w:hideMark/>
          </w:tcPr>
          <w:p w14:paraId="7BDE534A"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1B2E3E03" w14:textId="77777777" w:rsidR="00776316" w:rsidRDefault="00776316">
            <w:pPr>
              <w:jc w:val="right"/>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580DC3F1" w14:textId="77777777" w:rsidR="00776316" w:rsidRDefault="00776316">
            <w:pPr>
              <w:jc w:val="right"/>
              <w:rPr>
                <w:sz w:val="16"/>
                <w:szCs w:val="16"/>
              </w:rPr>
            </w:pPr>
            <w:r>
              <w:rPr>
                <w:sz w:val="16"/>
                <w:szCs w:val="16"/>
              </w:rPr>
              <w:t>0.5</w:t>
            </w:r>
          </w:p>
        </w:tc>
        <w:tc>
          <w:tcPr>
            <w:tcW w:w="630" w:type="dxa"/>
            <w:tcBorders>
              <w:top w:val="single" w:sz="4" w:space="0" w:color="auto"/>
              <w:left w:val="single" w:sz="4" w:space="0" w:color="auto"/>
              <w:bottom w:val="single" w:sz="4" w:space="0" w:color="auto"/>
              <w:right w:val="single" w:sz="4" w:space="0" w:color="auto"/>
            </w:tcBorders>
            <w:vAlign w:val="bottom"/>
            <w:hideMark/>
          </w:tcPr>
          <w:p w14:paraId="2322E000" w14:textId="77777777" w:rsidR="00776316" w:rsidRDefault="00776316">
            <w:pPr>
              <w:jc w:val="right"/>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0BF8259D" w14:textId="77777777" w:rsidR="00776316" w:rsidRDefault="00776316">
            <w:pPr>
              <w:jc w:val="right"/>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hideMark/>
          </w:tcPr>
          <w:p w14:paraId="49C7A1B2" w14:textId="77777777" w:rsidR="00776316" w:rsidRDefault="00776316">
            <w:pPr>
              <w:jc w:val="right"/>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hideMark/>
          </w:tcPr>
          <w:p w14:paraId="0A930335" w14:textId="77777777" w:rsidR="00776316" w:rsidRDefault="00776316">
            <w:pPr>
              <w:jc w:val="right"/>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hideMark/>
          </w:tcPr>
          <w:p w14:paraId="44EEBE0D" w14:textId="77777777" w:rsidR="00776316" w:rsidRDefault="00776316">
            <w:pPr>
              <w:snapToGrid w:val="0"/>
              <w:jc w:val="right"/>
              <w:rPr>
                <w:sz w:val="16"/>
                <w:szCs w:val="16"/>
              </w:rPr>
            </w:pPr>
            <w:r>
              <w:rPr>
                <w:sz w:val="16"/>
                <w:szCs w:val="16"/>
              </w:rPr>
              <w:t>0.2</w:t>
            </w:r>
          </w:p>
        </w:tc>
        <w:tc>
          <w:tcPr>
            <w:tcW w:w="704" w:type="dxa"/>
            <w:tcBorders>
              <w:top w:val="single" w:sz="4" w:space="0" w:color="auto"/>
              <w:left w:val="single" w:sz="4" w:space="0" w:color="auto"/>
              <w:bottom w:val="single" w:sz="4" w:space="0" w:color="auto"/>
              <w:right w:val="single" w:sz="4" w:space="0" w:color="auto"/>
            </w:tcBorders>
            <w:hideMark/>
          </w:tcPr>
          <w:p w14:paraId="15FDE299" w14:textId="77777777" w:rsidR="00776316" w:rsidRDefault="00776316">
            <w:pPr>
              <w:snapToGrid w:val="0"/>
              <w:rPr>
                <w:sz w:val="16"/>
                <w:szCs w:val="16"/>
              </w:rPr>
            </w:pPr>
            <w:r>
              <w:rPr>
                <w:sz w:val="16"/>
                <w:szCs w:val="16"/>
              </w:rPr>
              <w:t>0.01</w:t>
            </w:r>
          </w:p>
        </w:tc>
        <w:tc>
          <w:tcPr>
            <w:tcW w:w="630" w:type="dxa"/>
            <w:tcBorders>
              <w:top w:val="single" w:sz="4" w:space="0" w:color="auto"/>
              <w:left w:val="single" w:sz="4" w:space="0" w:color="auto"/>
              <w:bottom w:val="single" w:sz="4" w:space="0" w:color="auto"/>
              <w:right w:val="single" w:sz="4" w:space="0" w:color="auto"/>
            </w:tcBorders>
            <w:hideMark/>
          </w:tcPr>
          <w:p w14:paraId="47EAD44F" w14:textId="77777777" w:rsidR="00776316" w:rsidRDefault="00776316">
            <w:pPr>
              <w:snapToGrid w:val="0"/>
              <w:rPr>
                <w:sz w:val="16"/>
                <w:szCs w:val="16"/>
              </w:rPr>
            </w:pPr>
            <w:r>
              <w:rPr>
                <w:sz w:val="16"/>
                <w:szCs w:val="16"/>
              </w:rPr>
              <w:t xml:space="preserve"> 0.05</w:t>
            </w:r>
          </w:p>
        </w:tc>
        <w:tc>
          <w:tcPr>
            <w:tcW w:w="567" w:type="dxa"/>
            <w:tcBorders>
              <w:top w:val="single" w:sz="4" w:space="0" w:color="auto"/>
              <w:left w:val="single" w:sz="4" w:space="0" w:color="auto"/>
              <w:bottom w:val="single" w:sz="4" w:space="0" w:color="auto"/>
              <w:right w:val="single" w:sz="4" w:space="0" w:color="auto"/>
            </w:tcBorders>
            <w:hideMark/>
          </w:tcPr>
          <w:p w14:paraId="16DFB48B" w14:textId="77777777" w:rsidR="00776316" w:rsidRDefault="00776316">
            <w:pPr>
              <w:snapToGrid w:val="0"/>
              <w:rPr>
                <w:sz w:val="16"/>
                <w:szCs w:val="16"/>
              </w:rPr>
            </w:pPr>
            <w:r>
              <w:rPr>
                <w:sz w:val="16"/>
                <w:szCs w:val="16"/>
              </w:rPr>
              <w:t xml:space="preserve">   0</w:t>
            </w:r>
          </w:p>
        </w:tc>
        <w:tc>
          <w:tcPr>
            <w:tcW w:w="591" w:type="dxa"/>
            <w:tcBorders>
              <w:top w:val="single" w:sz="4" w:space="0" w:color="auto"/>
              <w:left w:val="single" w:sz="4" w:space="0" w:color="auto"/>
              <w:bottom w:val="single" w:sz="4" w:space="0" w:color="auto"/>
              <w:right w:val="single" w:sz="4" w:space="0" w:color="auto"/>
            </w:tcBorders>
            <w:hideMark/>
          </w:tcPr>
          <w:p w14:paraId="1F1DE3CF" w14:textId="77777777" w:rsidR="00776316" w:rsidRDefault="00776316">
            <w:pPr>
              <w:snapToGrid w:val="0"/>
              <w:rPr>
                <w:sz w:val="16"/>
                <w:szCs w:val="16"/>
              </w:rPr>
            </w:pPr>
            <w:r>
              <w:rPr>
                <w:sz w:val="16"/>
                <w:szCs w:val="16"/>
              </w:rPr>
              <w:t xml:space="preserve">    %</w:t>
            </w:r>
          </w:p>
        </w:tc>
      </w:tr>
      <w:tr w:rsidR="00776316" w14:paraId="282DBA7F"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5355924B" w14:textId="77777777" w:rsidR="00776316" w:rsidRDefault="00776316">
            <w:pPr>
              <w:rPr>
                <w:sz w:val="16"/>
                <w:szCs w:val="16"/>
              </w:rPr>
            </w:pPr>
            <w:r>
              <w:rPr>
                <w:sz w:val="16"/>
                <w:szCs w:val="16"/>
              </w:rPr>
              <w:t xml:space="preserve">NEUT </w:t>
            </w:r>
          </w:p>
        </w:tc>
        <w:tc>
          <w:tcPr>
            <w:tcW w:w="673" w:type="dxa"/>
            <w:tcBorders>
              <w:top w:val="single" w:sz="4" w:space="0" w:color="auto"/>
              <w:left w:val="single" w:sz="4" w:space="0" w:color="auto"/>
              <w:bottom w:val="single" w:sz="4" w:space="0" w:color="auto"/>
              <w:right w:val="single" w:sz="4" w:space="0" w:color="auto"/>
            </w:tcBorders>
            <w:hideMark/>
          </w:tcPr>
          <w:p w14:paraId="14DA395D" w14:textId="77777777" w:rsidR="00776316" w:rsidRDefault="00776316">
            <w:pPr>
              <w:jc w:val="right"/>
              <w:rPr>
                <w:sz w:val="16"/>
                <w:szCs w:val="16"/>
              </w:rPr>
            </w:pPr>
            <w:r>
              <w:rPr>
                <w:sz w:val="16"/>
                <w:szCs w:val="16"/>
              </w:rPr>
              <w:t>2.85</w:t>
            </w:r>
          </w:p>
        </w:tc>
        <w:tc>
          <w:tcPr>
            <w:tcW w:w="709" w:type="dxa"/>
            <w:tcBorders>
              <w:top w:val="single" w:sz="4" w:space="0" w:color="auto"/>
              <w:left w:val="single" w:sz="4" w:space="0" w:color="auto"/>
              <w:bottom w:val="single" w:sz="4" w:space="0" w:color="auto"/>
              <w:right w:val="single" w:sz="4" w:space="0" w:color="auto"/>
            </w:tcBorders>
            <w:hideMark/>
          </w:tcPr>
          <w:p w14:paraId="12D770C4" w14:textId="77777777" w:rsidR="00776316" w:rsidRDefault="00776316">
            <w:pPr>
              <w:jc w:val="right"/>
              <w:rPr>
                <w:sz w:val="16"/>
                <w:szCs w:val="16"/>
              </w:rPr>
            </w:pPr>
            <w:r>
              <w:rPr>
                <w:sz w:val="16"/>
                <w:szCs w:val="16"/>
              </w:rPr>
              <w:t>2.58</w:t>
            </w:r>
          </w:p>
        </w:tc>
        <w:tc>
          <w:tcPr>
            <w:tcW w:w="623" w:type="dxa"/>
            <w:tcBorders>
              <w:top w:val="single" w:sz="4" w:space="0" w:color="auto"/>
              <w:left w:val="single" w:sz="4" w:space="0" w:color="auto"/>
              <w:bottom w:val="single" w:sz="4" w:space="0" w:color="auto"/>
              <w:right w:val="single" w:sz="4" w:space="0" w:color="auto"/>
            </w:tcBorders>
            <w:hideMark/>
          </w:tcPr>
          <w:p w14:paraId="6E0DC9B8" w14:textId="77777777" w:rsidR="00776316" w:rsidRDefault="00776316">
            <w:pPr>
              <w:jc w:val="right"/>
              <w:rPr>
                <w:sz w:val="16"/>
                <w:szCs w:val="16"/>
              </w:rPr>
            </w:pPr>
            <w:r>
              <w:rPr>
                <w:sz w:val="16"/>
                <w:szCs w:val="16"/>
              </w:rPr>
              <w:t>2.31</w:t>
            </w:r>
          </w:p>
        </w:tc>
        <w:tc>
          <w:tcPr>
            <w:tcW w:w="630" w:type="dxa"/>
            <w:tcBorders>
              <w:top w:val="single" w:sz="4" w:space="0" w:color="auto"/>
              <w:left w:val="single" w:sz="4" w:space="0" w:color="auto"/>
              <w:bottom w:val="single" w:sz="4" w:space="0" w:color="auto"/>
              <w:right w:val="single" w:sz="4" w:space="0" w:color="auto"/>
            </w:tcBorders>
            <w:hideMark/>
          </w:tcPr>
          <w:p w14:paraId="220092BA" w14:textId="77777777" w:rsidR="00776316" w:rsidRDefault="00776316">
            <w:pPr>
              <w:jc w:val="right"/>
              <w:rPr>
                <w:sz w:val="16"/>
                <w:szCs w:val="16"/>
              </w:rPr>
            </w:pPr>
            <w:r>
              <w:rPr>
                <w:sz w:val="16"/>
                <w:szCs w:val="16"/>
              </w:rPr>
              <w:t>2.2</w:t>
            </w:r>
          </w:p>
        </w:tc>
        <w:tc>
          <w:tcPr>
            <w:tcW w:w="630" w:type="dxa"/>
            <w:tcBorders>
              <w:top w:val="single" w:sz="4" w:space="0" w:color="auto"/>
              <w:left w:val="single" w:sz="4" w:space="0" w:color="auto"/>
              <w:bottom w:val="single" w:sz="4" w:space="0" w:color="auto"/>
              <w:right w:val="single" w:sz="4" w:space="0" w:color="auto"/>
            </w:tcBorders>
            <w:vAlign w:val="bottom"/>
            <w:hideMark/>
          </w:tcPr>
          <w:p w14:paraId="0B09BF38" w14:textId="77777777" w:rsidR="00776316" w:rsidRDefault="00776316">
            <w:pPr>
              <w:jc w:val="right"/>
              <w:rPr>
                <w:sz w:val="16"/>
                <w:szCs w:val="16"/>
              </w:rPr>
            </w:pPr>
            <w:r>
              <w:rPr>
                <w:sz w:val="16"/>
                <w:szCs w:val="16"/>
              </w:rPr>
              <w:t>2.1</w:t>
            </w:r>
          </w:p>
        </w:tc>
        <w:tc>
          <w:tcPr>
            <w:tcW w:w="630" w:type="dxa"/>
            <w:tcBorders>
              <w:top w:val="single" w:sz="4" w:space="0" w:color="auto"/>
              <w:left w:val="single" w:sz="4" w:space="0" w:color="auto"/>
              <w:bottom w:val="single" w:sz="4" w:space="0" w:color="auto"/>
              <w:right w:val="single" w:sz="4" w:space="0" w:color="auto"/>
            </w:tcBorders>
            <w:vAlign w:val="bottom"/>
            <w:hideMark/>
          </w:tcPr>
          <w:p w14:paraId="0FF96C10" w14:textId="77777777" w:rsidR="00776316" w:rsidRDefault="00776316">
            <w:pPr>
              <w:jc w:val="right"/>
              <w:rPr>
                <w:sz w:val="16"/>
                <w:szCs w:val="16"/>
              </w:rPr>
            </w:pPr>
            <w:r>
              <w:rPr>
                <w:sz w:val="16"/>
                <w:szCs w:val="16"/>
              </w:rPr>
              <w:t>0.78</w:t>
            </w:r>
          </w:p>
        </w:tc>
        <w:tc>
          <w:tcPr>
            <w:tcW w:w="540" w:type="dxa"/>
            <w:tcBorders>
              <w:top w:val="single" w:sz="4" w:space="0" w:color="auto"/>
              <w:left w:val="single" w:sz="4" w:space="0" w:color="auto"/>
              <w:bottom w:val="single" w:sz="4" w:space="0" w:color="auto"/>
              <w:right w:val="single" w:sz="4" w:space="0" w:color="auto"/>
            </w:tcBorders>
            <w:vAlign w:val="bottom"/>
            <w:hideMark/>
          </w:tcPr>
          <w:p w14:paraId="6EB35570" w14:textId="77777777" w:rsidR="00776316" w:rsidRDefault="00776316">
            <w:pPr>
              <w:jc w:val="right"/>
              <w:rPr>
                <w:sz w:val="16"/>
                <w:szCs w:val="16"/>
              </w:rPr>
            </w:pPr>
            <w:r>
              <w:rPr>
                <w:sz w:val="16"/>
                <w:szCs w:val="16"/>
              </w:rPr>
              <w:t>1.06</w:t>
            </w:r>
          </w:p>
        </w:tc>
        <w:tc>
          <w:tcPr>
            <w:tcW w:w="630" w:type="dxa"/>
            <w:tcBorders>
              <w:top w:val="single" w:sz="4" w:space="0" w:color="auto"/>
              <w:left w:val="single" w:sz="4" w:space="0" w:color="auto"/>
              <w:bottom w:val="single" w:sz="4" w:space="0" w:color="auto"/>
              <w:right w:val="single" w:sz="4" w:space="0" w:color="auto"/>
            </w:tcBorders>
            <w:vAlign w:val="bottom"/>
            <w:hideMark/>
          </w:tcPr>
          <w:p w14:paraId="70E1894B" w14:textId="77777777" w:rsidR="00776316" w:rsidRDefault="00776316">
            <w:pPr>
              <w:jc w:val="right"/>
              <w:rPr>
                <w:sz w:val="16"/>
                <w:szCs w:val="16"/>
              </w:rPr>
            </w:pPr>
            <w:r>
              <w:rPr>
                <w:sz w:val="16"/>
                <w:szCs w:val="16"/>
              </w:rPr>
              <w:t>1.2</w:t>
            </w:r>
          </w:p>
        </w:tc>
        <w:tc>
          <w:tcPr>
            <w:tcW w:w="540" w:type="dxa"/>
            <w:tcBorders>
              <w:top w:val="single" w:sz="4" w:space="0" w:color="auto"/>
              <w:left w:val="single" w:sz="4" w:space="0" w:color="auto"/>
              <w:bottom w:val="single" w:sz="4" w:space="0" w:color="auto"/>
              <w:right w:val="single" w:sz="4" w:space="0" w:color="auto"/>
            </w:tcBorders>
            <w:vAlign w:val="bottom"/>
            <w:hideMark/>
          </w:tcPr>
          <w:p w14:paraId="175CF9C2" w14:textId="77777777" w:rsidR="00776316" w:rsidRDefault="00776316">
            <w:pPr>
              <w:jc w:val="right"/>
              <w:rPr>
                <w:sz w:val="16"/>
                <w:szCs w:val="16"/>
              </w:rPr>
            </w:pPr>
            <w:r>
              <w:rPr>
                <w:sz w:val="16"/>
                <w:szCs w:val="16"/>
              </w:rPr>
              <w:t>1.24</w:t>
            </w:r>
          </w:p>
        </w:tc>
        <w:tc>
          <w:tcPr>
            <w:tcW w:w="540" w:type="dxa"/>
            <w:tcBorders>
              <w:top w:val="single" w:sz="4" w:space="0" w:color="auto"/>
              <w:left w:val="single" w:sz="4" w:space="0" w:color="auto"/>
              <w:bottom w:val="single" w:sz="4" w:space="0" w:color="auto"/>
              <w:right w:val="single" w:sz="4" w:space="0" w:color="auto"/>
            </w:tcBorders>
            <w:hideMark/>
          </w:tcPr>
          <w:p w14:paraId="64E65686" w14:textId="77777777" w:rsidR="00776316" w:rsidRDefault="00776316">
            <w:pPr>
              <w:jc w:val="right"/>
              <w:rPr>
                <w:sz w:val="16"/>
                <w:szCs w:val="16"/>
              </w:rPr>
            </w:pPr>
            <w:r>
              <w:rPr>
                <w:sz w:val="16"/>
                <w:szCs w:val="16"/>
              </w:rPr>
              <w:t>1.25</w:t>
            </w:r>
          </w:p>
        </w:tc>
        <w:tc>
          <w:tcPr>
            <w:tcW w:w="540" w:type="dxa"/>
            <w:tcBorders>
              <w:top w:val="single" w:sz="4" w:space="0" w:color="auto"/>
              <w:left w:val="single" w:sz="4" w:space="0" w:color="auto"/>
              <w:bottom w:val="single" w:sz="4" w:space="0" w:color="auto"/>
              <w:right w:val="single" w:sz="4" w:space="0" w:color="auto"/>
            </w:tcBorders>
            <w:hideMark/>
          </w:tcPr>
          <w:p w14:paraId="739244B8" w14:textId="77777777" w:rsidR="00776316" w:rsidRDefault="00776316">
            <w:pPr>
              <w:jc w:val="right"/>
              <w:rPr>
                <w:sz w:val="16"/>
                <w:szCs w:val="16"/>
              </w:rPr>
            </w:pPr>
            <w:r>
              <w:rPr>
                <w:sz w:val="16"/>
                <w:szCs w:val="16"/>
              </w:rPr>
              <w:t>1.03</w:t>
            </w:r>
          </w:p>
        </w:tc>
        <w:tc>
          <w:tcPr>
            <w:tcW w:w="540" w:type="dxa"/>
            <w:tcBorders>
              <w:top w:val="single" w:sz="4" w:space="0" w:color="auto"/>
              <w:left w:val="single" w:sz="4" w:space="0" w:color="auto"/>
              <w:bottom w:val="single" w:sz="4" w:space="0" w:color="auto"/>
              <w:right w:val="single" w:sz="4" w:space="0" w:color="auto"/>
            </w:tcBorders>
            <w:hideMark/>
          </w:tcPr>
          <w:p w14:paraId="4D633237" w14:textId="77777777" w:rsidR="00776316" w:rsidRDefault="00776316">
            <w:pPr>
              <w:snapToGrid w:val="0"/>
              <w:jc w:val="right"/>
              <w:rPr>
                <w:sz w:val="16"/>
                <w:szCs w:val="16"/>
              </w:rPr>
            </w:pPr>
            <w:r>
              <w:rPr>
                <w:sz w:val="16"/>
                <w:szCs w:val="16"/>
              </w:rPr>
              <w:t>1.07</w:t>
            </w:r>
          </w:p>
        </w:tc>
        <w:tc>
          <w:tcPr>
            <w:tcW w:w="704" w:type="dxa"/>
            <w:tcBorders>
              <w:top w:val="single" w:sz="4" w:space="0" w:color="auto"/>
              <w:left w:val="single" w:sz="4" w:space="0" w:color="auto"/>
              <w:bottom w:val="single" w:sz="4" w:space="0" w:color="auto"/>
              <w:right w:val="single" w:sz="4" w:space="0" w:color="auto"/>
            </w:tcBorders>
            <w:hideMark/>
          </w:tcPr>
          <w:p w14:paraId="718A4D0E" w14:textId="77777777" w:rsidR="00776316" w:rsidRDefault="00776316">
            <w:pPr>
              <w:snapToGrid w:val="0"/>
              <w:jc w:val="center"/>
              <w:rPr>
                <w:sz w:val="16"/>
                <w:szCs w:val="16"/>
              </w:rPr>
            </w:pPr>
            <w:r>
              <w:rPr>
                <w:sz w:val="16"/>
                <w:szCs w:val="16"/>
              </w:rPr>
              <w:t>1.97</w:t>
            </w:r>
          </w:p>
        </w:tc>
        <w:tc>
          <w:tcPr>
            <w:tcW w:w="630" w:type="dxa"/>
            <w:tcBorders>
              <w:top w:val="single" w:sz="4" w:space="0" w:color="auto"/>
              <w:left w:val="single" w:sz="4" w:space="0" w:color="auto"/>
              <w:bottom w:val="single" w:sz="4" w:space="0" w:color="auto"/>
              <w:right w:val="single" w:sz="4" w:space="0" w:color="auto"/>
            </w:tcBorders>
            <w:hideMark/>
          </w:tcPr>
          <w:p w14:paraId="61BB138F" w14:textId="77777777" w:rsidR="00776316" w:rsidRDefault="00776316">
            <w:pPr>
              <w:snapToGrid w:val="0"/>
              <w:jc w:val="center"/>
              <w:rPr>
                <w:sz w:val="16"/>
                <w:szCs w:val="16"/>
              </w:rPr>
            </w:pPr>
            <w:r>
              <w:rPr>
                <w:sz w:val="16"/>
                <w:szCs w:val="16"/>
              </w:rPr>
              <w:t>8.39</w:t>
            </w:r>
          </w:p>
        </w:tc>
        <w:tc>
          <w:tcPr>
            <w:tcW w:w="567" w:type="dxa"/>
            <w:tcBorders>
              <w:top w:val="single" w:sz="4" w:space="0" w:color="auto"/>
              <w:left w:val="single" w:sz="4" w:space="0" w:color="auto"/>
              <w:bottom w:val="single" w:sz="4" w:space="0" w:color="auto"/>
              <w:right w:val="single" w:sz="4" w:space="0" w:color="auto"/>
            </w:tcBorders>
            <w:hideMark/>
          </w:tcPr>
          <w:p w14:paraId="60EA505B" w14:textId="77777777" w:rsidR="00776316" w:rsidRDefault="00776316">
            <w:pPr>
              <w:snapToGrid w:val="0"/>
              <w:jc w:val="center"/>
              <w:rPr>
                <w:sz w:val="16"/>
                <w:szCs w:val="16"/>
              </w:rPr>
            </w:pPr>
            <w:r>
              <w:rPr>
                <w:sz w:val="16"/>
                <w:szCs w:val="16"/>
              </w:rPr>
              <w:t>1.59</w:t>
            </w:r>
          </w:p>
        </w:tc>
        <w:tc>
          <w:tcPr>
            <w:tcW w:w="591" w:type="dxa"/>
            <w:tcBorders>
              <w:top w:val="single" w:sz="4" w:space="0" w:color="auto"/>
              <w:left w:val="single" w:sz="4" w:space="0" w:color="auto"/>
              <w:bottom w:val="single" w:sz="4" w:space="0" w:color="auto"/>
              <w:right w:val="single" w:sz="4" w:space="0" w:color="auto"/>
            </w:tcBorders>
            <w:hideMark/>
          </w:tcPr>
          <w:p w14:paraId="1819931F" w14:textId="77777777" w:rsidR="00776316" w:rsidRDefault="00776316">
            <w:pPr>
              <w:snapToGrid w:val="0"/>
              <w:jc w:val="center"/>
              <w:rPr>
                <w:sz w:val="16"/>
                <w:szCs w:val="16"/>
              </w:rPr>
            </w:pPr>
            <w:r>
              <w:rPr>
                <w:sz w:val="16"/>
                <w:szCs w:val="16"/>
              </w:rPr>
              <w:t>K/µL</w:t>
            </w:r>
          </w:p>
        </w:tc>
      </w:tr>
      <w:tr w:rsidR="00776316" w14:paraId="3AAC7731"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7D585062" w14:textId="77777777" w:rsidR="00776316" w:rsidRDefault="00776316">
            <w:pPr>
              <w:rPr>
                <w:sz w:val="16"/>
                <w:szCs w:val="16"/>
              </w:rPr>
            </w:pPr>
            <w:r>
              <w:rPr>
                <w:sz w:val="16"/>
                <w:szCs w:val="16"/>
              </w:rPr>
              <w:t>NEUT%</w:t>
            </w:r>
          </w:p>
        </w:tc>
        <w:tc>
          <w:tcPr>
            <w:tcW w:w="673" w:type="dxa"/>
            <w:tcBorders>
              <w:top w:val="single" w:sz="4" w:space="0" w:color="auto"/>
              <w:left w:val="single" w:sz="4" w:space="0" w:color="auto"/>
              <w:bottom w:val="single" w:sz="4" w:space="0" w:color="auto"/>
              <w:right w:val="single" w:sz="4" w:space="0" w:color="auto"/>
            </w:tcBorders>
            <w:hideMark/>
          </w:tcPr>
          <w:p w14:paraId="4010ACEC" w14:textId="77777777" w:rsidR="00776316" w:rsidRDefault="00776316">
            <w:pPr>
              <w:jc w:val="right"/>
              <w:rPr>
                <w:sz w:val="16"/>
                <w:szCs w:val="16"/>
              </w:rPr>
            </w:pPr>
            <w:r>
              <w:rPr>
                <w:sz w:val="16"/>
                <w:szCs w:val="16"/>
              </w:rPr>
              <w:t>69.8</w:t>
            </w:r>
          </w:p>
        </w:tc>
        <w:tc>
          <w:tcPr>
            <w:tcW w:w="709" w:type="dxa"/>
            <w:tcBorders>
              <w:top w:val="single" w:sz="4" w:space="0" w:color="auto"/>
              <w:left w:val="single" w:sz="4" w:space="0" w:color="auto"/>
              <w:bottom w:val="single" w:sz="4" w:space="0" w:color="auto"/>
              <w:right w:val="single" w:sz="4" w:space="0" w:color="auto"/>
            </w:tcBorders>
            <w:hideMark/>
          </w:tcPr>
          <w:p w14:paraId="5AC6B42C" w14:textId="77777777" w:rsidR="00776316" w:rsidRDefault="00776316">
            <w:pPr>
              <w:jc w:val="right"/>
              <w:rPr>
                <w:sz w:val="16"/>
                <w:szCs w:val="16"/>
              </w:rPr>
            </w:pPr>
            <w:r>
              <w:rPr>
                <w:sz w:val="16"/>
                <w:szCs w:val="16"/>
              </w:rPr>
              <w:t>42.8</w:t>
            </w:r>
          </w:p>
        </w:tc>
        <w:tc>
          <w:tcPr>
            <w:tcW w:w="623" w:type="dxa"/>
            <w:tcBorders>
              <w:top w:val="single" w:sz="4" w:space="0" w:color="auto"/>
              <w:left w:val="single" w:sz="4" w:space="0" w:color="auto"/>
              <w:bottom w:val="single" w:sz="4" w:space="0" w:color="auto"/>
              <w:right w:val="single" w:sz="4" w:space="0" w:color="auto"/>
            </w:tcBorders>
            <w:hideMark/>
          </w:tcPr>
          <w:p w14:paraId="13FADF0B" w14:textId="77777777" w:rsidR="00776316" w:rsidRDefault="00776316">
            <w:pPr>
              <w:jc w:val="right"/>
              <w:rPr>
                <w:sz w:val="16"/>
                <w:szCs w:val="16"/>
              </w:rPr>
            </w:pPr>
            <w:r>
              <w:rPr>
                <w:sz w:val="16"/>
                <w:szCs w:val="16"/>
              </w:rPr>
              <w:t>60</w:t>
            </w:r>
          </w:p>
        </w:tc>
        <w:tc>
          <w:tcPr>
            <w:tcW w:w="630" w:type="dxa"/>
            <w:tcBorders>
              <w:top w:val="single" w:sz="4" w:space="0" w:color="auto"/>
              <w:left w:val="single" w:sz="4" w:space="0" w:color="auto"/>
              <w:bottom w:val="single" w:sz="4" w:space="0" w:color="auto"/>
              <w:right w:val="single" w:sz="4" w:space="0" w:color="auto"/>
            </w:tcBorders>
            <w:hideMark/>
          </w:tcPr>
          <w:p w14:paraId="1A4B616B" w14:textId="77777777" w:rsidR="00776316" w:rsidRDefault="00776316">
            <w:pPr>
              <w:jc w:val="right"/>
              <w:rPr>
                <w:sz w:val="16"/>
                <w:szCs w:val="16"/>
              </w:rPr>
            </w:pPr>
            <w:r>
              <w:rPr>
                <w:sz w:val="16"/>
                <w:szCs w:val="16"/>
              </w:rPr>
              <w:t>62.7</w:t>
            </w:r>
          </w:p>
        </w:tc>
        <w:tc>
          <w:tcPr>
            <w:tcW w:w="630" w:type="dxa"/>
            <w:tcBorders>
              <w:top w:val="single" w:sz="4" w:space="0" w:color="auto"/>
              <w:left w:val="single" w:sz="4" w:space="0" w:color="auto"/>
              <w:bottom w:val="single" w:sz="4" w:space="0" w:color="auto"/>
              <w:right w:val="single" w:sz="4" w:space="0" w:color="auto"/>
            </w:tcBorders>
            <w:vAlign w:val="bottom"/>
            <w:hideMark/>
          </w:tcPr>
          <w:p w14:paraId="58E51718" w14:textId="77777777" w:rsidR="00776316" w:rsidRDefault="00776316">
            <w:pPr>
              <w:jc w:val="right"/>
              <w:rPr>
                <w:sz w:val="16"/>
                <w:szCs w:val="16"/>
              </w:rPr>
            </w:pPr>
            <w:r>
              <w:rPr>
                <w:sz w:val="16"/>
                <w:szCs w:val="16"/>
              </w:rPr>
              <w:t>73.5</w:t>
            </w:r>
          </w:p>
        </w:tc>
        <w:tc>
          <w:tcPr>
            <w:tcW w:w="630" w:type="dxa"/>
            <w:tcBorders>
              <w:top w:val="single" w:sz="4" w:space="0" w:color="auto"/>
              <w:left w:val="single" w:sz="4" w:space="0" w:color="auto"/>
              <w:bottom w:val="single" w:sz="4" w:space="0" w:color="auto"/>
              <w:right w:val="single" w:sz="4" w:space="0" w:color="auto"/>
            </w:tcBorders>
            <w:vAlign w:val="bottom"/>
            <w:hideMark/>
          </w:tcPr>
          <w:p w14:paraId="67B3C9A9" w14:textId="77777777" w:rsidR="00776316" w:rsidRDefault="00776316">
            <w:pPr>
              <w:jc w:val="right"/>
              <w:rPr>
                <w:sz w:val="16"/>
                <w:szCs w:val="16"/>
              </w:rPr>
            </w:pPr>
            <w:r>
              <w:rPr>
                <w:sz w:val="16"/>
                <w:szCs w:val="16"/>
              </w:rPr>
              <w:t>55.8</w:t>
            </w:r>
          </w:p>
        </w:tc>
        <w:tc>
          <w:tcPr>
            <w:tcW w:w="540" w:type="dxa"/>
            <w:tcBorders>
              <w:top w:val="single" w:sz="4" w:space="0" w:color="auto"/>
              <w:left w:val="single" w:sz="4" w:space="0" w:color="auto"/>
              <w:bottom w:val="single" w:sz="4" w:space="0" w:color="auto"/>
              <w:right w:val="single" w:sz="4" w:space="0" w:color="auto"/>
            </w:tcBorders>
            <w:vAlign w:val="bottom"/>
            <w:hideMark/>
          </w:tcPr>
          <w:p w14:paraId="774C3F58" w14:textId="77777777" w:rsidR="00776316" w:rsidRDefault="00776316">
            <w:pPr>
              <w:jc w:val="right"/>
              <w:rPr>
                <w:sz w:val="16"/>
                <w:szCs w:val="16"/>
              </w:rPr>
            </w:pPr>
            <w:r>
              <w:rPr>
                <w:sz w:val="16"/>
                <w:szCs w:val="16"/>
              </w:rPr>
              <w:t>54.4</w:t>
            </w:r>
          </w:p>
        </w:tc>
        <w:tc>
          <w:tcPr>
            <w:tcW w:w="630" w:type="dxa"/>
            <w:tcBorders>
              <w:top w:val="single" w:sz="4" w:space="0" w:color="auto"/>
              <w:left w:val="single" w:sz="4" w:space="0" w:color="auto"/>
              <w:bottom w:val="single" w:sz="4" w:space="0" w:color="auto"/>
              <w:right w:val="single" w:sz="4" w:space="0" w:color="auto"/>
            </w:tcBorders>
            <w:vAlign w:val="bottom"/>
            <w:hideMark/>
          </w:tcPr>
          <w:p w14:paraId="432702D6" w14:textId="77777777" w:rsidR="00776316" w:rsidRDefault="00776316">
            <w:pPr>
              <w:jc w:val="right"/>
              <w:rPr>
                <w:sz w:val="16"/>
                <w:szCs w:val="16"/>
              </w:rPr>
            </w:pPr>
            <w:r>
              <w:rPr>
                <w:sz w:val="16"/>
                <w:szCs w:val="16"/>
              </w:rPr>
              <w:t>59.7</w:t>
            </w:r>
          </w:p>
        </w:tc>
        <w:tc>
          <w:tcPr>
            <w:tcW w:w="540" w:type="dxa"/>
            <w:tcBorders>
              <w:top w:val="single" w:sz="4" w:space="0" w:color="auto"/>
              <w:left w:val="single" w:sz="4" w:space="0" w:color="auto"/>
              <w:bottom w:val="single" w:sz="4" w:space="0" w:color="auto"/>
              <w:right w:val="single" w:sz="4" w:space="0" w:color="auto"/>
            </w:tcBorders>
            <w:vAlign w:val="bottom"/>
            <w:hideMark/>
          </w:tcPr>
          <w:p w14:paraId="4AA4ACED" w14:textId="77777777" w:rsidR="00776316" w:rsidRDefault="00776316">
            <w:pPr>
              <w:jc w:val="right"/>
              <w:rPr>
                <w:sz w:val="16"/>
                <w:szCs w:val="16"/>
              </w:rPr>
            </w:pPr>
            <w:r>
              <w:rPr>
                <w:sz w:val="16"/>
                <w:szCs w:val="16"/>
              </w:rPr>
              <w:t>55.2</w:t>
            </w:r>
          </w:p>
        </w:tc>
        <w:tc>
          <w:tcPr>
            <w:tcW w:w="540" w:type="dxa"/>
            <w:tcBorders>
              <w:top w:val="single" w:sz="4" w:space="0" w:color="auto"/>
              <w:left w:val="single" w:sz="4" w:space="0" w:color="auto"/>
              <w:bottom w:val="single" w:sz="4" w:space="0" w:color="auto"/>
              <w:right w:val="single" w:sz="4" w:space="0" w:color="auto"/>
            </w:tcBorders>
            <w:hideMark/>
          </w:tcPr>
          <w:p w14:paraId="2A8ACA21" w14:textId="77777777" w:rsidR="00776316" w:rsidRDefault="00776316">
            <w:pPr>
              <w:jc w:val="right"/>
              <w:rPr>
                <w:sz w:val="16"/>
                <w:szCs w:val="16"/>
              </w:rPr>
            </w:pPr>
            <w:r>
              <w:rPr>
                <w:sz w:val="16"/>
                <w:szCs w:val="16"/>
              </w:rPr>
              <w:t>57.3</w:t>
            </w:r>
          </w:p>
        </w:tc>
        <w:tc>
          <w:tcPr>
            <w:tcW w:w="540" w:type="dxa"/>
            <w:tcBorders>
              <w:top w:val="single" w:sz="4" w:space="0" w:color="auto"/>
              <w:left w:val="single" w:sz="4" w:space="0" w:color="auto"/>
              <w:bottom w:val="single" w:sz="4" w:space="0" w:color="auto"/>
              <w:right w:val="single" w:sz="4" w:space="0" w:color="auto"/>
            </w:tcBorders>
            <w:hideMark/>
          </w:tcPr>
          <w:p w14:paraId="29791926" w14:textId="77777777" w:rsidR="00776316" w:rsidRDefault="00776316">
            <w:pPr>
              <w:jc w:val="right"/>
              <w:rPr>
                <w:sz w:val="16"/>
                <w:szCs w:val="16"/>
              </w:rPr>
            </w:pPr>
            <w:r>
              <w:rPr>
                <w:sz w:val="16"/>
                <w:szCs w:val="16"/>
              </w:rPr>
              <w:t>48.5</w:t>
            </w:r>
          </w:p>
        </w:tc>
        <w:tc>
          <w:tcPr>
            <w:tcW w:w="540" w:type="dxa"/>
            <w:tcBorders>
              <w:top w:val="single" w:sz="4" w:space="0" w:color="auto"/>
              <w:left w:val="single" w:sz="4" w:space="0" w:color="auto"/>
              <w:bottom w:val="single" w:sz="4" w:space="0" w:color="auto"/>
              <w:right w:val="single" w:sz="4" w:space="0" w:color="auto"/>
            </w:tcBorders>
            <w:hideMark/>
          </w:tcPr>
          <w:p w14:paraId="25C69362" w14:textId="77777777" w:rsidR="00776316" w:rsidRDefault="00776316">
            <w:pPr>
              <w:snapToGrid w:val="0"/>
              <w:jc w:val="right"/>
              <w:rPr>
                <w:sz w:val="16"/>
                <w:szCs w:val="16"/>
              </w:rPr>
            </w:pPr>
            <w:r>
              <w:rPr>
                <w:sz w:val="16"/>
                <w:szCs w:val="16"/>
              </w:rPr>
              <w:t>22.9</w:t>
            </w:r>
          </w:p>
        </w:tc>
        <w:tc>
          <w:tcPr>
            <w:tcW w:w="704" w:type="dxa"/>
            <w:tcBorders>
              <w:top w:val="single" w:sz="4" w:space="0" w:color="auto"/>
              <w:left w:val="single" w:sz="4" w:space="0" w:color="auto"/>
              <w:bottom w:val="single" w:sz="4" w:space="0" w:color="auto"/>
              <w:right w:val="single" w:sz="4" w:space="0" w:color="auto"/>
            </w:tcBorders>
            <w:hideMark/>
          </w:tcPr>
          <w:p w14:paraId="4E10E281" w14:textId="77777777" w:rsidR="00776316" w:rsidRDefault="00776316">
            <w:pPr>
              <w:snapToGrid w:val="0"/>
              <w:rPr>
                <w:sz w:val="16"/>
                <w:szCs w:val="16"/>
              </w:rPr>
            </w:pPr>
            <w:r>
              <w:rPr>
                <w:sz w:val="16"/>
                <w:szCs w:val="16"/>
              </w:rPr>
              <w:t>31.3</w:t>
            </w:r>
          </w:p>
        </w:tc>
        <w:tc>
          <w:tcPr>
            <w:tcW w:w="630" w:type="dxa"/>
            <w:tcBorders>
              <w:top w:val="single" w:sz="4" w:space="0" w:color="auto"/>
              <w:left w:val="single" w:sz="4" w:space="0" w:color="auto"/>
              <w:bottom w:val="single" w:sz="4" w:space="0" w:color="auto"/>
              <w:right w:val="single" w:sz="4" w:space="0" w:color="auto"/>
            </w:tcBorders>
            <w:hideMark/>
          </w:tcPr>
          <w:p w14:paraId="78CE48C6" w14:textId="77777777" w:rsidR="00776316" w:rsidRDefault="00776316">
            <w:pPr>
              <w:snapToGrid w:val="0"/>
              <w:rPr>
                <w:sz w:val="16"/>
                <w:szCs w:val="16"/>
              </w:rPr>
            </w:pPr>
            <w:r>
              <w:rPr>
                <w:sz w:val="16"/>
                <w:szCs w:val="16"/>
              </w:rPr>
              <w:t>37.90</w:t>
            </w:r>
          </w:p>
        </w:tc>
        <w:tc>
          <w:tcPr>
            <w:tcW w:w="567" w:type="dxa"/>
            <w:tcBorders>
              <w:top w:val="single" w:sz="4" w:space="0" w:color="auto"/>
              <w:left w:val="single" w:sz="4" w:space="0" w:color="auto"/>
              <w:bottom w:val="single" w:sz="4" w:space="0" w:color="auto"/>
              <w:right w:val="single" w:sz="4" w:space="0" w:color="auto"/>
            </w:tcBorders>
            <w:hideMark/>
          </w:tcPr>
          <w:p w14:paraId="1CCAD2F0" w14:textId="77777777" w:rsidR="00776316" w:rsidRDefault="00776316">
            <w:pPr>
              <w:snapToGrid w:val="0"/>
              <w:rPr>
                <w:sz w:val="16"/>
                <w:szCs w:val="16"/>
              </w:rPr>
            </w:pPr>
            <w:r>
              <w:rPr>
                <w:sz w:val="16"/>
                <w:szCs w:val="16"/>
              </w:rPr>
              <w:t>38.9</w:t>
            </w:r>
          </w:p>
        </w:tc>
        <w:tc>
          <w:tcPr>
            <w:tcW w:w="591" w:type="dxa"/>
            <w:tcBorders>
              <w:top w:val="single" w:sz="4" w:space="0" w:color="auto"/>
              <w:left w:val="single" w:sz="4" w:space="0" w:color="auto"/>
              <w:bottom w:val="single" w:sz="4" w:space="0" w:color="auto"/>
              <w:right w:val="single" w:sz="4" w:space="0" w:color="auto"/>
            </w:tcBorders>
            <w:hideMark/>
          </w:tcPr>
          <w:p w14:paraId="2C0AF02B" w14:textId="77777777" w:rsidR="00776316" w:rsidRDefault="00776316">
            <w:pPr>
              <w:snapToGrid w:val="0"/>
              <w:rPr>
                <w:sz w:val="16"/>
                <w:szCs w:val="16"/>
              </w:rPr>
            </w:pPr>
            <w:r>
              <w:rPr>
                <w:sz w:val="16"/>
                <w:szCs w:val="16"/>
              </w:rPr>
              <w:t xml:space="preserve">   %</w:t>
            </w:r>
          </w:p>
        </w:tc>
      </w:tr>
      <w:tr w:rsidR="00776316" w14:paraId="5C0DA626"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056556EA" w14:textId="77777777" w:rsidR="00776316" w:rsidRDefault="00776316">
            <w:pPr>
              <w:rPr>
                <w:sz w:val="16"/>
                <w:szCs w:val="16"/>
              </w:rPr>
            </w:pPr>
            <w:r>
              <w:rPr>
                <w:sz w:val="16"/>
                <w:szCs w:val="16"/>
              </w:rPr>
              <w:t>LYMPH</w:t>
            </w:r>
          </w:p>
        </w:tc>
        <w:tc>
          <w:tcPr>
            <w:tcW w:w="673" w:type="dxa"/>
            <w:tcBorders>
              <w:top w:val="single" w:sz="4" w:space="0" w:color="auto"/>
              <w:left w:val="single" w:sz="4" w:space="0" w:color="auto"/>
              <w:bottom w:val="single" w:sz="4" w:space="0" w:color="auto"/>
              <w:right w:val="single" w:sz="4" w:space="0" w:color="auto"/>
            </w:tcBorders>
            <w:hideMark/>
          </w:tcPr>
          <w:p w14:paraId="1BC406C2" w14:textId="77777777" w:rsidR="00776316" w:rsidRDefault="00776316">
            <w:pPr>
              <w:jc w:val="right"/>
              <w:rPr>
                <w:sz w:val="16"/>
                <w:szCs w:val="16"/>
              </w:rPr>
            </w:pPr>
            <w:r>
              <w:rPr>
                <w:sz w:val="16"/>
                <w:szCs w:val="16"/>
              </w:rPr>
              <w:t>0.66</w:t>
            </w:r>
          </w:p>
        </w:tc>
        <w:tc>
          <w:tcPr>
            <w:tcW w:w="709" w:type="dxa"/>
            <w:tcBorders>
              <w:top w:val="single" w:sz="4" w:space="0" w:color="auto"/>
              <w:left w:val="single" w:sz="4" w:space="0" w:color="auto"/>
              <w:bottom w:val="single" w:sz="4" w:space="0" w:color="auto"/>
              <w:right w:val="single" w:sz="4" w:space="0" w:color="auto"/>
            </w:tcBorders>
            <w:hideMark/>
          </w:tcPr>
          <w:p w14:paraId="4A43F959" w14:textId="77777777" w:rsidR="00776316" w:rsidRDefault="00776316">
            <w:pPr>
              <w:jc w:val="right"/>
              <w:rPr>
                <w:sz w:val="16"/>
                <w:szCs w:val="16"/>
              </w:rPr>
            </w:pPr>
            <w:r>
              <w:rPr>
                <w:sz w:val="16"/>
                <w:szCs w:val="16"/>
              </w:rPr>
              <w:t>1.46</w:t>
            </w:r>
          </w:p>
        </w:tc>
        <w:tc>
          <w:tcPr>
            <w:tcW w:w="623" w:type="dxa"/>
            <w:tcBorders>
              <w:top w:val="single" w:sz="4" w:space="0" w:color="auto"/>
              <w:left w:val="single" w:sz="4" w:space="0" w:color="auto"/>
              <w:bottom w:val="single" w:sz="4" w:space="0" w:color="auto"/>
              <w:right w:val="single" w:sz="4" w:space="0" w:color="auto"/>
            </w:tcBorders>
            <w:hideMark/>
          </w:tcPr>
          <w:p w14:paraId="2CC1A001" w14:textId="77777777" w:rsidR="00776316" w:rsidRDefault="00776316">
            <w:pPr>
              <w:jc w:val="right"/>
              <w:rPr>
                <w:sz w:val="16"/>
                <w:szCs w:val="16"/>
              </w:rPr>
            </w:pPr>
            <w:r>
              <w:rPr>
                <w:sz w:val="16"/>
                <w:szCs w:val="16"/>
              </w:rPr>
              <w:t>1.12</w:t>
            </w:r>
          </w:p>
        </w:tc>
        <w:tc>
          <w:tcPr>
            <w:tcW w:w="630" w:type="dxa"/>
            <w:tcBorders>
              <w:top w:val="single" w:sz="4" w:space="0" w:color="auto"/>
              <w:left w:val="single" w:sz="4" w:space="0" w:color="auto"/>
              <w:bottom w:val="single" w:sz="4" w:space="0" w:color="auto"/>
              <w:right w:val="single" w:sz="4" w:space="0" w:color="auto"/>
            </w:tcBorders>
            <w:hideMark/>
          </w:tcPr>
          <w:p w14:paraId="1B240395" w14:textId="77777777" w:rsidR="00776316" w:rsidRDefault="00776316">
            <w:pPr>
              <w:jc w:val="right"/>
              <w:rPr>
                <w:sz w:val="16"/>
                <w:szCs w:val="16"/>
              </w:rPr>
            </w:pPr>
            <w:r>
              <w:rPr>
                <w:sz w:val="16"/>
                <w:szCs w:val="16"/>
              </w:rPr>
              <w:t>0.91</w:t>
            </w:r>
          </w:p>
        </w:tc>
        <w:tc>
          <w:tcPr>
            <w:tcW w:w="630" w:type="dxa"/>
            <w:tcBorders>
              <w:top w:val="single" w:sz="4" w:space="0" w:color="auto"/>
              <w:left w:val="single" w:sz="4" w:space="0" w:color="auto"/>
              <w:bottom w:val="single" w:sz="4" w:space="0" w:color="auto"/>
              <w:right w:val="single" w:sz="4" w:space="0" w:color="auto"/>
            </w:tcBorders>
            <w:vAlign w:val="bottom"/>
            <w:hideMark/>
          </w:tcPr>
          <w:p w14:paraId="4FAA2DF7" w14:textId="77777777" w:rsidR="00776316" w:rsidRDefault="00776316">
            <w:pPr>
              <w:jc w:val="right"/>
              <w:rPr>
                <w:sz w:val="16"/>
                <w:szCs w:val="16"/>
              </w:rPr>
            </w:pPr>
            <w:r>
              <w:rPr>
                <w:sz w:val="16"/>
                <w:szCs w:val="16"/>
              </w:rPr>
              <w:t>0.56</w:t>
            </w:r>
          </w:p>
        </w:tc>
        <w:tc>
          <w:tcPr>
            <w:tcW w:w="630" w:type="dxa"/>
            <w:tcBorders>
              <w:top w:val="single" w:sz="4" w:space="0" w:color="auto"/>
              <w:left w:val="single" w:sz="4" w:space="0" w:color="auto"/>
              <w:bottom w:val="single" w:sz="4" w:space="0" w:color="auto"/>
              <w:right w:val="single" w:sz="4" w:space="0" w:color="auto"/>
            </w:tcBorders>
            <w:vAlign w:val="bottom"/>
            <w:hideMark/>
          </w:tcPr>
          <w:p w14:paraId="4EB23778" w14:textId="77777777" w:rsidR="00776316" w:rsidRDefault="00776316">
            <w:pPr>
              <w:jc w:val="right"/>
              <w:rPr>
                <w:sz w:val="16"/>
                <w:szCs w:val="16"/>
              </w:rPr>
            </w:pPr>
            <w:r>
              <w:rPr>
                <w:sz w:val="16"/>
                <w:szCs w:val="16"/>
              </w:rPr>
              <w:t>0.52</w:t>
            </w:r>
          </w:p>
        </w:tc>
        <w:tc>
          <w:tcPr>
            <w:tcW w:w="540" w:type="dxa"/>
            <w:tcBorders>
              <w:top w:val="single" w:sz="4" w:space="0" w:color="auto"/>
              <w:left w:val="single" w:sz="4" w:space="0" w:color="auto"/>
              <w:bottom w:val="single" w:sz="4" w:space="0" w:color="auto"/>
              <w:right w:val="single" w:sz="4" w:space="0" w:color="auto"/>
            </w:tcBorders>
            <w:vAlign w:val="bottom"/>
            <w:hideMark/>
          </w:tcPr>
          <w:p w14:paraId="2606CF29" w14:textId="77777777" w:rsidR="00776316" w:rsidRDefault="00776316">
            <w:pPr>
              <w:jc w:val="right"/>
              <w:rPr>
                <w:sz w:val="16"/>
                <w:szCs w:val="16"/>
              </w:rPr>
            </w:pPr>
            <w:r>
              <w:rPr>
                <w:sz w:val="16"/>
                <w:szCs w:val="16"/>
              </w:rPr>
              <w:t>0.61</w:t>
            </w:r>
          </w:p>
        </w:tc>
        <w:tc>
          <w:tcPr>
            <w:tcW w:w="630" w:type="dxa"/>
            <w:tcBorders>
              <w:top w:val="single" w:sz="4" w:space="0" w:color="auto"/>
              <w:left w:val="single" w:sz="4" w:space="0" w:color="auto"/>
              <w:bottom w:val="single" w:sz="4" w:space="0" w:color="auto"/>
              <w:right w:val="single" w:sz="4" w:space="0" w:color="auto"/>
            </w:tcBorders>
            <w:vAlign w:val="bottom"/>
            <w:hideMark/>
          </w:tcPr>
          <w:p w14:paraId="6E462631" w14:textId="77777777" w:rsidR="00776316" w:rsidRDefault="00776316">
            <w:pPr>
              <w:jc w:val="right"/>
              <w:rPr>
                <w:sz w:val="16"/>
                <w:szCs w:val="16"/>
              </w:rPr>
            </w:pPr>
            <w:r>
              <w:rPr>
                <w:sz w:val="16"/>
                <w:szCs w:val="16"/>
              </w:rPr>
              <w:t>0.62</w:t>
            </w:r>
          </w:p>
        </w:tc>
        <w:tc>
          <w:tcPr>
            <w:tcW w:w="540" w:type="dxa"/>
            <w:tcBorders>
              <w:top w:val="single" w:sz="4" w:space="0" w:color="auto"/>
              <w:left w:val="single" w:sz="4" w:space="0" w:color="auto"/>
              <w:bottom w:val="single" w:sz="4" w:space="0" w:color="auto"/>
              <w:right w:val="single" w:sz="4" w:space="0" w:color="auto"/>
            </w:tcBorders>
            <w:vAlign w:val="bottom"/>
            <w:hideMark/>
          </w:tcPr>
          <w:p w14:paraId="14341EE3" w14:textId="77777777" w:rsidR="00776316" w:rsidRDefault="00776316">
            <w:pPr>
              <w:jc w:val="right"/>
              <w:rPr>
                <w:sz w:val="16"/>
                <w:szCs w:val="16"/>
              </w:rPr>
            </w:pPr>
            <w:r>
              <w:rPr>
                <w:sz w:val="16"/>
                <w:szCs w:val="16"/>
              </w:rPr>
              <w:t>0.73</w:t>
            </w:r>
          </w:p>
        </w:tc>
        <w:tc>
          <w:tcPr>
            <w:tcW w:w="540" w:type="dxa"/>
            <w:tcBorders>
              <w:top w:val="single" w:sz="4" w:space="0" w:color="auto"/>
              <w:left w:val="single" w:sz="4" w:space="0" w:color="auto"/>
              <w:bottom w:val="single" w:sz="4" w:space="0" w:color="auto"/>
              <w:right w:val="single" w:sz="4" w:space="0" w:color="auto"/>
            </w:tcBorders>
            <w:hideMark/>
          </w:tcPr>
          <w:p w14:paraId="2E91B253" w14:textId="77777777" w:rsidR="00776316" w:rsidRDefault="00776316">
            <w:pPr>
              <w:jc w:val="right"/>
              <w:rPr>
                <w:sz w:val="16"/>
                <w:szCs w:val="16"/>
              </w:rPr>
            </w:pPr>
            <w:r>
              <w:rPr>
                <w:sz w:val="16"/>
                <w:szCs w:val="16"/>
              </w:rPr>
              <w:t>0.7</w:t>
            </w:r>
          </w:p>
        </w:tc>
        <w:tc>
          <w:tcPr>
            <w:tcW w:w="540" w:type="dxa"/>
            <w:tcBorders>
              <w:top w:val="single" w:sz="4" w:space="0" w:color="auto"/>
              <w:left w:val="single" w:sz="4" w:space="0" w:color="auto"/>
              <w:bottom w:val="single" w:sz="4" w:space="0" w:color="auto"/>
              <w:right w:val="single" w:sz="4" w:space="0" w:color="auto"/>
            </w:tcBorders>
            <w:hideMark/>
          </w:tcPr>
          <w:p w14:paraId="2672D50C" w14:textId="77777777" w:rsidR="00776316" w:rsidRDefault="00776316">
            <w:pPr>
              <w:jc w:val="right"/>
              <w:rPr>
                <w:sz w:val="16"/>
                <w:szCs w:val="16"/>
              </w:rPr>
            </w:pPr>
            <w:r>
              <w:rPr>
                <w:sz w:val="16"/>
                <w:szCs w:val="16"/>
              </w:rPr>
              <w:t>0.72</w:t>
            </w:r>
          </w:p>
        </w:tc>
        <w:tc>
          <w:tcPr>
            <w:tcW w:w="540" w:type="dxa"/>
            <w:tcBorders>
              <w:top w:val="single" w:sz="4" w:space="0" w:color="auto"/>
              <w:left w:val="single" w:sz="4" w:space="0" w:color="auto"/>
              <w:bottom w:val="single" w:sz="4" w:space="0" w:color="auto"/>
              <w:right w:val="single" w:sz="4" w:space="0" w:color="auto"/>
            </w:tcBorders>
            <w:hideMark/>
          </w:tcPr>
          <w:p w14:paraId="1E63FE5C" w14:textId="77777777" w:rsidR="00776316" w:rsidRDefault="00776316">
            <w:pPr>
              <w:snapToGrid w:val="0"/>
              <w:jc w:val="right"/>
              <w:rPr>
                <w:sz w:val="16"/>
                <w:szCs w:val="16"/>
              </w:rPr>
            </w:pPr>
            <w:r>
              <w:rPr>
                <w:sz w:val="16"/>
                <w:szCs w:val="16"/>
              </w:rPr>
              <w:t>1.09</w:t>
            </w:r>
          </w:p>
        </w:tc>
        <w:tc>
          <w:tcPr>
            <w:tcW w:w="704" w:type="dxa"/>
            <w:tcBorders>
              <w:top w:val="single" w:sz="4" w:space="0" w:color="auto"/>
              <w:left w:val="single" w:sz="4" w:space="0" w:color="auto"/>
              <w:bottom w:val="single" w:sz="4" w:space="0" w:color="auto"/>
              <w:right w:val="single" w:sz="4" w:space="0" w:color="auto"/>
            </w:tcBorders>
            <w:hideMark/>
          </w:tcPr>
          <w:p w14:paraId="7D21D075" w14:textId="77777777" w:rsidR="00776316" w:rsidRDefault="00776316">
            <w:pPr>
              <w:snapToGrid w:val="0"/>
              <w:rPr>
                <w:sz w:val="16"/>
                <w:szCs w:val="16"/>
              </w:rPr>
            </w:pPr>
            <w:r>
              <w:rPr>
                <w:sz w:val="16"/>
                <w:szCs w:val="16"/>
              </w:rPr>
              <w:t>1.14</w:t>
            </w:r>
          </w:p>
        </w:tc>
        <w:tc>
          <w:tcPr>
            <w:tcW w:w="630" w:type="dxa"/>
            <w:tcBorders>
              <w:top w:val="single" w:sz="4" w:space="0" w:color="auto"/>
              <w:left w:val="single" w:sz="4" w:space="0" w:color="auto"/>
              <w:bottom w:val="single" w:sz="4" w:space="0" w:color="auto"/>
              <w:right w:val="single" w:sz="4" w:space="0" w:color="auto"/>
            </w:tcBorders>
            <w:hideMark/>
          </w:tcPr>
          <w:p w14:paraId="15470BD2" w14:textId="77777777" w:rsidR="00776316" w:rsidRDefault="00776316">
            <w:pPr>
              <w:snapToGrid w:val="0"/>
              <w:rPr>
                <w:sz w:val="16"/>
                <w:szCs w:val="16"/>
              </w:rPr>
            </w:pPr>
            <w:r>
              <w:rPr>
                <w:sz w:val="16"/>
                <w:szCs w:val="16"/>
              </w:rPr>
              <w:t xml:space="preserve">  1.11</w:t>
            </w:r>
          </w:p>
        </w:tc>
        <w:tc>
          <w:tcPr>
            <w:tcW w:w="567" w:type="dxa"/>
            <w:tcBorders>
              <w:top w:val="single" w:sz="4" w:space="0" w:color="auto"/>
              <w:left w:val="single" w:sz="4" w:space="0" w:color="auto"/>
              <w:bottom w:val="single" w:sz="4" w:space="0" w:color="auto"/>
              <w:right w:val="single" w:sz="4" w:space="0" w:color="auto"/>
            </w:tcBorders>
            <w:hideMark/>
          </w:tcPr>
          <w:p w14:paraId="619D3FBE" w14:textId="77777777" w:rsidR="00776316" w:rsidRDefault="00776316">
            <w:pPr>
              <w:snapToGrid w:val="0"/>
              <w:rPr>
                <w:sz w:val="16"/>
                <w:szCs w:val="16"/>
              </w:rPr>
            </w:pPr>
            <w:r>
              <w:rPr>
                <w:sz w:val="16"/>
                <w:szCs w:val="16"/>
              </w:rPr>
              <w:t>0.14</w:t>
            </w:r>
          </w:p>
        </w:tc>
        <w:tc>
          <w:tcPr>
            <w:tcW w:w="591" w:type="dxa"/>
            <w:tcBorders>
              <w:top w:val="single" w:sz="4" w:space="0" w:color="auto"/>
              <w:left w:val="single" w:sz="4" w:space="0" w:color="auto"/>
              <w:bottom w:val="single" w:sz="4" w:space="0" w:color="auto"/>
              <w:right w:val="single" w:sz="4" w:space="0" w:color="auto"/>
            </w:tcBorders>
            <w:hideMark/>
          </w:tcPr>
          <w:p w14:paraId="68A34EA9" w14:textId="77777777" w:rsidR="00776316" w:rsidRDefault="00776316">
            <w:pPr>
              <w:snapToGrid w:val="0"/>
              <w:rPr>
                <w:sz w:val="16"/>
                <w:szCs w:val="16"/>
              </w:rPr>
            </w:pPr>
            <w:r>
              <w:rPr>
                <w:sz w:val="16"/>
                <w:szCs w:val="16"/>
              </w:rPr>
              <w:t>K/µL</w:t>
            </w:r>
          </w:p>
        </w:tc>
      </w:tr>
      <w:tr w:rsidR="00776316" w14:paraId="2A8829B7"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12ABEA35" w14:textId="77777777" w:rsidR="00776316" w:rsidRDefault="00776316">
            <w:pPr>
              <w:rPr>
                <w:sz w:val="16"/>
                <w:szCs w:val="16"/>
              </w:rPr>
            </w:pPr>
            <w:r>
              <w:rPr>
                <w:sz w:val="16"/>
                <w:szCs w:val="16"/>
              </w:rPr>
              <w:t>LYMPH%</w:t>
            </w:r>
          </w:p>
        </w:tc>
        <w:tc>
          <w:tcPr>
            <w:tcW w:w="673" w:type="dxa"/>
            <w:tcBorders>
              <w:top w:val="single" w:sz="4" w:space="0" w:color="auto"/>
              <w:left w:val="single" w:sz="4" w:space="0" w:color="auto"/>
              <w:bottom w:val="single" w:sz="4" w:space="0" w:color="auto"/>
              <w:right w:val="single" w:sz="4" w:space="0" w:color="auto"/>
            </w:tcBorders>
            <w:hideMark/>
          </w:tcPr>
          <w:p w14:paraId="6844A408" w14:textId="77777777" w:rsidR="00776316" w:rsidRDefault="00776316">
            <w:pPr>
              <w:jc w:val="right"/>
              <w:rPr>
                <w:sz w:val="16"/>
                <w:szCs w:val="16"/>
              </w:rPr>
            </w:pPr>
            <w:r>
              <w:rPr>
                <w:sz w:val="16"/>
                <w:szCs w:val="16"/>
              </w:rPr>
              <w:t>16.1</w:t>
            </w:r>
          </w:p>
        </w:tc>
        <w:tc>
          <w:tcPr>
            <w:tcW w:w="709" w:type="dxa"/>
            <w:tcBorders>
              <w:top w:val="single" w:sz="4" w:space="0" w:color="auto"/>
              <w:left w:val="single" w:sz="4" w:space="0" w:color="auto"/>
              <w:bottom w:val="single" w:sz="4" w:space="0" w:color="auto"/>
              <w:right w:val="single" w:sz="4" w:space="0" w:color="auto"/>
            </w:tcBorders>
            <w:hideMark/>
          </w:tcPr>
          <w:p w14:paraId="2C55AA43" w14:textId="77777777" w:rsidR="00776316" w:rsidRDefault="00776316">
            <w:pPr>
              <w:jc w:val="right"/>
              <w:rPr>
                <w:sz w:val="16"/>
                <w:szCs w:val="16"/>
              </w:rPr>
            </w:pPr>
            <w:r>
              <w:rPr>
                <w:sz w:val="16"/>
                <w:szCs w:val="16"/>
              </w:rPr>
              <w:t>24.2</w:t>
            </w:r>
          </w:p>
        </w:tc>
        <w:tc>
          <w:tcPr>
            <w:tcW w:w="623" w:type="dxa"/>
            <w:tcBorders>
              <w:top w:val="single" w:sz="4" w:space="0" w:color="auto"/>
              <w:left w:val="single" w:sz="4" w:space="0" w:color="auto"/>
              <w:bottom w:val="single" w:sz="4" w:space="0" w:color="auto"/>
              <w:right w:val="single" w:sz="4" w:space="0" w:color="auto"/>
            </w:tcBorders>
            <w:hideMark/>
          </w:tcPr>
          <w:p w14:paraId="6D71A0A2" w14:textId="77777777" w:rsidR="00776316" w:rsidRDefault="00776316">
            <w:pPr>
              <w:jc w:val="right"/>
              <w:rPr>
                <w:sz w:val="16"/>
                <w:szCs w:val="16"/>
              </w:rPr>
            </w:pPr>
            <w:r>
              <w:rPr>
                <w:sz w:val="16"/>
                <w:szCs w:val="16"/>
              </w:rPr>
              <w:t>29.1</w:t>
            </w:r>
          </w:p>
        </w:tc>
        <w:tc>
          <w:tcPr>
            <w:tcW w:w="630" w:type="dxa"/>
            <w:tcBorders>
              <w:top w:val="single" w:sz="4" w:space="0" w:color="auto"/>
              <w:left w:val="single" w:sz="4" w:space="0" w:color="auto"/>
              <w:bottom w:val="single" w:sz="4" w:space="0" w:color="auto"/>
              <w:right w:val="single" w:sz="4" w:space="0" w:color="auto"/>
            </w:tcBorders>
            <w:hideMark/>
          </w:tcPr>
          <w:p w14:paraId="3B2C4DF4" w14:textId="77777777" w:rsidR="00776316" w:rsidRDefault="00776316">
            <w:pPr>
              <w:jc w:val="right"/>
              <w:rPr>
                <w:sz w:val="16"/>
                <w:szCs w:val="16"/>
              </w:rPr>
            </w:pPr>
            <w:r>
              <w:rPr>
                <w:sz w:val="16"/>
                <w:szCs w:val="16"/>
              </w:rPr>
              <w:t>25.9</w:t>
            </w:r>
          </w:p>
        </w:tc>
        <w:tc>
          <w:tcPr>
            <w:tcW w:w="630" w:type="dxa"/>
            <w:tcBorders>
              <w:top w:val="single" w:sz="4" w:space="0" w:color="auto"/>
              <w:left w:val="single" w:sz="4" w:space="0" w:color="auto"/>
              <w:bottom w:val="single" w:sz="4" w:space="0" w:color="auto"/>
              <w:right w:val="single" w:sz="4" w:space="0" w:color="auto"/>
            </w:tcBorders>
            <w:vAlign w:val="bottom"/>
            <w:hideMark/>
          </w:tcPr>
          <w:p w14:paraId="2DB76115" w14:textId="77777777" w:rsidR="00776316" w:rsidRDefault="00776316">
            <w:pPr>
              <w:jc w:val="right"/>
              <w:rPr>
                <w:sz w:val="16"/>
                <w:szCs w:val="16"/>
              </w:rPr>
            </w:pPr>
            <w:r>
              <w:rPr>
                <w:sz w:val="16"/>
                <w:szCs w:val="16"/>
              </w:rPr>
              <w:t>19.6</w:t>
            </w:r>
          </w:p>
        </w:tc>
        <w:tc>
          <w:tcPr>
            <w:tcW w:w="630" w:type="dxa"/>
            <w:tcBorders>
              <w:top w:val="single" w:sz="4" w:space="0" w:color="auto"/>
              <w:left w:val="single" w:sz="4" w:space="0" w:color="auto"/>
              <w:bottom w:val="single" w:sz="4" w:space="0" w:color="auto"/>
              <w:right w:val="single" w:sz="4" w:space="0" w:color="auto"/>
            </w:tcBorders>
            <w:vAlign w:val="bottom"/>
            <w:hideMark/>
          </w:tcPr>
          <w:p w14:paraId="6F143B7E" w14:textId="77777777" w:rsidR="00776316" w:rsidRDefault="00776316">
            <w:pPr>
              <w:jc w:val="right"/>
              <w:rPr>
                <w:sz w:val="16"/>
                <w:szCs w:val="16"/>
              </w:rPr>
            </w:pPr>
            <w:r>
              <w:rPr>
                <w:sz w:val="16"/>
                <w:szCs w:val="16"/>
              </w:rPr>
              <w:t>37.1</w:t>
            </w:r>
          </w:p>
        </w:tc>
        <w:tc>
          <w:tcPr>
            <w:tcW w:w="540" w:type="dxa"/>
            <w:tcBorders>
              <w:top w:val="single" w:sz="4" w:space="0" w:color="auto"/>
              <w:left w:val="single" w:sz="4" w:space="0" w:color="auto"/>
              <w:bottom w:val="single" w:sz="4" w:space="0" w:color="auto"/>
              <w:right w:val="single" w:sz="4" w:space="0" w:color="auto"/>
            </w:tcBorders>
            <w:vAlign w:val="bottom"/>
            <w:hideMark/>
          </w:tcPr>
          <w:p w14:paraId="763B3AF2" w14:textId="77777777" w:rsidR="00776316" w:rsidRDefault="00776316">
            <w:pPr>
              <w:jc w:val="right"/>
              <w:rPr>
                <w:sz w:val="16"/>
                <w:szCs w:val="16"/>
              </w:rPr>
            </w:pPr>
            <w:r>
              <w:rPr>
                <w:sz w:val="16"/>
                <w:szCs w:val="16"/>
              </w:rPr>
              <w:t>31.3</w:t>
            </w:r>
          </w:p>
        </w:tc>
        <w:tc>
          <w:tcPr>
            <w:tcW w:w="630" w:type="dxa"/>
            <w:tcBorders>
              <w:top w:val="single" w:sz="4" w:space="0" w:color="auto"/>
              <w:left w:val="single" w:sz="4" w:space="0" w:color="auto"/>
              <w:bottom w:val="single" w:sz="4" w:space="0" w:color="auto"/>
              <w:right w:val="single" w:sz="4" w:space="0" w:color="auto"/>
            </w:tcBorders>
            <w:vAlign w:val="bottom"/>
            <w:hideMark/>
          </w:tcPr>
          <w:p w14:paraId="59513E96" w14:textId="77777777" w:rsidR="00776316" w:rsidRDefault="00776316">
            <w:pPr>
              <w:jc w:val="right"/>
              <w:rPr>
                <w:sz w:val="16"/>
                <w:szCs w:val="16"/>
              </w:rPr>
            </w:pPr>
            <w:r>
              <w:rPr>
                <w:sz w:val="16"/>
                <w:szCs w:val="16"/>
              </w:rPr>
              <w:t>30.8</w:t>
            </w:r>
          </w:p>
        </w:tc>
        <w:tc>
          <w:tcPr>
            <w:tcW w:w="540" w:type="dxa"/>
            <w:tcBorders>
              <w:top w:val="single" w:sz="4" w:space="0" w:color="auto"/>
              <w:left w:val="single" w:sz="4" w:space="0" w:color="auto"/>
              <w:bottom w:val="single" w:sz="4" w:space="0" w:color="auto"/>
              <w:right w:val="single" w:sz="4" w:space="0" w:color="auto"/>
            </w:tcBorders>
            <w:vAlign w:val="bottom"/>
            <w:hideMark/>
          </w:tcPr>
          <w:p w14:paraId="1CDAF742" w14:textId="77777777" w:rsidR="00776316" w:rsidRDefault="00776316">
            <w:pPr>
              <w:jc w:val="right"/>
              <w:rPr>
                <w:sz w:val="16"/>
                <w:szCs w:val="16"/>
              </w:rPr>
            </w:pPr>
            <w:r>
              <w:rPr>
                <w:sz w:val="16"/>
                <w:szCs w:val="16"/>
              </w:rPr>
              <w:t>32.4</w:t>
            </w:r>
          </w:p>
        </w:tc>
        <w:tc>
          <w:tcPr>
            <w:tcW w:w="540" w:type="dxa"/>
            <w:tcBorders>
              <w:top w:val="single" w:sz="4" w:space="0" w:color="auto"/>
              <w:left w:val="single" w:sz="4" w:space="0" w:color="auto"/>
              <w:bottom w:val="single" w:sz="4" w:space="0" w:color="auto"/>
              <w:right w:val="single" w:sz="4" w:space="0" w:color="auto"/>
            </w:tcBorders>
            <w:hideMark/>
          </w:tcPr>
          <w:p w14:paraId="174C4EA2" w14:textId="77777777" w:rsidR="00776316" w:rsidRDefault="00776316">
            <w:pPr>
              <w:jc w:val="right"/>
              <w:rPr>
                <w:sz w:val="16"/>
                <w:szCs w:val="16"/>
              </w:rPr>
            </w:pPr>
            <w:r>
              <w:rPr>
                <w:sz w:val="16"/>
                <w:szCs w:val="16"/>
              </w:rPr>
              <w:t>32.1</w:t>
            </w:r>
          </w:p>
        </w:tc>
        <w:tc>
          <w:tcPr>
            <w:tcW w:w="540" w:type="dxa"/>
            <w:tcBorders>
              <w:top w:val="single" w:sz="4" w:space="0" w:color="auto"/>
              <w:left w:val="single" w:sz="4" w:space="0" w:color="auto"/>
              <w:bottom w:val="single" w:sz="4" w:space="0" w:color="auto"/>
              <w:right w:val="single" w:sz="4" w:space="0" w:color="auto"/>
            </w:tcBorders>
            <w:hideMark/>
          </w:tcPr>
          <w:p w14:paraId="65716468" w14:textId="77777777" w:rsidR="00776316" w:rsidRDefault="00776316">
            <w:pPr>
              <w:jc w:val="right"/>
              <w:rPr>
                <w:sz w:val="16"/>
                <w:szCs w:val="16"/>
              </w:rPr>
            </w:pPr>
            <w:r>
              <w:rPr>
                <w:sz w:val="16"/>
                <w:szCs w:val="16"/>
              </w:rPr>
              <w:t>34</w:t>
            </w:r>
          </w:p>
        </w:tc>
        <w:tc>
          <w:tcPr>
            <w:tcW w:w="540" w:type="dxa"/>
            <w:tcBorders>
              <w:top w:val="single" w:sz="4" w:space="0" w:color="auto"/>
              <w:left w:val="single" w:sz="4" w:space="0" w:color="auto"/>
              <w:bottom w:val="single" w:sz="4" w:space="0" w:color="auto"/>
              <w:right w:val="single" w:sz="4" w:space="0" w:color="auto"/>
            </w:tcBorders>
            <w:hideMark/>
          </w:tcPr>
          <w:p w14:paraId="4A25D587" w14:textId="77777777" w:rsidR="00776316" w:rsidRDefault="00776316">
            <w:pPr>
              <w:snapToGrid w:val="0"/>
              <w:jc w:val="right"/>
              <w:rPr>
                <w:sz w:val="16"/>
                <w:szCs w:val="16"/>
              </w:rPr>
            </w:pPr>
            <w:r>
              <w:rPr>
                <w:sz w:val="16"/>
                <w:szCs w:val="16"/>
              </w:rPr>
              <w:t>23.3</w:t>
            </w:r>
          </w:p>
        </w:tc>
        <w:tc>
          <w:tcPr>
            <w:tcW w:w="704" w:type="dxa"/>
            <w:tcBorders>
              <w:top w:val="single" w:sz="4" w:space="0" w:color="auto"/>
              <w:left w:val="single" w:sz="4" w:space="0" w:color="auto"/>
              <w:bottom w:val="single" w:sz="4" w:space="0" w:color="auto"/>
              <w:right w:val="single" w:sz="4" w:space="0" w:color="auto"/>
            </w:tcBorders>
            <w:hideMark/>
          </w:tcPr>
          <w:p w14:paraId="287D7D87" w14:textId="77777777" w:rsidR="00776316" w:rsidRDefault="00776316">
            <w:pPr>
              <w:snapToGrid w:val="0"/>
              <w:rPr>
                <w:sz w:val="16"/>
                <w:szCs w:val="16"/>
              </w:rPr>
            </w:pPr>
            <w:r>
              <w:rPr>
                <w:sz w:val="16"/>
                <w:szCs w:val="16"/>
              </w:rPr>
              <w:t>18.1</w:t>
            </w:r>
          </w:p>
        </w:tc>
        <w:tc>
          <w:tcPr>
            <w:tcW w:w="630" w:type="dxa"/>
            <w:tcBorders>
              <w:top w:val="single" w:sz="4" w:space="0" w:color="auto"/>
              <w:left w:val="single" w:sz="4" w:space="0" w:color="auto"/>
              <w:bottom w:val="single" w:sz="4" w:space="0" w:color="auto"/>
              <w:right w:val="single" w:sz="4" w:space="0" w:color="auto"/>
            </w:tcBorders>
            <w:hideMark/>
          </w:tcPr>
          <w:p w14:paraId="71456394" w14:textId="77777777" w:rsidR="00776316" w:rsidRDefault="00776316">
            <w:pPr>
              <w:snapToGrid w:val="0"/>
              <w:rPr>
                <w:sz w:val="16"/>
                <w:szCs w:val="16"/>
              </w:rPr>
            </w:pPr>
            <w:r>
              <w:rPr>
                <w:sz w:val="16"/>
                <w:szCs w:val="16"/>
              </w:rPr>
              <w:t xml:space="preserve">   5</w:t>
            </w:r>
          </w:p>
        </w:tc>
        <w:tc>
          <w:tcPr>
            <w:tcW w:w="567" w:type="dxa"/>
            <w:tcBorders>
              <w:top w:val="single" w:sz="4" w:space="0" w:color="auto"/>
              <w:left w:val="single" w:sz="4" w:space="0" w:color="auto"/>
              <w:bottom w:val="single" w:sz="4" w:space="0" w:color="auto"/>
              <w:right w:val="single" w:sz="4" w:space="0" w:color="auto"/>
            </w:tcBorders>
            <w:hideMark/>
          </w:tcPr>
          <w:p w14:paraId="0E0A262C" w14:textId="77777777" w:rsidR="00776316" w:rsidRDefault="00776316">
            <w:pPr>
              <w:snapToGrid w:val="0"/>
              <w:rPr>
                <w:sz w:val="16"/>
                <w:szCs w:val="16"/>
              </w:rPr>
            </w:pPr>
            <w:r>
              <w:rPr>
                <w:sz w:val="16"/>
                <w:szCs w:val="16"/>
              </w:rPr>
              <w:t>3.4</w:t>
            </w:r>
          </w:p>
        </w:tc>
        <w:tc>
          <w:tcPr>
            <w:tcW w:w="591" w:type="dxa"/>
            <w:tcBorders>
              <w:top w:val="single" w:sz="4" w:space="0" w:color="auto"/>
              <w:left w:val="single" w:sz="4" w:space="0" w:color="auto"/>
              <w:bottom w:val="single" w:sz="4" w:space="0" w:color="auto"/>
              <w:right w:val="single" w:sz="4" w:space="0" w:color="auto"/>
            </w:tcBorders>
            <w:hideMark/>
          </w:tcPr>
          <w:p w14:paraId="36670DC6" w14:textId="77777777" w:rsidR="00776316" w:rsidRDefault="00776316">
            <w:pPr>
              <w:snapToGrid w:val="0"/>
              <w:rPr>
                <w:sz w:val="16"/>
                <w:szCs w:val="16"/>
              </w:rPr>
            </w:pPr>
            <w:r>
              <w:rPr>
                <w:sz w:val="16"/>
                <w:szCs w:val="16"/>
              </w:rPr>
              <w:t xml:space="preserve">   %</w:t>
            </w:r>
          </w:p>
        </w:tc>
      </w:tr>
      <w:tr w:rsidR="00776316" w14:paraId="74EF4435"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44B52194" w14:textId="77777777" w:rsidR="00776316" w:rsidRDefault="00776316">
            <w:pPr>
              <w:rPr>
                <w:sz w:val="16"/>
                <w:szCs w:val="16"/>
              </w:rPr>
            </w:pPr>
            <w:r>
              <w:rPr>
                <w:sz w:val="16"/>
                <w:szCs w:val="16"/>
              </w:rPr>
              <w:t>MONO</w:t>
            </w:r>
          </w:p>
        </w:tc>
        <w:tc>
          <w:tcPr>
            <w:tcW w:w="673" w:type="dxa"/>
            <w:tcBorders>
              <w:top w:val="single" w:sz="4" w:space="0" w:color="auto"/>
              <w:left w:val="single" w:sz="4" w:space="0" w:color="auto"/>
              <w:bottom w:val="single" w:sz="4" w:space="0" w:color="auto"/>
              <w:right w:val="single" w:sz="4" w:space="0" w:color="auto"/>
            </w:tcBorders>
            <w:hideMark/>
          </w:tcPr>
          <w:p w14:paraId="73D60B45" w14:textId="77777777" w:rsidR="00776316" w:rsidRDefault="00776316">
            <w:pPr>
              <w:jc w:val="right"/>
              <w:rPr>
                <w:sz w:val="16"/>
                <w:szCs w:val="16"/>
              </w:rPr>
            </w:pPr>
            <w:r>
              <w:rPr>
                <w:sz w:val="16"/>
                <w:szCs w:val="16"/>
              </w:rPr>
              <w:t>0.57</w:t>
            </w:r>
          </w:p>
        </w:tc>
        <w:tc>
          <w:tcPr>
            <w:tcW w:w="709" w:type="dxa"/>
            <w:tcBorders>
              <w:top w:val="single" w:sz="4" w:space="0" w:color="auto"/>
              <w:left w:val="single" w:sz="4" w:space="0" w:color="auto"/>
              <w:bottom w:val="single" w:sz="4" w:space="0" w:color="auto"/>
              <w:right w:val="single" w:sz="4" w:space="0" w:color="auto"/>
            </w:tcBorders>
            <w:hideMark/>
          </w:tcPr>
          <w:p w14:paraId="757B5478" w14:textId="77777777" w:rsidR="00776316" w:rsidRDefault="00776316">
            <w:pPr>
              <w:jc w:val="right"/>
              <w:rPr>
                <w:sz w:val="16"/>
                <w:szCs w:val="16"/>
              </w:rPr>
            </w:pPr>
            <w:r>
              <w:rPr>
                <w:sz w:val="16"/>
                <w:szCs w:val="16"/>
              </w:rPr>
              <w:t>1.98</w:t>
            </w:r>
          </w:p>
        </w:tc>
        <w:tc>
          <w:tcPr>
            <w:tcW w:w="623" w:type="dxa"/>
            <w:tcBorders>
              <w:top w:val="single" w:sz="4" w:space="0" w:color="auto"/>
              <w:left w:val="single" w:sz="4" w:space="0" w:color="auto"/>
              <w:bottom w:val="single" w:sz="4" w:space="0" w:color="auto"/>
              <w:right w:val="single" w:sz="4" w:space="0" w:color="auto"/>
            </w:tcBorders>
            <w:hideMark/>
          </w:tcPr>
          <w:p w14:paraId="176469EB" w14:textId="77777777" w:rsidR="00776316" w:rsidRDefault="00776316">
            <w:pPr>
              <w:jc w:val="right"/>
              <w:rPr>
                <w:sz w:val="16"/>
                <w:szCs w:val="16"/>
              </w:rPr>
            </w:pPr>
            <w:r>
              <w:rPr>
                <w:sz w:val="16"/>
                <w:szCs w:val="16"/>
              </w:rPr>
              <w:t>0.41</w:t>
            </w:r>
          </w:p>
        </w:tc>
        <w:tc>
          <w:tcPr>
            <w:tcW w:w="630" w:type="dxa"/>
            <w:tcBorders>
              <w:top w:val="single" w:sz="4" w:space="0" w:color="auto"/>
              <w:left w:val="single" w:sz="4" w:space="0" w:color="auto"/>
              <w:bottom w:val="single" w:sz="4" w:space="0" w:color="auto"/>
              <w:right w:val="single" w:sz="4" w:space="0" w:color="auto"/>
            </w:tcBorders>
            <w:hideMark/>
          </w:tcPr>
          <w:p w14:paraId="02402CA0" w14:textId="77777777" w:rsidR="00776316" w:rsidRDefault="00776316">
            <w:pPr>
              <w:jc w:val="right"/>
              <w:rPr>
                <w:sz w:val="16"/>
                <w:szCs w:val="16"/>
              </w:rPr>
            </w:pPr>
            <w:r>
              <w:rPr>
                <w:sz w:val="16"/>
                <w:szCs w:val="16"/>
              </w:rPr>
              <w:t>0.4</w:t>
            </w:r>
          </w:p>
        </w:tc>
        <w:tc>
          <w:tcPr>
            <w:tcW w:w="630" w:type="dxa"/>
            <w:tcBorders>
              <w:top w:val="single" w:sz="4" w:space="0" w:color="auto"/>
              <w:left w:val="single" w:sz="4" w:space="0" w:color="auto"/>
              <w:bottom w:val="single" w:sz="4" w:space="0" w:color="auto"/>
              <w:right w:val="single" w:sz="4" w:space="0" w:color="auto"/>
            </w:tcBorders>
            <w:vAlign w:val="bottom"/>
            <w:hideMark/>
          </w:tcPr>
          <w:p w14:paraId="72FC97D7" w14:textId="77777777" w:rsidR="00776316" w:rsidRDefault="00776316">
            <w:pPr>
              <w:jc w:val="right"/>
              <w:rPr>
                <w:sz w:val="16"/>
                <w:szCs w:val="16"/>
              </w:rPr>
            </w:pPr>
            <w:r>
              <w:rPr>
                <w:sz w:val="16"/>
                <w:szCs w:val="16"/>
              </w:rPr>
              <w:t>0.19</w:t>
            </w:r>
          </w:p>
        </w:tc>
        <w:tc>
          <w:tcPr>
            <w:tcW w:w="630" w:type="dxa"/>
            <w:tcBorders>
              <w:top w:val="single" w:sz="4" w:space="0" w:color="auto"/>
              <w:left w:val="single" w:sz="4" w:space="0" w:color="auto"/>
              <w:bottom w:val="single" w:sz="4" w:space="0" w:color="auto"/>
              <w:right w:val="single" w:sz="4" w:space="0" w:color="auto"/>
            </w:tcBorders>
            <w:vAlign w:val="bottom"/>
            <w:hideMark/>
          </w:tcPr>
          <w:p w14:paraId="5F5A0945" w14:textId="77777777" w:rsidR="00776316" w:rsidRDefault="00776316">
            <w:pPr>
              <w:jc w:val="right"/>
              <w:rPr>
                <w:sz w:val="16"/>
                <w:szCs w:val="16"/>
              </w:rPr>
            </w:pPr>
            <w:r>
              <w:rPr>
                <w:sz w:val="16"/>
                <w:szCs w:val="16"/>
              </w:rPr>
              <w:t>0.1</w:t>
            </w:r>
          </w:p>
        </w:tc>
        <w:tc>
          <w:tcPr>
            <w:tcW w:w="540" w:type="dxa"/>
            <w:tcBorders>
              <w:top w:val="single" w:sz="4" w:space="0" w:color="auto"/>
              <w:left w:val="single" w:sz="4" w:space="0" w:color="auto"/>
              <w:bottom w:val="single" w:sz="4" w:space="0" w:color="auto"/>
              <w:right w:val="single" w:sz="4" w:space="0" w:color="auto"/>
            </w:tcBorders>
            <w:vAlign w:val="bottom"/>
            <w:hideMark/>
          </w:tcPr>
          <w:p w14:paraId="1C2277B5" w14:textId="77777777" w:rsidR="00776316" w:rsidRDefault="00776316">
            <w:pPr>
              <w:jc w:val="right"/>
              <w:rPr>
                <w:sz w:val="16"/>
                <w:szCs w:val="16"/>
              </w:rPr>
            </w:pPr>
            <w:r>
              <w:rPr>
                <w:sz w:val="16"/>
                <w:szCs w:val="16"/>
              </w:rPr>
              <w:t>0.25</w:t>
            </w:r>
          </w:p>
        </w:tc>
        <w:tc>
          <w:tcPr>
            <w:tcW w:w="630" w:type="dxa"/>
            <w:tcBorders>
              <w:top w:val="single" w:sz="4" w:space="0" w:color="auto"/>
              <w:left w:val="single" w:sz="4" w:space="0" w:color="auto"/>
              <w:bottom w:val="single" w:sz="4" w:space="0" w:color="auto"/>
              <w:right w:val="single" w:sz="4" w:space="0" w:color="auto"/>
            </w:tcBorders>
            <w:vAlign w:val="bottom"/>
            <w:hideMark/>
          </w:tcPr>
          <w:p w14:paraId="715713D9" w14:textId="77777777" w:rsidR="00776316" w:rsidRDefault="00776316">
            <w:pPr>
              <w:jc w:val="right"/>
              <w:rPr>
                <w:sz w:val="16"/>
                <w:szCs w:val="16"/>
              </w:rPr>
            </w:pPr>
            <w:r>
              <w:rPr>
                <w:sz w:val="16"/>
                <w:szCs w:val="16"/>
              </w:rPr>
              <w:t>0.16</w:t>
            </w:r>
          </w:p>
        </w:tc>
        <w:tc>
          <w:tcPr>
            <w:tcW w:w="540" w:type="dxa"/>
            <w:tcBorders>
              <w:top w:val="single" w:sz="4" w:space="0" w:color="auto"/>
              <w:left w:val="single" w:sz="4" w:space="0" w:color="auto"/>
              <w:bottom w:val="single" w:sz="4" w:space="0" w:color="auto"/>
              <w:right w:val="single" w:sz="4" w:space="0" w:color="auto"/>
            </w:tcBorders>
            <w:vAlign w:val="bottom"/>
            <w:hideMark/>
          </w:tcPr>
          <w:p w14:paraId="34A15568" w14:textId="77777777" w:rsidR="00776316" w:rsidRDefault="00776316">
            <w:pPr>
              <w:jc w:val="right"/>
              <w:rPr>
                <w:sz w:val="16"/>
                <w:szCs w:val="16"/>
              </w:rPr>
            </w:pPr>
            <w:r>
              <w:rPr>
                <w:sz w:val="16"/>
                <w:szCs w:val="16"/>
              </w:rPr>
              <w:t>0.24</w:t>
            </w:r>
          </w:p>
        </w:tc>
        <w:tc>
          <w:tcPr>
            <w:tcW w:w="540" w:type="dxa"/>
            <w:tcBorders>
              <w:top w:val="single" w:sz="4" w:space="0" w:color="auto"/>
              <w:left w:val="single" w:sz="4" w:space="0" w:color="auto"/>
              <w:bottom w:val="single" w:sz="4" w:space="0" w:color="auto"/>
              <w:right w:val="single" w:sz="4" w:space="0" w:color="auto"/>
            </w:tcBorders>
            <w:hideMark/>
          </w:tcPr>
          <w:p w14:paraId="2C564E13" w14:textId="77777777" w:rsidR="00776316" w:rsidRDefault="00776316">
            <w:pPr>
              <w:jc w:val="right"/>
              <w:rPr>
                <w:sz w:val="16"/>
                <w:szCs w:val="16"/>
              </w:rPr>
            </w:pPr>
            <w:r>
              <w:rPr>
                <w:sz w:val="16"/>
                <w:szCs w:val="16"/>
              </w:rPr>
              <w:t>0.2</w:t>
            </w:r>
          </w:p>
        </w:tc>
        <w:tc>
          <w:tcPr>
            <w:tcW w:w="540" w:type="dxa"/>
            <w:tcBorders>
              <w:top w:val="single" w:sz="4" w:space="0" w:color="auto"/>
              <w:left w:val="single" w:sz="4" w:space="0" w:color="auto"/>
              <w:bottom w:val="single" w:sz="4" w:space="0" w:color="auto"/>
              <w:right w:val="single" w:sz="4" w:space="0" w:color="auto"/>
            </w:tcBorders>
            <w:hideMark/>
          </w:tcPr>
          <w:p w14:paraId="05FDF9D6" w14:textId="77777777" w:rsidR="00776316" w:rsidRDefault="00776316">
            <w:pPr>
              <w:jc w:val="right"/>
              <w:rPr>
                <w:sz w:val="16"/>
                <w:szCs w:val="16"/>
              </w:rPr>
            </w:pPr>
            <w:r>
              <w:rPr>
                <w:sz w:val="16"/>
                <w:szCs w:val="16"/>
              </w:rPr>
              <w:t>0.35</w:t>
            </w:r>
          </w:p>
        </w:tc>
        <w:tc>
          <w:tcPr>
            <w:tcW w:w="540" w:type="dxa"/>
            <w:tcBorders>
              <w:top w:val="single" w:sz="4" w:space="0" w:color="auto"/>
              <w:left w:val="single" w:sz="4" w:space="0" w:color="auto"/>
              <w:bottom w:val="single" w:sz="4" w:space="0" w:color="auto"/>
              <w:right w:val="single" w:sz="4" w:space="0" w:color="auto"/>
            </w:tcBorders>
            <w:hideMark/>
          </w:tcPr>
          <w:p w14:paraId="7B662C6E" w14:textId="77777777" w:rsidR="00776316" w:rsidRDefault="00776316">
            <w:pPr>
              <w:snapToGrid w:val="0"/>
              <w:jc w:val="right"/>
              <w:rPr>
                <w:sz w:val="16"/>
                <w:szCs w:val="16"/>
              </w:rPr>
            </w:pPr>
            <w:r>
              <w:rPr>
                <w:sz w:val="16"/>
                <w:szCs w:val="16"/>
              </w:rPr>
              <w:t>2.49</w:t>
            </w:r>
          </w:p>
        </w:tc>
        <w:tc>
          <w:tcPr>
            <w:tcW w:w="704" w:type="dxa"/>
            <w:tcBorders>
              <w:top w:val="single" w:sz="4" w:space="0" w:color="auto"/>
              <w:left w:val="single" w:sz="4" w:space="0" w:color="auto"/>
              <w:bottom w:val="single" w:sz="4" w:space="0" w:color="auto"/>
              <w:right w:val="single" w:sz="4" w:space="0" w:color="auto"/>
            </w:tcBorders>
            <w:hideMark/>
          </w:tcPr>
          <w:p w14:paraId="19C35FD0" w14:textId="77777777" w:rsidR="00776316" w:rsidRDefault="00776316">
            <w:pPr>
              <w:snapToGrid w:val="0"/>
              <w:rPr>
                <w:sz w:val="16"/>
                <w:szCs w:val="16"/>
              </w:rPr>
            </w:pPr>
            <w:r>
              <w:rPr>
                <w:sz w:val="16"/>
                <w:szCs w:val="16"/>
              </w:rPr>
              <w:t>3.13</w:t>
            </w:r>
          </w:p>
        </w:tc>
        <w:tc>
          <w:tcPr>
            <w:tcW w:w="630" w:type="dxa"/>
            <w:tcBorders>
              <w:top w:val="single" w:sz="4" w:space="0" w:color="auto"/>
              <w:left w:val="single" w:sz="4" w:space="0" w:color="auto"/>
              <w:bottom w:val="single" w:sz="4" w:space="0" w:color="auto"/>
              <w:right w:val="single" w:sz="4" w:space="0" w:color="auto"/>
            </w:tcBorders>
            <w:hideMark/>
          </w:tcPr>
          <w:p w14:paraId="773F7F1B" w14:textId="77777777" w:rsidR="00776316" w:rsidRDefault="00776316">
            <w:pPr>
              <w:snapToGrid w:val="0"/>
              <w:rPr>
                <w:sz w:val="16"/>
                <w:szCs w:val="16"/>
              </w:rPr>
            </w:pPr>
            <w:r>
              <w:rPr>
                <w:sz w:val="16"/>
                <w:szCs w:val="16"/>
              </w:rPr>
              <w:t>12.62</w:t>
            </w:r>
          </w:p>
        </w:tc>
        <w:tc>
          <w:tcPr>
            <w:tcW w:w="567" w:type="dxa"/>
            <w:tcBorders>
              <w:top w:val="single" w:sz="4" w:space="0" w:color="auto"/>
              <w:left w:val="single" w:sz="4" w:space="0" w:color="auto"/>
              <w:bottom w:val="single" w:sz="4" w:space="0" w:color="auto"/>
              <w:right w:val="single" w:sz="4" w:space="0" w:color="auto"/>
            </w:tcBorders>
            <w:hideMark/>
          </w:tcPr>
          <w:p w14:paraId="59FC3920" w14:textId="77777777" w:rsidR="00776316" w:rsidRDefault="00776316">
            <w:pPr>
              <w:snapToGrid w:val="0"/>
              <w:rPr>
                <w:sz w:val="16"/>
                <w:szCs w:val="16"/>
              </w:rPr>
            </w:pPr>
            <w:r>
              <w:rPr>
                <w:sz w:val="16"/>
                <w:szCs w:val="16"/>
              </w:rPr>
              <w:t>2.36</w:t>
            </w:r>
          </w:p>
        </w:tc>
        <w:tc>
          <w:tcPr>
            <w:tcW w:w="591" w:type="dxa"/>
            <w:tcBorders>
              <w:top w:val="single" w:sz="4" w:space="0" w:color="auto"/>
              <w:left w:val="single" w:sz="4" w:space="0" w:color="auto"/>
              <w:bottom w:val="single" w:sz="4" w:space="0" w:color="auto"/>
              <w:right w:val="single" w:sz="4" w:space="0" w:color="auto"/>
            </w:tcBorders>
            <w:hideMark/>
          </w:tcPr>
          <w:p w14:paraId="3C286674" w14:textId="77777777" w:rsidR="00776316" w:rsidRDefault="00776316">
            <w:pPr>
              <w:snapToGrid w:val="0"/>
              <w:rPr>
                <w:sz w:val="16"/>
                <w:szCs w:val="16"/>
              </w:rPr>
            </w:pPr>
            <w:r>
              <w:rPr>
                <w:sz w:val="16"/>
                <w:szCs w:val="16"/>
              </w:rPr>
              <w:t>K/µL</w:t>
            </w:r>
          </w:p>
        </w:tc>
      </w:tr>
      <w:tr w:rsidR="00776316" w14:paraId="555BC2A8"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1A189DD1" w14:textId="77777777" w:rsidR="00776316" w:rsidRDefault="00776316">
            <w:pPr>
              <w:rPr>
                <w:sz w:val="16"/>
                <w:szCs w:val="16"/>
              </w:rPr>
            </w:pPr>
            <w:r>
              <w:rPr>
                <w:sz w:val="16"/>
                <w:szCs w:val="16"/>
              </w:rPr>
              <w:t>MONO%</w:t>
            </w:r>
          </w:p>
        </w:tc>
        <w:tc>
          <w:tcPr>
            <w:tcW w:w="673" w:type="dxa"/>
            <w:tcBorders>
              <w:top w:val="single" w:sz="4" w:space="0" w:color="auto"/>
              <w:left w:val="single" w:sz="4" w:space="0" w:color="auto"/>
              <w:bottom w:val="single" w:sz="4" w:space="0" w:color="auto"/>
              <w:right w:val="single" w:sz="4" w:space="0" w:color="auto"/>
            </w:tcBorders>
            <w:hideMark/>
          </w:tcPr>
          <w:p w14:paraId="3D6B1871" w14:textId="77777777" w:rsidR="00776316" w:rsidRDefault="00776316">
            <w:pPr>
              <w:jc w:val="right"/>
              <w:rPr>
                <w:sz w:val="16"/>
                <w:szCs w:val="16"/>
              </w:rPr>
            </w:pPr>
            <w:r>
              <w:rPr>
                <w:sz w:val="16"/>
                <w:szCs w:val="16"/>
              </w:rPr>
              <w:t>13.9</w:t>
            </w:r>
          </w:p>
        </w:tc>
        <w:tc>
          <w:tcPr>
            <w:tcW w:w="709" w:type="dxa"/>
            <w:tcBorders>
              <w:top w:val="single" w:sz="4" w:space="0" w:color="auto"/>
              <w:left w:val="single" w:sz="4" w:space="0" w:color="auto"/>
              <w:bottom w:val="single" w:sz="4" w:space="0" w:color="auto"/>
              <w:right w:val="single" w:sz="4" w:space="0" w:color="auto"/>
            </w:tcBorders>
            <w:hideMark/>
          </w:tcPr>
          <w:p w14:paraId="509585C2" w14:textId="77777777" w:rsidR="00776316" w:rsidRDefault="00776316">
            <w:pPr>
              <w:jc w:val="right"/>
              <w:rPr>
                <w:sz w:val="16"/>
                <w:szCs w:val="16"/>
              </w:rPr>
            </w:pPr>
            <w:r>
              <w:rPr>
                <w:sz w:val="16"/>
                <w:szCs w:val="16"/>
              </w:rPr>
              <w:t>32.8</w:t>
            </w:r>
          </w:p>
        </w:tc>
        <w:tc>
          <w:tcPr>
            <w:tcW w:w="623" w:type="dxa"/>
            <w:tcBorders>
              <w:top w:val="single" w:sz="4" w:space="0" w:color="auto"/>
              <w:left w:val="single" w:sz="4" w:space="0" w:color="auto"/>
              <w:bottom w:val="single" w:sz="4" w:space="0" w:color="auto"/>
              <w:right w:val="single" w:sz="4" w:space="0" w:color="auto"/>
            </w:tcBorders>
            <w:hideMark/>
          </w:tcPr>
          <w:p w14:paraId="13395419" w14:textId="77777777" w:rsidR="00776316" w:rsidRDefault="00776316">
            <w:pPr>
              <w:jc w:val="right"/>
              <w:rPr>
                <w:sz w:val="16"/>
                <w:szCs w:val="16"/>
              </w:rPr>
            </w:pPr>
            <w:r>
              <w:rPr>
                <w:sz w:val="16"/>
                <w:szCs w:val="16"/>
              </w:rPr>
              <w:t>10.6</w:t>
            </w:r>
          </w:p>
        </w:tc>
        <w:tc>
          <w:tcPr>
            <w:tcW w:w="630" w:type="dxa"/>
            <w:tcBorders>
              <w:top w:val="single" w:sz="4" w:space="0" w:color="auto"/>
              <w:left w:val="single" w:sz="4" w:space="0" w:color="auto"/>
              <w:bottom w:val="single" w:sz="4" w:space="0" w:color="auto"/>
              <w:right w:val="single" w:sz="4" w:space="0" w:color="auto"/>
            </w:tcBorders>
            <w:hideMark/>
          </w:tcPr>
          <w:p w14:paraId="195BF6C9" w14:textId="77777777" w:rsidR="00776316" w:rsidRDefault="00776316">
            <w:pPr>
              <w:jc w:val="right"/>
              <w:rPr>
                <w:sz w:val="16"/>
                <w:szCs w:val="16"/>
              </w:rPr>
            </w:pPr>
            <w:r>
              <w:rPr>
                <w:sz w:val="16"/>
                <w:szCs w:val="16"/>
              </w:rPr>
              <w:t>11.4</w:t>
            </w:r>
          </w:p>
        </w:tc>
        <w:tc>
          <w:tcPr>
            <w:tcW w:w="630" w:type="dxa"/>
            <w:tcBorders>
              <w:top w:val="single" w:sz="4" w:space="0" w:color="auto"/>
              <w:left w:val="single" w:sz="4" w:space="0" w:color="auto"/>
              <w:bottom w:val="single" w:sz="4" w:space="0" w:color="auto"/>
              <w:right w:val="single" w:sz="4" w:space="0" w:color="auto"/>
            </w:tcBorders>
            <w:vAlign w:val="bottom"/>
            <w:hideMark/>
          </w:tcPr>
          <w:p w14:paraId="78173D3B" w14:textId="77777777" w:rsidR="00776316" w:rsidRDefault="00776316">
            <w:pPr>
              <w:jc w:val="right"/>
              <w:rPr>
                <w:sz w:val="16"/>
                <w:szCs w:val="16"/>
              </w:rPr>
            </w:pPr>
            <w:r>
              <w:rPr>
                <w:sz w:val="16"/>
                <w:szCs w:val="16"/>
              </w:rPr>
              <w:t>6.6</w:t>
            </w:r>
          </w:p>
        </w:tc>
        <w:tc>
          <w:tcPr>
            <w:tcW w:w="630" w:type="dxa"/>
            <w:tcBorders>
              <w:top w:val="single" w:sz="4" w:space="0" w:color="auto"/>
              <w:left w:val="single" w:sz="4" w:space="0" w:color="auto"/>
              <w:bottom w:val="single" w:sz="4" w:space="0" w:color="auto"/>
              <w:right w:val="single" w:sz="4" w:space="0" w:color="auto"/>
            </w:tcBorders>
            <w:vAlign w:val="bottom"/>
            <w:hideMark/>
          </w:tcPr>
          <w:p w14:paraId="2E94F3D3" w14:textId="77777777" w:rsidR="00776316" w:rsidRDefault="00776316">
            <w:pPr>
              <w:jc w:val="right"/>
              <w:rPr>
                <w:sz w:val="16"/>
                <w:szCs w:val="16"/>
              </w:rPr>
            </w:pPr>
            <w:r>
              <w:rPr>
                <w:sz w:val="16"/>
                <w:szCs w:val="16"/>
              </w:rPr>
              <w:t>7.1</w:t>
            </w:r>
          </w:p>
        </w:tc>
        <w:tc>
          <w:tcPr>
            <w:tcW w:w="540" w:type="dxa"/>
            <w:tcBorders>
              <w:top w:val="single" w:sz="4" w:space="0" w:color="auto"/>
              <w:left w:val="single" w:sz="4" w:space="0" w:color="auto"/>
              <w:bottom w:val="single" w:sz="4" w:space="0" w:color="auto"/>
              <w:right w:val="single" w:sz="4" w:space="0" w:color="auto"/>
            </w:tcBorders>
            <w:vAlign w:val="bottom"/>
            <w:hideMark/>
          </w:tcPr>
          <w:p w14:paraId="235AB501" w14:textId="77777777" w:rsidR="00776316" w:rsidRDefault="00776316">
            <w:pPr>
              <w:jc w:val="right"/>
              <w:rPr>
                <w:sz w:val="16"/>
                <w:szCs w:val="16"/>
              </w:rPr>
            </w:pPr>
            <w:r>
              <w:rPr>
                <w:sz w:val="16"/>
                <w:szCs w:val="16"/>
              </w:rPr>
              <w:t>12.8</w:t>
            </w:r>
          </w:p>
        </w:tc>
        <w:tc>
          <w:tcPr>
            <w:tcW w:w="630" w:type="dxa"/>
            <w:tcBorders>
              <w:top w:val="single" w:sz="4" w:space="0" w:color="auto"/>
              <w:left w:val="single" w:sz="4" w:space="0" w:color="auto"/>
              <w:bottom w:val="single" w:sz="4" w:space="0" w:color="auto"/>
              <w:right w:val="single" w:sz="4" w:space="0" w:color="auto"/>
            </w:tcBorders>
            <w:vAlign w:val="bottom"/>
            <w:hideMark/>
          </w:tcPr>
          <w:p w14:paraId="69DEA88C" w14:textId="77777777" w:rsidR="00776316" w:rsidRDefault="00776316">
            <w:pPr>
              <w:jc w:val="right"/>
              <w:rPr>
                <w:sz w:val="16"/>
                <w:szCs w:val="16"/>
              </w:rPr>
            </w:pPr>
            <w:r>
              <w:rPr>
                <w:sz w:val="16"/>
                <w:szCs w:val="16"/>
              </w:rPr>
              <w:t>8</w:t>
            </w:r>
          </w:p>
        </w:tc>
        <w:tc>
          <w:tcPr>
            <w:tcW w:w="540" w:type="dxa"/>
            <w:tcBorders>
              <w:top w:val="single" w:sz="4" w:space="0" w:color="auto"/>
              <w:left w:val="single" w:sz="4" w:space="0" w:color="auto"/>
              <w:bottom w:val="single" w:sz="4" w:space="0" w:color="auto"/>
              <w:right w:val="single" w:sz="4" w:space="0" w:color="auto"/>
            </w:tcBorders>
            <w:vAlign w:val="bottom"/>
            <w:hideMark/>
          </w:tcPr>
          <w:p w14:paraId="1DF5041D" w14:textId="77777777" w:rsidR="00776316" w:rsidRDefault="00776316">
            <w:pPr>
              <w:jc w:val="right"/>
              <w:rPr>
                <w:sz w:val="16"/>
                <w:szCs w:val="16"/>
              </w:rPr>
            </w:pPr>
            <w:r>
              <w:rPr>
                <w:sz w:val="16"/>
                <w:szCs w:val="16"/>
              </w:rPr>
              <w:t>10.7</w:t>
            </w:r>
          </w:p>
        </w:tc>
        <w:tc>
          <w:tcPr>
            <w:tcW w:w="540" w:type="dxa"/>
            <w:tcBorders>
              <w:top w:val="single" w:sz="4" w:space="0" w:color="auto"/>
              <w:left w:val="single" w:sz="4" w:space="0" w:color="auto"/>
              <w:bottom w:val="single" w:sz="4" w:space="0" w:color="auto"/>
              <w:right w:val="single" w:sz="4" w:space="0" w:color="auto"/>
            </w:tcBorders>
            <w:hideMark/>
          </w:tcPr>
          <w:p w14:paraId="5BAB8CAC" w14:textId="77777777" w:rsidR="00776316" w:rsidRDefault="00776316">
            <w:pPr>
              <w:jc w:val="right"/>
              <w:rPr>
                <w:sz w:val="16"/>
                <w:szCs w:val="16"/>
              </w:rPr>
            </w:pPr>
            <w:r>
              <w:rPr>
                <w:sz w:val="16"/>
                <w:szCs w:val="16"/>
              </w:rPr>
              <w:t>9.2</w:t>
            </w:r>
          </w:p>
        </w:tc>
        <w:tc>
          <w:tcPr>
            <w:tcW w:w="540" w:type="dxa"/>
            <w:tcBorders>
              <w:top w:val="single" w:sz="4" w:space="0" w:color="auto"/>
              <w:left w:val="single" w:sz="4" w:space="0" w:color="auto"/>
              <w:bottom w:val="single" w:sz="4" w:space="0" w:color="auto"/>
              <w:right w:val="single" w:sz="4" w:space="0" w:color="auto"/>
            </w:tcBorders>
            <w:hideMark/>
          </w:tcPr>
          <w:p w14:paraId="5F408EE7" w14:textId="77777777" w:rsidR="00776316" w:rsidRDefault="00776316">
            <w:pPr>
              <w:jc w:val="right"/>
              <w:rPr>
                <w:sz w:val="16"/>
                <w:szCs w:val="16"/>
              </w:rPr>
            </w:pPr>
            <w:r>
              <w:rPr>
                <w:sz w:val="16"/>
                <w:szCs w:val="16"/>
              </w:rPr>
              <w:t>16.5</w:t>
            </w:r>
          </w:p>
        </w:tc>
        <w:tc>
          <w:tcPr>
            <w:tcW w:w="540" w:type="dxa"/>
            <w:tcBorders>
              <w:top w:val="single" w:sz="4" w:space="0" w:color="auto"/>
              <w:left w:val="single" w:sz="4" w:space="0" w:color="auto"/>
              <w:bottom w:val="single" w:sz="4" w:space="0" w:color="auto"/>
              <w:right w:val="single" w:sz="4" w:space="0" w:color="auto"/>
            </w:tcBorders>
            <w:hideMark/>
          </w:tcPr>
          <w:p w14:paraId="4AB72DC0" w14:textId="77777777" w:rsidR="00776316" w:rsidRDefault="00776316">
            <w:pPr>
              <w:snapToGrid w:val="0"/>
              <w:jc w:val="right"/>
              <w:rPr>
                <w:sz w:val="16"/>
                <w:szCs w:val="16"/>
              </w:rPr>
            </w:pPr>
            <w:r>
              <w:rPr>
                <w:sz w:val="16"/>
                <w:szCs w:val="16"/>
              </w:rPr>
              <w:t>53.2</w:t>
            </w:r>
          </w:p>
        </w:tc>
        <w:tc>
          <w:tcPr>
            <w:tcW w:w="704" w:type="dxa"/>
            <w:tcBorders>
              <w:top w:val="single" w:sz="4" w:space="0" w:color="auto"/>
              <w:left w:val="single" w:sz="4" w:space="0" w:color="auto"/>
              <w:bottom w:val="single" w:sz="4" w:space="0" w:color="auto"/>
              <w:right w:val="single" w:sz="4" w:space="0" w:color="auto"/>
            </w:tcBorders>
            <w:hideMark/>
          </w:tcPr>
          <w:p w14:paraId="706305EC" w14:textId="77777777" w:rsidR="00776316" w:rsidRDefault="00776316">
            <w:pPr>
              <w:snapToGrid w:val="0"/>
              <w:rPr>
                <w:sz w:val="16"/>
                <w:szCs w:val="16"/>
              </w:rPr>
            </w:pPr>
            <w:r>
              <w:rPr>
                <w:sz w:val="16"/>
                <w:szCs w:val="16"/>
              </w:rPr>
              <w:t>49.8</w:t>
            </w:r>
          </w:p>
        </w:tc>
        <w:tc>
          <w:tcPr>
            <w:tcW w:w="630" w:type="dxa"/>
            <w:tcBorders>
              <w:top w:val="single" w:sz="4" w:space="0" w:color="auto"/>
              <w:left w:val="single" w:sz="4" w:space="0" w:color="auto"/>
              <w:bottom w:val="single" w:sz="4" w:space="0" w:color="auto"/>
              <w:right w:val="single" w:sz="4" w:space="0" w:color="auto"/>
            </w:tcBorders>
            <w:hideMark/>
          </w:tcPr>
          <w:p w14:paraId="21E73382" w14:textId="77777777" w:rsidR="00776316" w:rsidRDefault="00776316">
            <w:pPr>
              <w:snapToGrid w:val="0"/>
              <w:rPr>
                <w:sz w:val="16"/>
                <w:szCs w:val="16"/>
              </w:rPr>
            </w:pPr>
            <w:r>
              <w:rPr>
                <w:sz w:val="16"/>
                <w:szCs w:val="16"/>
              </w:rPr>
              <w:t xml:space="preserve"> 57</w:t>
            </w:r>
          </w:p>
        </w:tc>
        <w:tc>
          <w:tcPr>
            <w:tcW w:w="567" w:type="dxa"/>
            <w:tcBorders>
              <w:top w:val="single" w:sz="4" w:space="0" w:color="auto"/>
              <w:left w:val="single" w:sz="4" w:space="0" w:color="auto"/>
              <w:bottom w:val="single" w:sz="4" w:space="0" w:color="auto"/>
              <w:right w:val="single" w:sz="4" w:space="0" w:color="auto"/>
            </w:tcBorders>
            <w:hideMark/>
          </w:tcPr>
          <w:p w14:paraId="3DAFD6F9" w14:textId="77777777" w:rsidR="00776316" w:rsidRDefault="00776316">
            <w:pPr>
              <w:snapToGrid w:val="0"/>
              <w:rPr>
                <w:sz w:val="16"/>
                <w:szCs w:val="16"/>
              </w:rPr>
            </w:pPr>
            <w:r>
              <w:rPr>
                <w:sz w:val="16"/>
                <w:szCs w:val="16"/>
              </w:rPr>
              <w:t>57.7</w:t>
            </w:r>
          </w:p>
        </w:tc>
        <w:tc>
          <w:tcPr>
            <w:tcW w:w="591" w:type="dxa"/>
            <w:tcBorders>
              <w:top w:val="single" w:sz="4" w:space="0" w:color="auto"/>
              <w:left w:val="single" w:sz="4" w:space="0" w:color="auto"/>
              <w:bottom w:val="single" w:sz="4" w:space="0" w:color="auto"/>
              <w:right w:val="single" w:sz="4" w:space="0" w:color="auto"/>
            </w:tcBorders>
            <w:hideMark/>
          </w:tcPr>
          <w:p w14:paraId="1DD6D2A5" w14:textId="77777777" w:rsidR="00776316" w:rsidRDefault="00776316">
            <w:pPr>
              <w:snapToGrid w:val="0"/>
              <w:rPr>
                <w:sz w:val="16"/>
                <w:szCs w:val="16"/>
              </w:rPr>
            </w:pPr>
            <w:r>
              <w:rPr>
                <w:sz w:val="16"/>
                <w:szCs w:val="16"/>
              </w:rPr>
              <w:t xml:space="preserve">   %</w:t>
            </w:r>
          </w:p>
        </w:tc>
      </w:tr>
      <w:tr w:rsidR="00776316" w14:paraId="5E1C1143" w14:textId="77777777" w:rsidTr="00776316">
        <w:trPr>
          <w:trHeight w:val="233"/>
          <w:jc w:val="center"/>
        </w:trPr>
        <w:tc>
          <w:tcPr>
            <w:tcW w:w="1153" w:type="dxa"/>
            <w:tcBorders>
              <w:top w:val="single" w:sz="4" w:space="0" w:color="auto"/>
              <w:left w:val="single" w:sz="4" w:space="0" w:color="auto"/>
              <w:bottom w:val="single" w:sz="4" w:space="0" w:color="auto"/>
              <w:right w:val="single" w:sz="4" w:space="0" w:color="auto"/>
            </w:tcBorders>
            <w:hideMark/>
          </w:tcPr>
          <w:p w14:paraId="3C478225" w14:textId="77777777" w:rsidR="00776316" w:rsidRDefault="00776316">
            <w:pPr>
              <w:rPr>
                <w:sz w:val="16"/>
                <w:szCs w:val="16"/>
              </w:rPr>
            </w:pPr>
            <w:r>
              <w:rPr>
                <w:sz w:val="16"/>
                <w:szCs w:val="16"/>
              </w:rPr>
              <w:t xml:space="preserve">EO </w:t>
            </w:r>
          </w:p>
        </w:tc>
        <w:tc>
          <w:tcPr>
            <w:tcW w:w="673" w:type="dxa"/>
            <w:tcBorders>
              <w:top w:val="single" w:sz="4" w:space="0" w:color="auto"/>
              <w:left w:val="single" w:sz="4" w:space="0" w:color="auto"/>
              <w:bottom w:val="single" w:sz="4" w:space="0" w:color="auto"/>
              <w:right w:val="single" w:sz="4" w:space="0" w:color="auto"/>
            </w:tcBorders>
            <w:hideMark/>
          </w:tcPr>
          <w:p w14:paraId="1E589A7D" w14:textId="77777777" w:rsidR="00776316" w:rsidRDefault="00776316">
            <w:pPr>
              <w:jc w:val="right"/>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482B671B" w14:textId="77777777" w:rsidR="00776316" w:rsidRDefault="00776316">
            <w:pPr>
              <w:jc w:val="right"/>
              <w:rPr>
                <w:sz w:val="16"/>
                <w:szCs w:val="16"/>
              </w:rPr>
            </w:pPr>
            <w:r>
              <w:rPr>
                <w:sz w:val="16"/>
                <w:szCs w:val="16"/>
              </w:rPr>
              <w:t>0</w:t>
            </w:r>
          </w:p>
        </w:tc>
        <w:tc>
          <w:tcPr>
            <w:tcW w:w="623" w:type="dxa"/>
            <w:tcBorders>
              <w:top w:val="single" w:sz="4" w:space="0" w:color="auto"/>
              <w:left w:val="single" w:sz="4" w:space="0" w:color="auto"/>
              <w:bottom w:val="single" w:sz="4" w:space="0" w:color="auto"/>
              <w:right w:val="single" w:sz="4" w:space="0" w:color="auto"/>
            </w:tcBorders>
            <w:hideMark/>
          </w:tcPr>
          <w:p w14:paraId="441F4B67"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hideMark/>
          </w:tcPr>
          <w:p w14:paraId="7F9C8B07"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338E78DD"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7BBF90B8" w14:textId="77777777" w:rsidR="00776316" w:rsidRDefault="00776316">
            <w:pPr>
              <w:jc w:val="right"/>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7F1FEC42" w14:textId="77777777" w:rsidR="00776316" w:rsidRDefault="00776316">
            <w:pPr>
              <w:jc w:val="right"/>
              <w:rPr>
                <w:sz w:val="16"/>
                <w:szCs w:val="16"/>
              </w:rPr>
            </w:pPr>
            <w:r>
              <w:rPr>
                <w:sz w:val="16"/>
                <w:szCs w:val="16"/>
              </w:rPr>
              <w:t>0.01</w:t>
            </w:r>
          </w:p>
        </w:tc>
        <w:tc>
          <w:tcPr>
            <w:tcW w:w="630" w:type="dxa"/>
            <w:tcBorders>
              <w:top w:val="single" w:sz="4" w:space="0" w:color="auto"/>
              <w:left w:val="single" w:sz="4" w:space="0" w:color="auto"/>
              <w:bottom w:val="single" w:sz="4" w:space="0" w:color="auto"/>
              <w:right w:val="single" w:sz="4" w:space="0" w:color="auto"/>
            </w:tcBorders>
            <w:vAlign w:val="bottom"/>
            <w:hideMark/>
          </w:tcPr>
          <w:p w14:paraId="06B7A547" w14:textId="77777777" w:rsidR="00776316" w:rsidRDefault="00776316">
            <w:pPr>
              <w:jc w:val="right"/>
              <w:rPr>
                <w:sz w:val="16"/>
                <w:szCs w:val="16"/>
              </w:rPr>
            </w:pPr>
            <w:r>
              <w:rPr>
                <w:sz w:val="16"/>
                <w:szCs w:val="16"/>
              </w:rPr>
              <w:t>0.01</w:t>
            </w:r>
          </w:p>
        </w:tc>
        <w:tc>
          <w:tcPr>
            <w:tcW w:w="540" w:type="dxa"/>
            <w:tcBorders>
              <w:top w:val="single" w:sz="4" w:space="0" w:color="auto"/>
              <w:left w:val="single" w:sz="4" w:space="0" w:color="auto"/>
              <w:bottom w:val="single" w:sz="4" w:space="0" w:color="auto"/>
              <w:right w:val="single" w:sz="4" w:space="0" w:color="auto"/>
            </w:tcBorders>
            <w:vAlign w:val="bottom"/>
            <w:hideMark/>
          </w:tcPr>
          <w:p w14:paraId="4E4C4DAA" w14:textId="77777777" w:rsidR="00776316" w:rsidRDefault="00776316">
            <w:pPr>
              <w:jc w:val="right"/>
              <w:rPr>
                <w:sz w:val="16"/>
                <w:szCs w:val="16"/>
              </w:rPr>
            </w:pPr>
            <w:r>
              <w:rPr>
                <w:sz w:val="16"/>
                <w:szCs w:val="16"/>
              </w:rPr>
              <w:t>0.01</w:t>
            </w:r>
          </w:p>
        </w:tc>
        <w:tc>
          <w:tcPr>
            <w:tcW w:w="540" w:type="dxa"/>
            <w:tcBorders>
              <w:top w:val="single" w:sz="4" w:space="0" w:color="auto"/>
              <w:left w:val="single" w:sz="4" w:space="0" w:color="auto"/>
              <w:bottom w:val="single" w:sz="4" w:space="0" w:color="auto"/>
              <w:right w:val="single" w:sz="4" w:space="0" w:color="auto"/>
            </w:tcBorders>
            <w:hideMark/>
          </w:tcPr>
          <w:p w14:paraId="604C476D" w14:textId="77777777" w:rsidR="00776316" w:rsidRDefault="00776316">
            <w:pPr>
              <w:jc w:val="right"/>
              <w:rPr>
                <w:sz w:val="16"/>
                <w:szCs w:val="16"/>
              </w:rPr>
            </w:pPr>
            <w:r>
              <w:rPr>
                <w:sz w:val="16"/>
                <w:szCs w:val="16"/>
              </w:rPr>
              <w:t>0.01</w:t>
            </w:r>
          </w:p>
        </w:tc>
        <w:tc>
          <w:tcPr>
            <w:tcW w:w="540" w:type="dxa"/>
            <w:tcBorders>
              <w:top w:val="single" w:sz="4" w:space="0" w:color="auto"/>
              <w:left w:val="single" w:sz="4" w:space="0" w:color="auto"/>
              <w:bottom w:val="single" w:sz="4" w:space="0" w:color="auto"/>
              <w:right w:val="single" w:sz="4" w:space="0" w:color="auto"/>
            </w:tcBorders>
            <w:hideMark/>
          </w:tcPr>
          <w:p w14:paraId="695D042D" w14:textId="77777777" w:rsidR="00776316" w:rsidRDefault="00776316">
            <w:pPr>
              <w:jc w:val="right"/>
              <w:rPr>
                <w:sz w:val="16"/>
                <w:szCs w:val="16"/>
              </w:rPr>
            </w:pPr>
            <w:r>
              <w:rPr>
                <w:sz w:val="16"/>
                <w:szCs w:val="16"/>
              </w:rPr>
              <w:t>0.01</w:t>
            </w:r>
          </w:p>
        </w:tc>
        <w:tc>
          <w:tcPr>
            <w:tcW w:w="540" w:type="dxa"/>
            <w:tcBorders>
              <w:top w:val="single" w:sz="4" w:space="0" w:color="auto"/>
              <w:left w:val="single" w:sz="4" w:space="0" w:color="auto"/>
              <w:bottom w:val="single" w:sz="4" w:space="0" w:color="auto"/>
              <w:right w:val="single" w:sz="4" w:space="0" w:color="auto"/>
            </w:tcBorders>
            <w:hideMark/>
          </w:tcPr>
          <w:p w14:paraId="30761B8C" w14:textId="77777777" w:rsidR="00776316" w:rsidRDefault="00776316">
            <w:pPr>
              <w:snapToGrid w:val="0"/>
              <w:jc w:val="right"/>
              <w:rPr>
                <w:sz w:val="16"/>
                <w:szCs w:val="16"/>
              </w:rPr>
            </w:pPr>
            <w:r>
              <w:rPr>
                <w:sz w:val="16"/>
                <w:szCs w:val="16"/>
              </w:rPr>
              <w:t>0</w:t>
            </w:r>
          </w:p>
        </w:tc>
        <w:tc>
          <w:tcPr>
            <w:tcW w:w="704" w:type="dxa"/>
            <w:tcBorders>
              <w:top w:val="single" w:sz="4" w:space="0" w:color="auto"/>
              <w:left w:val="single" w:sz="4" w:space="0" w:color="auto"/>
              <w:bottom w:val="single" w:sz="4" w:space="0" w:color="auto"/>
              <w:right w:val="single" w:sz="4" w:space="0" w:color="auto"/>
            </w:tcBorders>
            <w:hideMark/>
          </w:tcPr>
          <w:p w14:paraId="3E0BA499" w14:textId="77777777" w:rsidR="00776316" w:rsidRDefault="00776316">
            <w:pPr>
              <w:snapToGrid w:val="0"/>
              <w:rPr>
                <w:sz w:val="16"/>
                <w:szCs w:val="16"/>
              </w:rPr>
            </w:pPr>
            <w:r>
              <w:rPr>
                <w:sz w:val="16"/>
                <w:szCs w:val="16"/>
              </w:rPr>
              <w:t>0.01</w:t>
            </w:r>
          </w:p>
        </w:tc>
        <w:tc>
          <w:tcPr>
            <w:tcW w:w="630" w:type="dxa"/>
            <w:tcBorders>
              <w:top w:val="single" w:sz="4" w:space="0" w:color="auto"/>
              <w:left w:val="single" w:sz="4" w:space="0" w:color="auto"/>
              <w:bottom w:val="single" w:sz="4" w:space="0" w:color="auto"/>
              <w:right w:val="single" w:sz="4" w:space="0" w:color="auto"/>
            </w:tcBorders>
            <w:hideMark/>
          </w:tcPr>
          <w:p w14:paraId="5FB65A25" w14:textId="77777777" w:rsidR="00776316" w:rsidRDefault="00776316">
            <w:pPr>
              <w:snapToGrid w:val="0"/>
              <w:rPr>
                <w:sz w:val="16"/>
                <w:szCs w:val="16"/>
              </w:rPr>
            </w:pPr>
            <w:r>
              <w:rPr>
                <w:sz w:val="16"/>
                <w:szCs w:val="16"/>
              </w:rPr>
              <w:t xml:space="preserve">   0</w:t>
            </w:r>
          </w:p>
        </w:tc>
        <w:tc>
          <w:tcPr>
            <w:tcW w:w="567" w:type="dxa"/>
            <w:tcBorders>
              <w:top w:val="single" w:sz="4" w:space="0" w:color="auto"/>
              <w:left w:val="single" w:sz="4" w:space="0" w:color="auto"/>
              <w:bottom w:val="single" w:sz="4" w:space="0" w:color="auto"/>
              <w:right w:val="single" w:sz="4" w:space="0" w:color="auto"/>
            </w:tcBorders>
            <w:hideMark/>
          </w:tcPr>
          <w:p w14:paraId="71AD321A" w14:textId="77777777" w:rsidR="00776316" w:rsidRDefault="00776316">
            <w:pPr>
              <w:snapToGrid w:val="0"/>
              <w:rPr>
                <w:sz w:val="16"/>
                <w:szCs w:val="16"/>
              </w:rPr>
            </w:pPr>
            <w:r>
              <w:rPr>
                <w:sz w:val="16"/>
                <w:szCs w:val="16"/>
              </w:rPr>
              <w:t xml:space="preserve">  0</w:t>
            </w:r>
          </w:p>
        </w:tc>
        <w:tc>
          <w:tcPr>
            <w:tcW w:w="591" w:type="dxa"/>
            <w:tcBorders>
              <w:top w:val="single" w:sz="4" w:space="0" w:color="auto"/>
              <w:left w:val="single" w:sz="4" w:space="0" w:color="auto"/>
              <w:bottom w:val="single" w:sz="4" w:space="0" w:color="auto"/>
              <w:right w:val="single" w:sz="4" w:space="0" w:color="auto"/>
            </w:tcBorders>
            <w:hideMark/>
          </w:tcPr>
          <w:p w14:paraId="1C680888" w14:textId="77777777" w:rsidR="00776316" w:rsidRDefault="00776316">
            <w:pPr>
              <w:snapToGrid w:val="0"/>
              <w:rPr>
                <w:sz w:val="16"/>
                <w:szCs w:val="16"/>
              </w:rPr>
            </w:pPr>
            <w:r>
              <w:rPr>
                <w:sz w:val="16"/>
                <w:szCs w:val="16"/>
              </w:rPr>
              <w:t>K/µL</w:t>
            </w:r>
          </w:p>
        </w:tc>
      </w:tr>
      <w:tr w:rsidR="00776316" w14:paraId="0A377225"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75CF1898" w14:textId="77777777" w:rsidR="00776316" w:rsidRDefault="00776316">
            <w:pPr>
              <w:rPr>
                <w:sz w:val="16"/>
                <w:szCs w:val="16"/>
              </w:rPr>
            </w:pPr>
            <w:r>
              <w:rPr>
                <w:sz w:val="16"/>
                <w:szCs w:val="16"/>
              </w:rPr>
              <w:t>EO%</w:t>
            </w:r>
          </w:p>
        </w:tc>
        <w:tc>
          <w:tcPr>
            <w:tcW w:w="673" w:type="dxa"/>
            <w:tcBorders>
              <w:top w:val="single" w:sz="4" w:space="0" w:color="auto"/>
              <w:left w:val="single" w:sz="4" w:space="0" w:color="auto"/>
              <w:bottom w:val="single" w:sz="4" w:space="0" w:color="auto"/>
              <w:right w:val="single" w:sz="4" w:space="0" w:color="auto"/>
            </w:tcBorders>
            <w:hideMark/>
          </w:tcPr>
          <w:p w14:paraId="24EF7695" w14:textId="77777777" w:rsidR="00776316" w:rsidRDefault="00776316">
            <w:pPr>
              <w:jc w:val="right"/>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hideMark/>
          </w:tcPr>
          <w:p w14:paraId="11A4F33F" w14:textId="77777777" w:rsidR="00776316" w:rsidRDefault="00776316">
            <w:pPr>
              <w:jc w:val="right"/>
              <w:rPr>
                <w:sz w:val="16"/>
                <w:szCs w:val="16"/>
              </w:rPr>
            </w:pPr>
            <w:r>
              <w:rPr>
                <w:sz w:val="16"/>
                <w:szCs w:val="16"/>
              </w:rPr>
              <w:t>0</w:t>
            </w:r>
          </w:p>
        </w:tc>
        <w:tc>
          <w:tcPr>
            <w:tcW w:w="623" w:type="dxa"/>
            <w:tcBorders>
              <w:top w:val="single" w:sz="4" w:space="0" w:color="auto"/>
              <w:left w:val="single" w:sz="4" w:space="0" w:color="auto"/>
              <w:bottom w:val="single" w:sz="4" w:space="0" w:color="auto"/>
              <w:right w:val="single" w:sz="4" w:space="0" w:color="auto"/>
            </w:tcBorders>
            <w:hideMark/>
          </w:tcPr>
          <w:p w14:paraId="00146573"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hideMark/>
          </w:tcPr>
          <w:p w14:paraId="29848AAD"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5CC8D488"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1F8E4A0A" w14:textId="77777777" w:rsidR="00776316" w:rsidRDefault="00776316">
            <w:pPr>
              <w:jc w:val="right"/>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30BB12F0" w14:textId="77777777" w:rsidR="00776316" w:rsidRDefault="00776316">
            <w:pPr>
              <w:jc w:val="right"/>
              <w:rPr>
                <w:sz w:val="16"/>
                <w:szCs w:val="16"/>
              </w:rPr>
            </w:pPr>
            <w:r>
              <w:rPr>
                <w:sz w:val="16"/>
                <w:szCs w:val="16"/>
              </w:rPr>
              <w:t>0.5</w:t>
            </w:r>
          </w:p>
        </w:tc>
        <w:tc>
          <w:tcPr>
            <w:tcW w:w="630" w:type="dxa"/>
            <w:tcBorders>
              <w:top w:val="single" w:sz="4" w:space="0" w:color="auto"/>
              <w:left w:val="single" w:sz="4" w:space="0" w:color="auto"/>
              <w:bottom w:val="single" w:sz="4" w:space="0" w:color="auto"/>
              <w:right w:val="single" w:sz="4" w:space="0" w:color="auto"/>
            </w:tcBorders>
            <w:vAlign w:val="bottom"/>
            <w:hideMark/>
          </w:tcPr>
          <w:p w14:paraId="13D24899" w14:textId="77777777" w:rsidR="00776316" w:rsidRDefault="00776316">
            <w:pPr>
              <w:jc w:val="right"/>
              <w:rPr>
                <w:sz w:val="16"/>
                <w:szCs w:val="16"/>
              </w:rPr>
            </w:pPr>
            <w:r>
              <w:rPr>
                <w:sz w:val="16"/>
                <w:szCs w:val="16"/>
              </w:rPr>
              <w:t>0.16</w:t>
            </w:r>
          </w:p>
        </w:tc>
        <w:tc>
          <w:tcPr>
            <w:tcW w:w="540" w:type="dxa"/>
            <w:tcBorders>
              <w:top w:val="single" w:sz="4" w:space="0" w:color="auto"/>
              <w:left w:val="single" w:sz="4" w:space="0" w:color="auto"/>
              <w:bottom w:val="single" w:sz="4" w:space="0" w:color="auto"/>
              <w:right w:val="single" w:sz="4" w:space="0" w:color="auto"/>
            </w:tcBorders>
            <w:vAlign w:val="bottom"/>
            <w:hideMark/>
          </w:tcPr>
          <w:p w14:paraId="0537CD08" w14:textId="77777777" w:rsidR="00776316" w:rsidRDefault="00776316">
            <w:pPr>
              <w:jc w:val="right"/>
              <w:rPr>
                <w:sz w:val="16"/>
                <w:szCs w:val="16"/>
              </w:rPr>
            </w:pPr>
            <w:r>
              <w:rPr>
                <w:sz w:val="16"/>
                <w:szCs w:val="16"/>
              </w:rPr>
              <w:t>0.4</w:t>
            </w:r>
          </w:p>
        </w:tc>
        <w:tc>
          <w:tcPr>
            <w:tcW w:w="540" w:type="dxa"/>
            <w:tcBorders>
              <w:top w:val="single" w:sz="4" w:space="0" w:color="auto"/>
              <w:left w:val="single" w:sz="4" w:space="0" w:color="auto"/>
              <w:bottom w:val="single" w:sz="4" w:space="0" w:color="auto"/>
              <w:right w:val="single" w:sz="4" w:space="0" w:color="auto"/>
            </w:tcBorders>
            <w:hideMark/>
          </w:tcPr>
          <w:p w14:paraId="48C16F44" w14:textId="77777777" w:rsidR="00776316" w:rsidRDefault="00776316">
            <w:pPr>
              <w:jc w:val="right"/>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14:paraId="3FD668DB" w14:textId="77777777" w:rsidR="00776316" w:rsidRDefault="00776316">
            <w:pPr>
              <w:jc w:val="right"/>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14:paraId="1F817BA4" w14:textId="77777777" w:rsidR="00776316" w:rsidRDefault="00776316">
            <w:pPr>
              <w:snapToGrid w:val="0"/>
              <w:jc w:val="right"/>
              <w:rPr>
                <w:sz w:val="16"/>
                <w:szCs w:val="16"/>
              </w:rPr>
            </w:pPr>
            <w:r>
              <w:rPr>
                <w:sz w:val="16"/>
                <w:szCs w:val="16"/>
              </w:rPr>
              <w:t>0</w:t>
            </w:r>
          </w:p>
        </w:tc>
        <w:tc>
          <w:tcPr>
            <w:tcW w:w="704" w:type="dxa"/>
            <w:tcBorders>
              <w:top w:val="single" w:sz="4" w:space="0" w:color="auto"/>
              <w:left w:val="single" w:sz="4" w:space="0" w:color="auto"/>
              <w:bottom w:val="single" w:sz="4" w:space="0" w:color="auto"/>
              <w:right w:val="single" w:sz="4" w:space="0" w:color="auto"/>
            </w:tcBorders>
            <w:hideMark/>
          </w:tcPr>
          <w:p w14:paraId="45711380" w14:textId="77777777" w:rsidR="00776316" w:rsidRDefault="00776316">
            <w:pPr>
              <w:snapToGrid w:val="0"/>
              <w:rPr>
                <w:sz w:val="16"/>
                <w:szCs w:val="16"/>
              </w:rPr>
            </w:pPr>
            <w:r>
              <w:rPr>
                <w:sz w:val="16"/>
                <w:szCs w:val="16"/>
              </w:rPr>
              <w:t>0.2</w:t>
            </w:r>
          </w:p>
        </w:tc>
        <w:tc>
          <w:tcPr>
            <w:tcW w:w="630" w:type="dxa"/>
            <w:tcBorders>
              <w:top w:val="single" w:sz="4" w:space="0" w:color="auto"/>
              <w:left w:val="single" w:sz="4" w:space="0" w:color="auto"/>
              <w:bottom w:val="single" w:sz="4" w:space="0" w:color="auto"/>
              <w:right w:val="single" w:sz="4" w:space="0" w:color="auto"/>
            </w:tcBorders>
            <w:hideMark/>
          </w:tcPr>
          <w:p w14:paraId="1E05F5EF" w14:textId="77777777" w:rsidR="00776316" w:rsidRDefault="00776316">
            <w:pPr>
              <w:snapToGrid w:val="0"/>
              <w:rPr>
                <w:sz w:val="16"/>
                <w:szCs w:val="16"/>
              </w:rPr>
            </w:pPr>
            <w:r>
              <w:rPr>
                <w:sz w:val="16"/>
                <w:szCs w:val="16"/>
              </w:rPr>
              <w:t xml:space="preserve">   0</w:t>
            </w:r>
          </w:p>
        </w:tc>
        <w:tc>
          <w:tcPr>
            <w:tcW w:w="567" w:type="dxa"/>
            <w:tcBorders>
              <w:top w:val="single" w:sz="4" w:space="0" w:color="auto"/>
              <w:left w:val="single" w:sz="4" w:space="0" w:color="auto"/>
              <w:bottom w:val="single" w:sz="4" w:space="0" w:color="auto"/>
              <w:right w:val="single" w:sz="4" w:space="0" w:color="auto"/>
            </w:tcBorders>
            <w:hideMark/>
          </w:tcPr>
          <w:p w14:paraId="65B8A2E5" w14:textId="77777777" w:rsidR="00776316" w:rsidRDefault="00776316">
            <w:pPr>
              <w:snapToGrid w:val="0"/>
              <w:rPr>
                <w:sz w:val="16"/>
                <w:szCs w:val="16"/>
              </w:rPr>
            </w:pPr>
            <w:r>
              <w:rPr>
                <w:sz w:val="16"/>
                <w:szCs w:val="16"/>
              </w:rPr>
              <w:t xml:space="preserve">  0</w:t>
            </w:r>
          </w:p>
        </w:tc>
        <w:tc>
          <w:tcPr>
            <w:tcW w:w="591" w:type="dxa"/>
            <w:tcBorders>
              <w:top w:val="single" w:sz="4" w:space="0" w:color="auto"/>
              <w:left w:val="single" w:sz="4" w:space="0" w:color="auto"/>
              <w:bottom w:val="single" w:sz="4" w:space="0" w:color="auto"/>
              <w:right w:val="single" w:sz="4" w:space="0" w:color="auto"/>
            </w:tcBorders>
            <w:hideMark/>
          </w:tcPr>
          <w:p w14:paraId="774E198F" w14:textId="77777777" w:rsidR="00776316" w:rsidRDefault="00776316">
            <w:pPr>
              <w:snapToGrid w:val="0"/>
              <w:rPr>
                <w:sz w:val="16"/>
                <w:szCs w:val="16"/>
              </w:rPr>
            </w:pPr>
            <w:r>
              <w:rPr>
                <w:sz w:val="16"/>
                <w:szCs w:val="16"/>
              </w:rPr>
              <w:t xml:space="preserve">   %</w:t>
            </w:r>
          </w:p>
        </w:tc>
      </w:tr>
      <w:tr w:rsidR="00776316" w14:paraId="0BAB586E"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0C22BE33" w14:textId="77777777" w:rsidR="00776316" w:rsidRDefault="00776316">
            <w:pPr>
              <w:rPr>
                <w:sz w:val="16"/>
                <w:szCs w:val="16"/>
              </w:rPr>
            </w:pPr>
            <w:r>
              <w:rPr>
                <w:sz w:val="16"/>
                <w:szCs w:val="16"/>
              </w:rPr>
              <w:t>BASO</w:t>
            </w:r>
          </w:p>
        </w:tc>
        <w:tc>
          <w:tcPr>
            <w:tcW w:w="673" w:type="dxa"/>
            <w:tcBorders>
              <w:top w:val="single" w:sz="4" w:space="0" w:color="auto"/>
              <w:left w:val="single" w:sz="4" w:space="0" w:color="auto"/>
              <w:bottom w:val="single" w:sz="4" w:space="0" w:color="auto"/>
              <w:right w:val="single" w:sz="4" w:space="0" w:color="auto"/>
            </w:tcBorders>
            <w:hideMark/>
          </w:tcPr>
          <w:p w14:paraId="2BE76C51" w14:textId="77777777" w:rsidR="00776316" w:rsidRDefault="00776316">
            <w:pPr>
              <w:jc w:val="right"/>
              <w:rPr>
                <w:sz w:val="16"/>
                <w:szCs w:val="16"/>
              </w:rPr>
            </w:pPr>
            <w:r>
              <w:rPr>
                <w:sz w:val="16"/>
                <w:szCs w:val="16"/>
              </w:rPr>
              <w:t>0.01</w:t>
            </w:r>
          </w:p>
        </w:tc>
        <w:tc>
          <w:tcPr>
            <w:tcW w:w="709" w:type="dxa"/>
            <w:tcBorders>
              <w:top w:val="single" w:sz="4" w:space="0" w:color="auto"/>
              <w:left w:val="single" w:sz="4" w:space="0" w:color="auto"/>
              <w:bottom w:val="single" w:sz="4" w:space="0" w:color="auto"/>
              <w:right w:val="single" w:sz="4" w:space="0" w:color="auto"/>
            </w:tcBorders>
            <w:hideMark/>
          </w:tcPr>
          <w:p w14:paraId="68332555" w14:textId="77777777" w:rsidR="00776316" w:rsidRDefault="00776316">
            <w:pPr>
              <w:jc w:val="right"/>
              <w:rPr>
                <w:sz w:val="16"/>
                <w:szCs w:val="16"/>
              </w:rPr>
            </w:pPr>
            <w:r>
              <w:rPr>
                <w:sz w:val="16"/>
                <w:szCs w:val="16"/>
              </w:rPr>
              <w:t>0.01</w:t>
            </w:r>
          </w:p>
        </w:tc>
        <w:tc>
          <w:tcPr>
            <w:tcW w:w="623" w:type="dxa"/>
            <w:tcBorders>
              <w:top w:val="single" w:sz="4" w:space="0" w:color="auto"/>
              <w:left w:val="single" w:sz="4" w:space="0" w:color="auto"/>
              <w:bottom w:val="single" w:sz="4" w:space="0" w:color="auto"/>
              <w:right w:val="single" w:sz="4" w:space="0" w:color="auto"/>
            </w:tcBorders>
            <w:hideMark/>
          </w:tcPr>
          <w:p w14:paraId="0D2C19C7" w14:textId="77777777" w:rsidR="00776316" w:rsidRDefault="00776316">
            <w:pPr>
              <w:jc w:val="right"/>
              <w:rPr>
                <w:sz w:val="16"/>
                <w:szCs w:val="16"/>
              </w:rPr>
            </w:pPr>
            <w:r>
              <w:rPr>
                <w:sz w:val="16"/>
                <w:szCs w:val="16"/>
              </w:rPr>
              <w:t>0.01</w:t>
            </w:r>
          </w:p>
        </w:tc>
        <w:tc>
          <w:tcPr>
            <w:tcW w:w="630" w:type="dxa"/>
            <w:tcBorders>
              <w:top w:val="single" w:sz="4" w:space="0" w:color="auto"/>
              <w:left w:val="single" w:sz="4" w:space="0" w:color="auto"/>
              <w:bottom w:val="single" w:sz="4" w:space="0" w:color="auto"/>
              <w:right w:val="single" w:sz="4" w:space="0" w:color="auto"/>
            </w:tcBorders>
            <w:hideMark/>
          </w:tcPr>
          <w:p w14:paraId="6FE5B058"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59AB23FE" w14:textId="77777777" w:rsidR="00776316" w:rsidRDefault="00776316">
            <w:pPr>
              <w:jc w:val="right"/>
              <w:rPr>
                <w:sz w:val="16"/>
                <w:szCs w:val="16"/>
              </w:rPr>
            </w:pPr>
            <w:r>
              <w:rPr>
                <w:sz w:val="16"/>
                <w:szCs w:val="16"/>
              </w:rPr>
              <w:t>0.01</w:t>
            </w:r>
          </w:p>
        </w:tc>
        <w:tc>
          <w:tcPr>
            <w:tcW w:w="630" w:type="dxa"/>
            <w:tcBorders>
              <w:top w:val="single" w:sz="4" w:space="0" w:color="auto"/>
              <w:left w:val="single" w:sz="4" w:space="0" w:color="auto"/>
              <w:bottom w:val="single" w:sz="4" w:space="0" w:color="auto"/>
              <w:right w:val="single" w:sz="4" w:space="0" w:color="auto"/>
            </w:tcBorders>
            <w:vAlign w:val="bottom"/>
            <w:hideMark/>
          </w:tcPr>
          <w:p w14:paraId="1590A337" w14:textId="77777777" w:rsidR="00776316" w:rsidRDefault="00776316">
            <w:pPr>
              <w:jc w:val="right"/>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68D22395" w14:textId="77777777" w:rsidR="00776316" w:rsidRDefault="00776316">
            <w:pPr>
              <w:jc w:val="right"/>
              <w:rPr>
                <w:sz w:val="16"/>
                <w:szCs w:val="16"/>
              </w:rPr>
            </w:pPr>
            <w:r>
              <w:rPr>
                <w:sz w:val="16"/>
                <w:szCs w:val="16"/>
              </w:rPr>
              <w:t>0.02</w:t>
            </w:r>
          </w:p>
        </w:tc>
        <w:tc>
          <w:tcPr>
            <w:tcW w:w="630" w:type="dxa"/>
            <w:tcBorders>
              <w:top w:val="single" w:sz="4" w:space="0" w:color="auto"/>
              <w:left w:val="single" w:sz="4" w:space="0" w:color="auto"/>
              <w:bottom w:val="single" w:sz="4" w:space="0" w:color="auto"/>
              <w:right w:val="single" w:sz="4" w:space="0" w:color="auto"/>
            </w:tcBorders>
            <w:vAlign w:val="bottom"/>
            <w:hideMark/>
          </w:tcPr>
          <w:p w14:paraId="60AC0A95" w14:textId="77777777" w:rsidR="00776316" w:rsidRDefault="00776316">
            <w:pPr>
              <w:jc w:val="right"/>
              <w:rPr>
                <w:sz w:val="16"/>
                <w:szCs w:val="16"/>
              </w:rPr>
            </w:pPr>
            <w:r>
              <w:rPr>
                <w:sz w:val="16"/>
                <w:szCs w:val="16"/>
              </w:rPr>
              <w:t>0.02</w:t>
            </w:r>
          </w:p>
        </w:tc>
        <w:tc>
          <w:tcPr>
            <w:tcW w:w="540" w:type="dxa"/>
            <w:tcBorders>
              <w:top w:val="single" w:sz="4" w:space="0" w:color="auto"/>
              <w:left w:val="single" w:sz="4" w:space="0" w:color="auto"/>
              <w:bottom w:val="single" w:sz="4" w:space="0" w:color="auto"/>
              <w:right w:val="single" w:sz="4" w:space="0" w:color="auto"/>
            </w:tcBorders>
            <w:vAlign w:val="bottom"/>
            <w:hideMark/>
          </w:tcPr>
          <w:p w14:paraId="431ECED8" w14:textId="77777777" w:rsidR="00776316" w:rsidRDefault="00776316">
            <w:pPr>
              <w:jc w:val="right"/>
              <w:rPr>
                <w:sz w:val="16"/>
                <w:szCs w:val="16"/>
              </w:rPr>
            </w:pPr>
            <w:r>
              <w:rPr>
                <w:sz w:val="16"/>
                <w:szCs w:val="16"/>
              </w:rPr>
              <w:t>0.03</w:t>
            </w:r>
          </w:p>
        </w:tc>
        <w:tc>
          <w:tcPr>
            <w:tcW w:w="540" w:type="dxa"/>
            <w:tcBorders>
              <w:top w:val="single" w:sz="4" w:space="0" w:color="auto"/>
              <w:left w:val="single" w:sz="4" w:space="0" w:color="auto"/>
              <w:bottom w:val="single" w:sz="4" w:space="0" w:color="auto"/>
              <w:right w:val="single" w:sz="4" w:space="0" w:color="auto"/>
            </w:tcBorders>
            <w:hideMark/>
          </w:tcPr>
          <w:p w14:paraId="0FF210B5" w14:textId="77777777" w:rsidR="00776316" w:rsidRDefault="00776316">
            <w:pPr>
              <w:jc w:val="right"/>
              <w:rPr>
                <w:sz w:val="16"/>
                <w:szCs w:val="16"/>
              </w:rPr>
            </w:pPr>
            <w:r>
              <w:rPr>
                <w:sz w:val="16"/>
                <w:szCs w:val="16"/>
              </w:rPr>
              <w:t>0.02</w:t>
            </w:r>
          </w:p>
        </w:tc>
        <w:tc>
          <w:tcPr>
            <w:tcW w:w="540" w:type="dxa"/>
            <w:tcBorders>
              <w:top w:val="single" w:sz="4" w:space="0" w:color="auto"/>
              <w:left w:val="single" w:sz="4" w:space="0" w:color="auto"/>
              <w:bottom w:val="single" w:sz="4" w:space="0" w:color="auto"/>
              <w:right w:val="single" w:sz="4" w:space="0" w:color="auto"/>
            </w:tcBorders>
            <w:hideMark/>
          </w:tcPr>
          <w:p w14:paraId="5477BA3B" w14:textId="77777777" w:rsidR="00776316" w:rsidRDefault="00776316">
            <w:pPr>
              <w:jc w:val="right"/>
              <w:rPr>
                <w:sz w:val="16"/>
                <w:szCs w:val="16"/>
              </w:rPr>
            </w:pPr>
            <w:r>
              <w:rPr>
                <w:sz w:val="16"/>
                <w:szCs w:val="16"/>
              </w:rPr>
              <w:t>0.01</w:t>
            </w:r>
          </w:p>
        </w:tc>
        <w:tc>
          <w:tcPr>
            <w:tcW w:w="540" w:type="dxa"/>
            <w:tcBorders>
              <w:top w:val="single" w:sz="4" w:space="0" w:color="auto"/>
              <w:left w:val="single" w:sz="4" w:space="0" w:color="auto"/>
              <w:bottom w:val="single" w:sz="4" w:space="0" w:color="auto"/>
              <w:right w:val="single" w:sz="4" w:space="0" w:color="auto"/>
            </w:tcBorders>
            <w:hideMark/>
          </w:tcPr>
          <w:p w14:paraId="10305868" w14:textId="77777777" w:rsidR="00776316" w:rsidRDefault="00776316">
            <w:pPr>
              <w:snapToGrid w:val="0"/>
              <w:jc w:val="right"/>
              <w:rPr>
                <w:sz w:val="16"/>
                <w:szCs w:val="16"/>
              </w:rPr>
            </w:pPr>
            <w:r>
              <w:rPr>
                <w:sz w:val="16"/>
                <w:szCs w:val="16"/>
              </w:rPr>
              <w:t>0.03</w:t>
            </w:r>
          </w:p>
        </w:tc>
        <w:tc>
          <w:tcPr>
            <w:tcW w:w="704" w:type="dxa"/>
            <w:tcBorders>
              <w:top w:val="single" w:sz="4" w:space="0" w:color="auto"/>
              <w:left w:val="single" w:sz="4" w:space="0" w:color="auto"/>
              <w:bottom w:val="single" w:sz="4" w:space="0" w:color="auto"/>
              <w:right w:val="single" w:sz="4" w:space="0" w:color="auto"/>
            </w:tcBorders>
            <w:hideMark/>
          </w:tcPr>
          <w:p w14:paraId="29BC41A2" w14:textId="77777777" w:rsidR="00776316" w:rsidRDefault="00776316">
            <w:pPr>
              <w:snapToGrid w:val="0"/>
              <w:rPr>
                <w:sz w:val="16"/>
                <w:szCs w:val="16"/>
              </w:rPr>
            </w:pPr>
            <w:r>
              <w:rPr>
                <w:sz w:val="16"/>
                <w:szCs w:val="16"/>
              </w:rPr>
              <w:t>0.04</w:t>
            </w:r>
          </w:p>
        </w:tc>
        <w:tc>
          <w:tcPr>
            <w:tcW w:w="630" w:type="dxa"/>
            <w:tcBorders>
              <w:top w:val="single" w:sz="4" w:space="0" w:color="auto"/>
              <w:left w:val="single" w:sz="4" w:space="0" w:color="auto"/>
              <w:bottom w:val="single" w:sz="4" w:space="0" w:color="auto"/>
              <w:right w:val="single" w:sz="4" w:space="0" w:color="auto"/>
            </w:tcBorders>
            <w:hideMark/>
          </w:tcPr>
          <w:p w14:paraId="362EB201" w14:textId="77777777" w:rsidR="00776316" w:rsidRDefault="00776316">
            <w:pPr>
              <w:snapToGrid w:val="0"/>
              <w:rPr>
                <w:sz w:val="16"/>
                <w:szCs w:val="16"/>
              </w:rPr>
            </w:pPr>
            <w:r>
              <w:rPr>
                <w:sz w:val="16"/>
                <w:szCs w:val="16"/>
              </w:rPr>
              <w:t>0.02</w:t>
            </w:r>
          </w:p>
        </w:tc>
        <w:tc>
          <w:tcPr>
            <w:tcW w:w="567" w:type="dxa"/>
            <w:tcBorders>
              <w:top w:val="single" w:sz="4" w:space="0" w:color="auto"/>
              <w:left w:val="single" w:sz="4" w:space="0" w:color="auto"/>
              <w:bottom w:val="single" w:sz="4" w:space="0" w:color="auto"/>
              <w:right w:val="single" w:sz="4" w:space="0" w:color="auto"/>
            </w:tcBorders>
            <w:hideMark/>
          </w:tcPr>
          <w:p w14:paraId="386F9526" w14:textId="77777777" w:rsidR="00776316" w:rsidRDefault="00776316">
            <w:pPr>
              <w:snapToGrid w:val="0"/>
              <w:rPr>
                <w:sz w:val="16"/>
                <w:szCs w:val="16"/>
              </w:rPr>
            </w:pPr>
            <w:r>
              <w:rPr>
                <w:sz w:val="16"/>
                <w:szCs w:val="16"/>
              </w:rPr>
              <w:t xml:space="preserve">  0</w:t>
            </w:r>
          </w:p>
        </w:tc>
        <w:tc>
          <w:tcPr>
            <w:tcW w:w="591" w:type="dxa"/>
            <w:tcBorders>
              <w:top w:val="single" w:sz="4" w:space="0" w:color="auto"/>
              <w:left w:val="single" w:sz="4" w:space="0" w:color="auto"/>
              <w:bottom w:val="single" w:sz="4" w:space="0" w:color="auto"/>
              <w:right w:val="single" w:sz="4" w:space="0" w:color="auto"/>
            </w:tcBorders>
            <w:hideMark/>
          </w:tcPr>
          <w:p w14:paraId="2BB9A2E8" w14:textId="77777777" w:rsidR="00776316" w:rsidRDefault="00776316">
            <w:pPr>
              <w:snapToGrid w:val="0"/>
              <w:rPr>
                <w:sz w:val="16"/>
                <w:szCs w:val="16"/>
              </w:rPr>
            </w:pPr>
            <w:r>
              <w:rPr>
                <w:sz w:val="16"/>
                <w:szCs w:val="16"/>
              </w:rPr>
              <w:t>K/µL</w:t>
            </w:r>
          </w:p>
        </w:tc>
      </w:tr>
      <w:tr w:rsidR="00776316" w14:paraId="4C576145"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476C25A3" w14:textId="77777777" w:rsidR="00776316" w:rsidRDefault="00776316">
            <w:pPr>
              <w:rPr>
                <w:sz w:val="16"/>
                <w:szCs w:val="16"/>
              </w:rPr>
            </w:pPr>
            <w:r>
              <w:rPr>
                <w:sz w:val="16"/>
                <w:szCs w:val="16"/>
              </w:rPr>
              <w:t>BASO%</w:t>
            </w:r>
          </w:p>
        </w:tc>
        <w:tc>
          <w:tcPr>
            <w:tcW w:w="673" w:type="dxa"/>
            <w:tcBorders>
              <w:top w:val="single" w:sz="4" w:space="0" w:color="auto"/>
              <w:left w:val="single" w:sz="4" w:space="0" w:color="auto"/>
              <w:bottom w:val="single" w:sz="4" w:space="0" w:color="auto"/>
              <w:right w:val="single" w:sz="4" w:space="0" w:color="auto"/>
            </w:tcBorders>
            <w:hideMark/>
          </w:tcPr>
          <w:p w14:paraId="1AECC877" w14:textId="77777777" w:rsidR="00776316" w:rsidRDefault="00776316">
            <w:pPr>
              <w:jc w:val="right"/>
              <w:rPr>
                <w:sz w:val="16"/>
                <w:szCs w:val="16"/>
              </w:rPr>
            </w:pPr>
            <w:r>
              <w:rPr>
                <w:sz w:val="16"/>
                <w:szCs w:val="16"/>
              </w:rPr>
              <w:t>0.2</w:t>
            </w:r>
          </w:p>
        </w:tc>
        <w:tc>
          <w:tcPr>
            <w:tcW w:w="709" w:type="dxa"/>
            <w:tcBorders>
              <w:top w:val="single" w:sz="4" w:space="0" w:color="auto"/>
              <w:left w:val="single" w:sz="4" w:space="0" w:color="auto"/>
              <w:bottom w:val="single" w:sz="4" w:space="0" w:color="auto"/>
              <w:right w:val="single" w:sz="4" w:space="0" w:color="auto"/>
            </w:tcBorders>
            <w:hideMark/>
          </w:tcPr>
          <w:p w14:paraId="08D34670" w14:textId="77777777" w:rsidR="00776316" w:rsidRDefault="00776316">
            <w:pPr>
              <w:jc w:val="right"/>
              <w:rPr>
                <w:sz w:val="16"/>
                <w:szCs w:val="16"/>
              </w:rPr>
            </w:pPr>
            <w:r>
              <w:rPr>
                <w:sz w:val="16"/>
                <w:szCs w:val="16"/>
              </w:rPr>
              <w:t>0.2</w:t>
            </w:r>
          </w:p>
        </w:tc>
        <w:tc>
          <w:tcPr>
            <w:tcW w:w="623" w:type="dxa"/>
            <w:tcBorders>
              <w:top w:val="single" w:sz="4" w:space="0" w:color="auto"/>
              <w:left w:val="single" w:sz="4" w:space="0" w:color="auto"/>
              <w:bottom w:val="single" w:sz="4" w:space="0" w:color="auto"/>
              <w:right w:val="single" w:sz="4" w:space="0" w:color="auto"/>
            </w:tcBorders>
            <w:hideMark/>
          </w:tcPr>
          <w:p w14:paraId="2C41FBEC" w14:textId="77777777" w:rsidR="00776316" w:rsidRDefault="00776316">
            <w:pPr>
              <w:jc w:val="right"/>
              <w:rPr>
                <w:sz w:val="16"/>
                <w:szCs w:val="16"/>
              </w:rPr>
            </w:pPr>
            <w:r>
              <w:rPr>
                <w:sz w:val="16"/>
                <w:szCs w:val="16"/>
              </w:rPr>
              <w:t>0.3</w:t>
            </w:r>
          </w:p>
        </w:tc>
        <w:tc>
          <w:tcPr>
            <w:tcW w:w="630" w:type="dxa"/>
            <w:tcBorders>
              <w:top w:val="single" w:sz="4" w:space="0" w:color="auto"/>
              <w:left w:val="single" w:sz="4" w:space="0" w:color="auto"/>
              <w:bottom w:val="single" w:sz="4" w:space="0" w:color="auto"/>
              <w:right w:val="single" w:sz="4" w:space="0" w:color="auto"/>
            </w:tcBorders>
            <w:hideMark/>
          </w:tcPr>
          <w:p w14:paraId="7A6A6047" w14:textId="77777777" w:rsidR="00776316" w:rsidRDefault="00776316">
            <w:pPr>
              <w:jc w:val="right"/>
              <w:rPr>
                <w:sz w:val="16"/>
                <w:szCs w:val="16"/>
              </w:rPr>
            </w:pPr>
            <w:r>
              <w:rPr>
                <w:sz w:val="16"/>
                <w:szCs w:val="16"/>
              </w:rPr>
              <w:t>0</w:t>
            </w:r>
          </w:p>
        </w:tc>
        <w:tc>
          <w:tcPr>
            <w:tcW w:w="630" w:type="dxa"/>
            <w:tcBorders>
              <w:top w:val="single" w:sz="4" w:space="0" w:color="auto"/>
              <w:left w:val="single" w:sz="4" w:space="0" w:color="auto"/>
              <w:bottom w:val="single" w:sz="4" w:space="0" w:color="auto"/>
              <w:right w:val="single" w:sz="4" w:space="0" w:color="auto"/>
            </w:tcBorders>
            <w:vAlign w:val="bottom"/>
            <w:hideMark/>
          </w:tcPr>
          <w:p w14:paraId="5DFC71F0" w14:textId="77777777" w:rsidR="00776316" w:rsidRDefault="00776316">
            <w:pPr>
              <w:jc w:val="right"/>
              <w:rPr>
                <w:sz w:val="16"/>
                <w:szCs w:val="16"/>
              </w:rPr>
            </w:pPr>
            <w:r>
              <w:rPr>
                <w:sz w:val="16"/>
                <w:szCs w:val="16"/>
              </w:rPr>
              <w:t>0.3</w:t>
            </w:r>
          </w:p>
        </w:tc>
        <w:tc>
          <w:tcPr>
            <w:tcW w:w="630" w:type="dxa"/>
            <w:tcBorders>
              <w:top w:val="single" w:sz="4" w:space="0" w:color="auto"/>
              <w:left w:val="single" w:sz="4" w:space="0" w:color="auto"/>
              <w:bottom w:val="single" w:sz="4" w:space="0" w:color="auto"/>
              <w:right w:val="single" w:sz="4" w:space="0" w:color="auto"/>
            </w:tcBorders>
            <w:vAlign w:val="bottom"/>
            <w:hideMark/>
          </w:tcPr>
          <w:p w14:paraId="38ABDEA0" w14:textId="77777777" w:rsidR="00776316" w:rsidRDefault="00776316">
            <w:pPr>
              <w:jc w:val="right"/>
              <w:rPr>
                <w:sz w:val="16"/>
                <w:szCs w:val="16"/>
              </w:rPr>
            </w:pPr>
            <w:r>
              <w:rPr>
                <w:sz w:val="16"/>
                <w:szCs w:val="16"/>
              </w:rPr>
              <w:t>0</w:t>
            </w:r>
          </w:p>
        </w:tc>
        <w:tc>
          <w:tcPr>
            <w:tcW w:w="540" w:type="dxa"/>
            <w:tcBorders>
              <w:top w:val="single" w:sz="4" w:space="0" w:color="auto"/>
              <w:left w:val="single" w:sz="4" w:space="0" w:color="auto"/>
              <w:bottom w:val="single" w:sz="4" w:space="0" w:color="auto"/>
              <w:right w:val="single" w:sz="4" w:space="0" w:color="auto"/>
            </w:tcBorders>
            <w:vAlign w:val="bottom"/>
            <w:hideMark/>
          </w:tcPr>
          <w:p w14:paraId="3488832E" w14:textId="77777777" w:rsidR="00776316" w:rsidRDefault="00776316">
            <w:pPr>
              <w:jc w:val="right"/>
              <w:rPr>
                <w:sz w:val="16"/>
                <w:szCs w:val="16"/>
              </w:rPr>
            </w:pPr>
            <w:r>
              <w:rPr>
                <w:sz w:val="16"/>
                <w:szCs w:val="16"/>
              </w:rPr>
              <w:t>1</w:t>
            </w:r>
          </w:p>
        </w:tc>
        <w:tc>
          <w:tcPr>
            <w:tcW w:w="630" w:type="dxa"/>
            <w:tcBorders>
              <w:top w:val="single" w:sz="4" w:space="0" w:color="auto"/>
              <w:left w:val="single" w:sz="4" w:space="0" w:color="auto"/>
              <w:bottom w:val="single" w:sz="4" w:space="0" w:color="auto"/>
              <w:right w:val="single" w:sz="4" w:space="0" w:color="auto"/>
            </w:tcBorders>
            <w:vAlign w:val="bottom"/>
            <w:hideMark/>
          </w:tcPr>
          <w:p w14:paraId="741D5A7E" w14:textId="77777777" w:rsidR="00776316" w:rsidRDefault="00776316">
            <w:pPr>
              <w:jc w:val="right"/>
              <w:rPr>
                <w:sz w:val="16"/>
                <w:szCs w:val="16"/>
              </w:rPr>
            </w:pPr>
            <w:r>
              <w:rPr>
                <w:sz w:val="16"/>
                <w:szCs w:val="16"/>
              </w:rPr>
              <w:t>1</w:t>
            </w:r>
          </w:p>
        </w:tc>
        <w:tc>
          <w:tcPr>
            <w:tcW w:w="540" w:type="dxa"/>
            <w:tcBorders>
              <w:top w:val="single" w:sz="4" w:space="0" w:color="auto"/>
              <w:left w:val="single" w:sz="4" w:space="0" w:color="auto"/>
              <w:bottom w:val="single" w:sz="4" w:space="0" w:color="auto"/>
              <w:right w:val="single" w:sz="4" w:space="0" w:color="auto"/>
            </w:tcBorders>
            <w:vAlign w:val="bottom"/>
            <w:hideMark/>
          </w:tcPr>
          <w:p w14:paraId="25258B5C" w14:textId="77777777" w:rsidR="00776316" w:rsidRDefault="00776316">
            <w:pPr>
              <w:jc w:val="right"/>
              <w:rPr>
                <w:sz w:val="16"/>
                <w:szCs w:val="16"/>
              </w:rPr>
            </w:pPr>
            <w:r>
              <w:rPr>
                <w:sz w:val="16"/>
                <w:szCs w:val="16"/>
              </w:rPr>
              <w:t>1.3</w:t>
            </w:r>
          </w:p>
        </w:tc>
        <w:tc>
          <w:tcPr>
            <w:tcW w:w="540" w:type="dxa"/>
            <w:tcBorders>
              <w:top w:val="single" w:sz="4" w:space="0" w:color="auto"/>
              <w:left w:val="single" w:sz="4" w:space="0" w:color="auto"/>
              <w:bottom w:val="single" w:sz="4" w:space="0" w:color="auto"/>
              <w:right w:val="single" w:sz="4" w:space="0" w:color="auto"/>
            </w:tcBorders>
            <w:hideMark/>
          </w:tcPr>
          <w:p w14:paraId="2C601E5E" w14:textId="77777777" w:rsidR="00776316" w:rsidRDefault="00776316">
            <w:pPr>
              <w:jc w:val="right"/>
              <w:rPr>
                <w:sz w:val="16"/>
                <w:szCs w:val="16"/>
              </w:rPr>
            </w:pPr>
            <w:r>
              <w:rPr>
                <w:sz w:val="16"/>
                <w:szCs w:val="16"/>
              </w:rPr>
              <w:t>0.9</w:t>
            </w:r>
          </w:p>
        </w:tc>
        <w:tc>
          <w:tcPr>
            <w:tcW w:w="540" w:type="dxa"/>
            <w:tcBorders>
              <w:top w:val="single" w:sz="4" w:space="0" w:color="auto"/>
              <w:left w:val="single" w:sz="4" w:space="0" w:color="auto"/>
              <w:bottom w:val="single" w:sz="4" w:space="0" w:color="auto"/>
              <w:right w:val="single" w:sz="4" w:space="0" w:color="auto"/>
            </w:tcBorders>
            <w:hideMark/>
          </w:tcPr>
          <w:p w14:paraId="7E79BCBC" w14:textId="77777777" w:rsidR="00776316" w:rsidRDefault="00776316">
            <w:pPr>
              <w:jc w:val="right"/>
              <w:rPr>
                <w:sz w:val="16"/>
                <w:szCs w:val="16"/>
              </w:rPr>
            </w:pPr>
            <w:r>
              <w:rPr>
                <w:sz w:val="16"/>
                <w:szCs w:val="16"/>
              </w:rPr>
              <w:t>0.5</w:t>
            </w:r>
          </w:p>
        </w:tc>
        <w:tc>
          <w:tcPr>
            <w:tcW w:w="540" w:type="dxa"/>
            <w:tcBorders>
              <w:top w:val="single" w:sz="4" w:space="0" w:color="auto"/>
              <w:left w:val="single" w:sz="4" w:space="0" w:color="auto"/>
              <w:bottom w:val="single" w:sz="4" w:space="0" w:color="auto"/>
              <w:right w:val="single" w:sz="4" w:space="0" w:color="auto"/>
            </w:tcBorders>
            <w:hideMark/>
          </w:tcPr>
          <w:p w14:paraId="1F4A682B" w14:textId="77777777" w:rsidR="00776316" w:rsidRDefault="00776316">
            <w:pPr>
              <w:snapToGrid w:val="0"/>
              <w:jc w:val="right"/>
              <w:rPr>
                <w:sz w:val="16"/>
                <w:szCs w:val="16"/>
              </w:rPr>
            </w:pPr>
            <w:r>
              <w:rPr>
                <w:sz w:val="16"/>
                <w:szCs w:val="16"/>
              </w:rPr>
              <w:t>0.6</w:t>
            </w:r>
          </w:p>
        </w:tc>
        <w:tc>
          <w:tcPr>
            <w:tcW w:w="704" w:type="dxa"/>
            <w:tcBorders>
              <w:top w:val="single" w:sz="4" w:space="0" w:color="auto"/>
              <w:left w:val="single" w:sz="4" w:space="0" w:color="auto"/>
              <w:bottom w:val="single" w:sz="4" w:space="0" w:color="auto"/>
              <w:right w:val="single" w:sz="4" w:space="0" w:color="auto"/>
            </w:tcBorders>
            <w:hideMark/>
          </w:tcPr>
          <w:p w14:paraId="048AF472" w14:textId="77777777" w:rsidR="00776316" w:rsidRDefault="00776316">
            <w:pPr>
              <w:snapToGrid w:val="0"/>
              <w:rPr>
                <w:sz w:val="16"/>
                <w:szCs w:val="16"/>
              </w:rPr>
            </w:pPr>
            <w:r>
              <w:rPr>
                <w:sz w:val="16"/>
                <w:szCs w:val="16"/>
              </w:rPr>
              <w:t>0.6</w:t>
            </w:r>
          </w:p>
        </w:tc>
        <w:tc>
          <w:tcPr>
            <w:tcW w:w="630" w:type="dxa"/>
            <w:tcBorders>
              <w:top w:val="single" w:sz="4" w:space="0" w:color="auto"/>
              <w:left w:val="single" w:sz="4" w:space="0" w:color="auto"/>
              <w:bottom w:val="single" w:sz="4" w:space="0" w:color="auto"/>
              <w:right w:val="single" w:sz="4" w:space="0" w:color="auto"/>
            </w:tcBorders>
            <w:hideMark/>
          </w:tcPr>
          <w:p w14:paraId="61D05D14" w14:textId="77777777" w:rsidR="00776316" w:rsidRDefault="00776316">
            <w:pPr>
              <w:snapToGrid w:val="0"/>
              <w:rPr>
                <w:sz w:val="16"/>
                <w:szCs w:val="16"/>
              </w:rPr>
            </w:pPr>
            <w:r>
              <w:rPr>
                <w:sz w:val="16"/>
                <w:szCs w:val="16"/>
              </w:rPr>
              <w:t xml:space="preserve">   0</w:t>
            </w:r>
          </w:p>
        </w:tc>
        <w:tc>
          <w:tcPr>
            <w:tcW w:w="567" w:type="dxa"/>
            <w:tcBorders>
              <w:top w:val="single" w:sz="4" w:space="0" w:color="auto"/>
              <w:left w:val="single" w:sz="4" w:space="0" w:color="auto"/>
              <w:bottom w:val="single" w:sz="4" w:space="0" w:color="auto"/>
              <w:right w:val="single" w:sz="4" w:space="0" w:color="auto"/>
            </w:tcBorders>
            <w:hideMark/>
          </w:tcPr>
          <w:p w14:paraId="118FB3CA" w14:textId="77777777" w:rsidR="00776316" w:rsidRDefault="00776316">
            <w:pPr>
              <w:snapToGrid w:val="0"/>
              <w:rPr>
                <w:sz w:val="16"/>
                <w:szCs w:val="16"/>
              </w:rPr>
            </w:pPr>
            <w:r>
              <w:rPr>
                <w:sz w:val="16"/>
                <w:szCs w:val="16"/>
              </w:rPr>
              <w:t xml:space="preserve">  0</w:t>
            </w:r>
          </w:p>
        </w:tc>
        <w:tc>
          <w:tcPr>
            <w:tcW w:w="591" w:type="dxa"/>
            <w:tcBorders>
              <w:top w:val="single" w:sz="4" w:space="0" w:color="auto"/>
              <w:left w:val="single" w:sz="4" w:space="0" w:color="auto"/>
              <w:bottom w:val="single" w:sz="4" w:space="0" w:color="auto"/>
              <w:right w:val="single" w:sz="4" w:space="0" w:color="auto"/>
            </w:tcBorders>
            <w:hideMark/>
          </w:tcPr>
          <w:p w14:paraId="50F118F5" w14:textId="77777777" w:rsidR="00776316" w:rsidRDefault="00776316">
            <w:pPr>
              <w:snapToGrid w:val="0"/>
              <w:rPr>
                <w:sz w:val="16"/>
                <w:szCs w:val="16"/>
              </w:rPr>
            </w:pPr>
            <w:r>
              <w:rPr>
                <w:sz w:val="16"/>
                <w:szCs w:val="16"/>
              </w:rPr>
              <w:t xml:space="preserve">   %</w:t>
            </w:r>
          </w:p>
        </w:tc>
      </w:tr>
      <w:tr w:rsidR="00776316" w14:paraId="54B06883" w14:textId="77777777" w:rsidTr="00776316">
        <w:trPr>
          <w:trHeight w:val="233"/>
          <w:jc w:val="center"/>
        </w:trPr>
        <w:tc>
          <w:tcPr>
            <w:tcW w:w="1153" w:type="dxa"/>
            <w:tcBorders>
              <w:top w:val="single" w:sz="4" w:space="0" w:color="auto"/>
              <w:left w:val="single" w:sz="4" w:space="0" w:color="auto"/>
              <w:bottom w:val="single" w:sz="4" w:space="0" w:color="auto"/>
              <w:right w:val="single" w:sz="4" w:space="0" w:color="auto"/>
            </w:tcBorders>
            <w:hideMark/>
          </w:tcPr>
          <w:p w14:paraId="4F3B6DFB" w14:textId="77777777" w:rsidR="00776316" w:rsidRDefault="00776316">
            <w:pPr>
              <w:rPr>
                <w:sz w:val="16"/>
                <w:szCs w:val="16"/>
              </w:rPr>
            </w:pPr>
            <w:r>
              <w:rPr>
                <w:sz w:val="16"/>
                <w:szCs w:val="16"/>
              </w:rPr>
              <w:t>IG</w:t>
            </w:r>
          </w:p>
        </w:tc>
        <w:tc>
          <w:tcPr>
            <w:tcW w:w="673" w:type="dxa"/>
            <w:tcBorders>
              <w:top w:val="single" w:sz="4" w:space="0" w:color="auto"/>
              <w:left w:val="single" w:sz="4" w:space="0" w:color="auto"/>
              <w:bottom w:val="single" w:sz="4" w:space="0" w:color="auto"/>
              <w:right w:val="single" w:sz="4" w:space="0" w:color="auto"/>
            </w:tcBorders>
            <w:hideMark/>
          </w:tcPr>
          <w:p w14:paraId="35F70ED3" w14:textId="77777777" w:rsidR="00776316" w:rsidRDefault="00776316">
            <w:pPr>
              <w:jc w:val="right"/>
              <w:rPr>
                <w:sz w:val="16"/>
                <w:szCs w:val="16"/>
              </w:rPr>
            </w:pPr>
            <w:r>
              <w:rPr>
                <w:sz w:val="16"/>
                <w:szCs w:val="16"/>
              </w:rPr>
              <w:t>0.4</w:t>
            </w:r>
          </w:p>
        </w:tc>
        <w:tc>
          <w:tcPr>
            <w:tcW w:w="709" w:type="dxa"/>
            <w:tcBorders>
              <w:top w:val="single" w:sz="4" w:space="0" w:color="auto"/>
              <w:left w:val="single" w:sz="4" w:space="0" w:color="auto"/>
              <w:bottom w:val="single" w:sz="4" w:space="0" w:color="auto"/>
              <w:right w:val="single" w:sz="4" w:space="0" w:color="auto"/>
            </w:tcBorders>
            <w:hideMark/>
          </w:tcPr>
          <w:p w14:paraId="620089EB" w14:textId="77777777" w:rsidR="00776316" w:rsidRDefault="00776316">
            <w:pPr>
              <w:jc w:val="right"/>
              <w:rPr>
                <w:sz w:val="16"/>
                <w:szCs w:val="16"/>
              </w:rPr>
            </w:pPr>
            <w:r>
              <w:rPr>
                <w:sz w:val="16"/>
                <w:szCs w:val="16"/>
              </w:rPr>
              <w:t>0.78</w:t>
            </w:r>
          </w:p>
        </w:tc>
        <w:tc>
          <w:tcPr>
            <w:tcW w:w="623" w:type="dxa"/>
            <w:tcBorders>
              <w:top w:val="single" w:sz="4" w:space="0" w:color="auto"/>
              <w:left w:val="single" w:sz="4" w:space="0" w:color="auto"/>
              <w:bottom w:val="single" w:sz="4" w:space="0" w:color="auto"/>
              <w:right w:val="single" w:sz="4" w:space="0" w:color="auto"/>
            </w:tcBorders>
            <w:hideMark/>
          </w:tcPr>
          <w:p w14:paraId="49B7F155" w14:textId="77777777" w:rsidR="00776316" w:rsidRDefault="00776316">
            <w:pPr>
              <w:jc w:val="right"/>
              <w:rPr>
                <w:sz w:val="16"/>
                <w:szCs w:val="16"/>
              </w:rPr>
            </w:pPr>
            <w:r>
              <w:rPr>
                <w:sz w:val="16"/>
                <w:szCs w:val="16"/>
              </w:rPr>
              <w:t>0.4</w:t>
            </w:r>
          </w:p>
        </w:tc>
        <w:tc>
          <w:tcPr>
            <w:tcW w:w="630" w:type="dxa"/>
            <w:tcBorders>
              <w:top w:val="single" w:sz="4" w:space="0" w:color="auto"/>
              <w:left w:val="single" w:sz="4" w:space="0" w:color="auto"/>
              <w:bottom w:val="single" w:sz="4" w:space="0" w:color="auto"/>
              <w:right w:val="single" w:sz="4" w:space="0" w:color="auto"/>
            </w:tcBorders>
            <w:hideMark/>
          </w:tcPr>
          <w:p w14:paraId="30B23879" w14:textId="77777777" w:rsidR="00776316" w:rsidRDefault="00776316">
            <w:pPr>
              <w:jc w:val="right"/>
              <w:rPr>
                <w:sz w:val="16"/>
                <w:szCs w:val="16"/>
              </w:rPr>
            </w:pPr>
            <w:r>
              <w:rPr>
                <w:sz w:val="16"/>
                <w:szCs w:val="16"/>
              </w:rPr>
              <w:t>0.19</w:t>
            </w:r>
          </w:p>
        </w:tc>
        <w:tc>
          <w:tcPr>
            <w:tcW w:w="630" w:type="dxa"/>
            <w:tcBorders>
              <w:top w:val="single" w:sz="4" w:space="0" w:color="auto"/>
              <w:left w:val="single" w:sz="4" w:space="0" w:color="auto"/>
              <w:bottom w:val="single" w:sz="4" w:space="0" w:color="auto"/>
              <w:right w:val="single" w:sz="4" w:space="0" w:color="auto"/>
            </w:tcBorders>
            <w:vAlign w:val="bottom"/>
            <w:hideMark/>
          </w:tcPr>
          <w:p w14:paraId="402D57B1" w14:textId="77777777" w:rsidR="00776316" w:rsidRDefault="00776316">
            <w:pPr>
              <w:jc w:val="right"/>
              <w:rPr>
                <w:sz w:val="16"/>
                <w:szCs w:val="16"/>
              </w:rPr>
            </w:pPr>
            <w:r>
              <w:rPr>
                <w:sz w:val="16"/>
                <w:szCs w:val="16"/>
              </w:rPr>
              <w:t>0.18</w:t>
            </w:r>
          </w:p>
        </w:tc>
        <w:tc>
          <w:tcPr>
            <w:tcW w:w="630" w:type="dxa"/>
            <w:tcBorders>
              <w:top w:val="single" w:sz="4" w:space="0" w:color="auto"/>
              <w:left w:val="single" w:sz="4" w:space="0" w:color="auto"/>
              <w:bottom w:val="single" w:sz="4" w:space="0" w:color="auto"/>
              <w:right w:val="single" w:sz="4" w:space="0" w:color="auto"/>
            </w:tcBorders>
            <w:vAlign w:val="bottom"/>
            <w:hideMark/>
          </w:tcPr>
          <w:p w14:paraId="268A040F" w14:textId="77777777" w:rsidR="00776316" w:rsidRDefault="00776316">
            <w:pPr>
              <w:jc w:val="right"/>
              <w:rPr>
                <w:sz w:val="16"/>
                <w:szCs w:val="16"/>
              </w:rPr>
            </w:pPr>
            <w:r>
              <w:rPr>
                <w:sz w:val="16"/>
                <w:szCs w:val="16"/>
              </w:rPr>
              <w:t>0.09</w:t>
            </w:r>
          </w:p>
        </w:tc>
        <w:tc>
          <w:tcPr>
            <w:tcW w:w="540" w:type="dxa"/>
            <w:tcBorders>
              <w:top w:val="single" w:sz="4" w:space="0" w:color="auto"/>
              <w:left w:val="single" w:sz="4" w:space="0" w:color="auto"/>
              <w:bottom w:val="single" w:sz="4" w:space="0" w:color="auto"/>
              <w:right w:val="single" w:sz="4" w:space="0" w:color="auto"/>
            </w:tcBorders>
            <w:vAlign w:val="bottom"/>
            <w:hideMark/>
          </w:tcPr>
          <w:p w14:paraId="17CA765D" w14:textId="77777777" w:rsidR="00776316" w:rsidRDefault="00776316">
            <w:pPr>
              <w:jc w:val="right"/>
              <w:rPr>
                <w:sz w:val="16"/>
                <w:szCs w:val="16"/>
              </w:rPr>
            </w:pPr>
            <w:r>
              <w:rPr>
                <w:sz w:val="16"/>
                <w:szCs w:val="16"/>
              </w:rPr>
              <w:t>0.05</w:t>
            </w:r>
          </w:p>
        </w:tc>
        <w:tc>
          <w:tcPr>
            <w:tcW w:w="630" w:type="dxa"/>
            <w:tcBorders>
              <w:top w:val="single" w:sz="4" w:space="0" w:color="auto"/>
              <w:left w:val="single" w:sz="4" w:space="0" w:color="auto"/>
              <w:bottom w:val="single" w:sz="4" w:space="0" w:color="auto"/>
              <w:right w:val="single" w:sz="4" w:space="0" w:color="auto"/>
            </w:tcBorders>
            <w:vAlign w:val="bottom"/>
            <w:hideMark/>
          </w:tcPr>
          <w:p w14:paraId="4D2B8921" w14:textId="77777777" w:rsidR="00776316" w:rsidRDefault="00776316">
            <w:pPr>
              <w:jc w:val="right"/>
              <w:rPr>
                <w:sz w:val="16"/>
                <w:szCs w:val="16"/>
              </w:rPr>
            </w:pPr>
            <w:r>
              <w:rPr>
                <w:sz w:val="16"/>
                <w:szCs w:val="16"/>
              </w:rPr>
              <w:t>0.02</w:t>
            </w:r>
          </w:p>
        </w:tc>
        <w:tc>
          <w:tcPr>
            <w:tcW w:w="540" w:type="dxa"/>
            <w:tcBorders>
              <w:top w:val="single" w:sz="4" w:space="0" w:color="auto"/>
              <w:left w:val="single" w:sz="4" w:space="0" w:color="auto"/>
              <w:bottom w:val="single" w:sz="4" w:space="0" w:color="auto"/>
              <w:right w:val="single" w:sz="4" w:space="0" w:color="auto"/>
            </w:tcBorders>
            <w:vAlign w:val="bottom"/>
            <w:hideMark/>
          </w:tcPr>
          <w:p w14:paraId="1A388B6F" w14:textId="77777777" w:rsidR="00776316" w:rsidRDefault="00776316">
            <w:pPr>
              <w:jc w:val="right"/>
              <w:rPr>
                <w:sz w:val="16"/>
                <w:szCs w:val="16"/>
              </w:rPr>
            </w:pPr>
            <w:r>
              <w:rPr>
                <w:sz w:val="16"/>
                <w:szCs w:val="16"/>
              </w:rPr>
              <w:t>0.04</w:t>
            </w:r>
          </w:p>
        </w:tc>
        <w:tc>
          <w:tcPr>
            <w:tcW w:w="540" w:type="dxa"/>
            <w:tcBorders>
              <w:top w:val="single" w:sz="4" w:space="0" w:color="auto"/>
              <w:left w:val="single" w:sz="4" w:space="0" w:color="auto"/>
              <w:bottom w:val="single" w:sz="4" w:space="0" w:color="auto"/>
              <w:right w:val="single" w:sz="4" w:space="0" w:color="auto"/>
            </w:tcBorders>
            <w:hideMark/>
          </w:tcPr>
          <w:p w14:paraId="0649F001" w14:textId="77777777" w:rsidR="00776316" w:rsidRDefault="00776316">
            <w:pPr>
              <w:jc w:val="right"/>
              <w:rPr>
                <w:sz w:val="16"/>
                <w:szCs w:val="16"/>
              </w:rPr>
            </w:pPr>
            <w:r>
              <w:rPr>
                <w:sz w:val="16"/>
                <w:szCs w:val="16"/>
              </w:rPr>
              <w:t>0.09</w:t>
            </w:r>
          </w:p>
        </w:tc>
        <w:tc>
          <w:tcPr>
            <w:tcW w:w="540" w:type="dxa"/>
            <w:tcBorders>
              <w:top w:val="single" w:sz="4" w:space="0" w:color="auto"/>
              <w:left w:val="single" w:sz="4" w:space="0" w:color="auto"/>
              <w:bottom w:val="single" w:sz="4" w:space="0" w:color="auto"/>
              <w:right w:val="single" w:sz="4" w:space="0" w:color="auto"/>
            </w:tcBorders>
            <w:hideMark/>
          </w:tcPr>
          <w:p w14:paraId="5D88FF33" w14:textId="77777777" w:rsidR="00776316" w:rsidRDefault="00776316">
            <w:pPr>
              <w:jc w:val="right"/>
              <w:rPr>
                <w:sz w:val="16"/>
                <w:szCs w:val="16"/>
              </w:rPr>
            </w:pPr>
            <w:r>
              <w:rPr>
                <w:sz w:val="16"/>
                <w:szCs w:val="16"/>
              </w:rPr>
              <w:t>0.14</w:t>
            </w:r>
          </w:p>
        </w:tc>
        <w:tc>
          <w:tcPr>
            <w:tcW w:w="540" w:type="dxa"/>
            <w:tcBorders>
              <w:top w:val="single" w:sz="4" w:space="0" w:color="auto"/>
              <w:left w:val="single" w:sz="4" w:space="0" w:color="auto"/>
              <w:bottom w:val="single" w:sz="4" w:space="0" w:color="auto"/>
              <w:right w:val="single" w:sz="4" w:space="0" w:color="auto"/>
            </w:tcBorders>
            <w:hideMark/>
          </w:tcPr>
          <w:p w14:paraId="6BB32124" w14:textId="77777777" w:rsidR="00776316" w:rsidRDefault="00776316">
            <w:pPr>
              <w:snapToGrid w:val="0"/>
              <w:jc w:val="right"/>
              <w:rPr>
                <w:sz w:val="16"/>
                <w:szCs w:val="16"/>
              </w:rPr>
            </w:pPr>
            <w:r>
              <w:rPr>
                <w:sz w:val="16"/>
                <w:szCs w:val="16"/>
              </w:rPr>
              <w:t>0.55</w:t>
            </w:r>
          </w:p>
        </w:tc>
        <w:tc>
          <w:tcPr>
            <w:tcW w:w="704" w:type="dxa"/>
            <w:tcBorders>
              <w:top w:val="single" w:sz="4" w:space="0" w:color="auto"/>
              <w:left w:val="single" w:sz="4" w:space="0" w:color="auto"/>
              <w:bottom w:val="single" w:sz="4" w:space="0" w:color="auto"/>
              <w:right w:val="single" w:sz="4" w:space="0" w:color="auto"/>
            </w:tcBorders>
            <w:hideMark/>
          </w:tcPr>
          <w:p w14:paraId="520B4535" w14:textId="77777777" w:rsidR="00776316" w:rsidRDefault="00776316">
            <w:pPr>
              <w:snapToGrid w:val="0"/>
              <w:rPr>
                <w:sz w:val="16"/>
                <w:szCs w:val="16"/>
              </w:rPr>
            </w:pPr>
            <w:r>
              <w:rPr>
                <w:sz w:val="16"/>
                <w:szCs w:val="16"/>
              </w:rPr>
              <w:t>0.85</w:t>
            </w:r>
          </w:p>
        </w:tc>
        <w:tc>
          <w:tcPr>
            <w:tcW w:w="630" w:type="dxa"/>
            <w:tcBorders>
              <w:top w:val="single" w:sz="4" w:space="0" w:color="auto"/>
              <w:left w:val="single" w:sz="4" w:space="0" w:color="auto"/>
              <w:bottom w:val="single" w:sz="4" w:space="0" w:color="auto"/>
              <w:right w:val="single" w:sz="4" w:space="0" w:color="auto"/>
            </w:tcBorders>
            <w:hideMark/>
          </w:tcPr>
          <w:p w14:paraId="156AE816" w14:textId="77777777" w:rsidR="00776316" w:rsidRDefault="00776316">
            <w:pPr>
              <w:snapToGrid w:val="0"/>
              <w:rPr>
                <w:sz w:val="16"/>
                <w:szCs w:val="16"/>
              </w:rPr>
            </w:pPr>
            <w:r>
              <w:rPr>
                <w:sz w:val="16"/>
                <w:szCs w:val="16"/>
              </w:rPr>
              <w:t>1.04</w:t>
            </w:r>
          </w:p>
        </w:tc>
        <w:tc>
          <w:tcPr>
            <w:tcW w:w="567" w:type="dxa"/>
            <w:tcBorders>
              <w:top w:val="single" w:sz="4" w:space="0" w:color="auto"/>
              <w:left w:val="single" w:sz="4" w:space="0" w:color="auto"/>
              <w:bottom w:val="single" w:sz="4" w:space="0" w:color="auto"/>
              <w:right w:val="single" w:sz="4" w:space="0" w:color="auto"/>
            </w:tcBorders>
            <w:hideMark/>
          </w:tcPr>
          <w:p w14:paraId="415641B3" w14:textId="77777777" w:rsidR="00776316" w:rsidRDefault="00776316">
            <w:pPr>
              <w:snapToGrid w:val="0"/>
              <w:rPr>
                <w:sz w:val="16"/>
                <w:szCs w:val="16"/>
              </w:rPr>
            </w:pPr>
            <w:r>
              <w:rPr>
                <w:sz w:val="16"/>
                <w:szCs w:val="16"/>
              </w:rPr>
              <w:t>0.31</w:t>
            </w:r>
          </w:p>
        </w:tc>
        <w:tc>
          <w:tcPr>
            <w:tcW w:w="591" w:type="dxa"/>
            <w:tcBorders>
              <w:top w:val="single" w:sz="4" w:space="0" w:color="auto"/>
              <w:left w:val="single" w:sz="4" w:space="0" w:color="auto"/>
              <w:bottom w:val="single" w:sz="4" w:space="0" w:color="auto"/>
              <w:right w:val="single" w:sz="4" w:space="0" w:color="auto"/>
            </w:tcBorders>
            <w:hideMark/>
          </w:tcPr>
          <w:p w14:paraId="2523423A" w14:textId="77777777" w:rsidR="00776316" w:rsidRDefault="00776316">
            <w:pPr>
              <w:snapToGrid w:val="0"/>
              <w:rPr>
                <w:sz w:val="16"/>
                <w:szCs w:val="16"/>
              </w:rPr>
            </w:pPr>
            <w:r>
              <w:rPr>
                <w:sz w:val="16"/>
                <w:szCs w:val="16"/>
              </w:rPr>
              <w:t>K/µL</w:t>
            </w:r>
          </w:p>
        </w:tc>
      </w:tr>
      <w:tr w:rsidR="00776316" w14:paraId="353D765B" w14:textId="77777777" w:rsidTr="00776316">
        <w:trPr>
          <w:trHeight w:val="210"/>
          <w:jc w:val="center"/>
        </w:trPr>
        <w:tc>
          <w:tcPr>
            <w:tcW w:w="1153" w:type="dxa"/>
            <w:tcBorders>
              <w:top w:val="single" w:sz="4" w:space="0" w:color="auto"/>
              <w:left w:val="single" w:sz="4" w:space="0" w:color="auto"/>
              <w:bottom w:val="single" w:sz="4" w:space="0" w:color="auto"/>
              <w:right w:val="single" w:sz="4" w:space="0" w:color="auto"/>
            </w:tcBorders>
            <w:hideMark/>
          </w:tcPr>
          <w:p w14:paraId="0EA64156" w14:textId="77777777" w:rsidR="00776316" w:rsidRDefault="00776316">
            <w:pPr>
              <w:rPr>
                <w:sz w:val="16"/>
                <w:szCs w:val="16"/>
              </w:rPr>
            </w:pPr>
            <w:r>
              <w:rPr>
                <w:sz w:val="16"/>
                <w:szCs w:val="16"/>
              </w:rPr>
              <w:t>IG%</w:t>
            </w:r>
          </w:p>
        </w:tc>
        <w:tc>
          <w:tcPr>
            <w:tcW w:w="673" w:type="dxa"/>
            <w:tcBorders>
              <w:top w:val="single" w:sz="4" w:space="0" w:color="auto"/>
              <w:left w:val="single" w:sz="4" w:space="0" w:color="auto"/>
              <w:bottom w:val="single" w:sz="4" w:space="0" w:color="auto"/>
              <w:right w:val="single" w:sz="4" w:space="0" w:color="auto"/>
            </w:tcBorders>
            <w:hideMark/>
          </w:tcPr>
          <w:p w14:paraId="1B252842" w14:textId="77777777" w:rsidR="00776316" w:rsidRDefault="00776316">
            <w:pPr>
              <w:jc w:val="right"/>
              <w:rPr>
                <w:sz w:val="16"/>
                <w:szCs w:val="16"/>
              </w:rPr>
            </w:pPr>
            <w:r>
              <w:rPr>
                <w:sz w:val="16"/>
                <w:szCs w:val="16"/>
              </w:rPr>
              <w:t>9.8</w:t>
            </w:r>
          </w:p>
        </w:tc>
        <w:tc>
          <w:tcPr>
            <w:tcW w:w="709" w:type="dxa"/>
            <w:tcBorders>
              <w:top w:val="single" w:sz="4" w:space="0" w:color="auto"/>
              <w:left w:val="single" w:sz="4" w:space="0" w:color="auto"/>
              <w:bottom w:val="single" w:sz="4" w:space="0" w:color="auto"/>
              <w:right w:val="single" w:sz="4" w:space="0" w:color="auto"/>
            </w:tcBorders>
            <w:hideMark/>
          </w:tcPr>
          <w:p w14:paraId="7B861F4D" w14:textId="77777777" w:rsidR="00776316" w:rsidRDefault="00776316">
            <w:pPr>
              <w:jc w:val="right"/>
              <w:rPr>
                <w:sz w:val="16"/>
                <w:szCs w:val="16"/>
              </w:rPr>
            </w:pPr>
            <w:r>
              <w:rPr>
                <w:sz w:val="16"/>
                <w:szCs w:val="16"/>
              </w:rPr>
              <w:t>12.9</w:t>
            </w:r>
          </w:p>
        </w:tc>
        <w:tc>
          <w:tcPr>
            <w:tcW w:w="623" w:type="dxa"/>
            <w:tcBorders>
              <w:top w:val="single" w:sz="4" w:space="0" w:color="auto"/>
              <w:left w:val="single" w:sz="4" w:space="0" w:color="auto"/>
              <w:bottom w:val="single" w:sz="4" w:space="0" w:color="auto"/>
              <w:right w:val="single" w:sz="4" w:space="0" w:color="auto"/>
            </w:tcBorders>
            <w:hideMark/>
          </w:tcPr>
          <w:p w14:paraId="636BB712" w14:textId="77777777" w:rsidR="00776316" w:rsidRDefault="00776316">
            <w:pPr>
              <w:jc w:val="right"/>
              <w:rPr>
                <w:sz w:val="16"/>
                <w:szCs w:val="16"/>
              </w:rPr>
            </w:pPr>
            <w:r>
              <w:rPr>
                <w:sz w:val="16"/>
                <w:szCs w:val="16"/>
              </w:rPr>
              <w:t>10.4</w:t>
            </w:r>
          </w:p>
        </w:tc>
        <w:tc>
          <w:tcPr>
            <w:tcW w:w="630" w:type="dxa"/>
            <w:tcBorders>
              <w:top w:val="single" w:sz="4" w:space="0" w:color="auto"/>
              <w:left w:val="single" w:sz="4" w:space="0" w:color="auto"/>
              <w:bottom w:val="single" w:sz="4" w:space="0" w:color="auto"/>
              <w:right w:val="single" w:sz="4" w:space="0" w:color="auto"/>
            </w:tcBorders>
            <w:hideMark/>
          </w:tcPr>
          <w:p w14:paraId="365B0F2C" w14:textId="77777777" w:rsidR="00776316" w:rsidRDefault="00776316">
            <w:pPr>
              <w:jc w:val="right"/>
              <w:rPr>
                <w:sz w:val="16"/>
                <w:szCs w:val="16"/>
              </w:rPr>
            </w:pPr>
            <w:r>
              <w:rPr>
                <w:sz w:val="16"/>
                <w:szCs w:val="16"/>
              </w:rPr>
              <w:t>5.4</w:t>
            </w:r>
          </w:p>
        </w:tc>
        <w:tc>
          <w:tcPr>
            <w:tcW w:w="630" w:type="dxa"/>
            <w:tcBorders>
              <w:top w:val="single" w:sz="4" w:space="0" w:color="auto"/>
              <w:left w:val="single" w:sz="4" w:space="0" w:color="auto"/>
              <w:bottom w:val="single" w:sz="4" w:space="0" w:color="auto"/>
              <w:right w:val="single" w:sz="4" w:space="0" w:color="auto"/>
            </w:tcBorders>
            <w:vAlign w:val="bottom"/>
            <w:hideMark/>
          </w:tcPr>
          <w:p w14:paraId="5E61D875" w14:textId="77777777" w:rsidR="00776316" w:rsidRDefault="00776316">
            <w:pPr>
              <w:jc w:val="right"/>
              <w:rPr>
                <w:sz w:val="16"/>
                <w:szCs w:val="16"/>
              </w:rPr>
            </w:pPr>
            <w:r>
              <w:rPr>
                <w:sz w:val="16"/>
                <w:szCs w:val="16"/>
              </w:rPr>
              <w:t>6.3</w:t>
            </w:r>
          </w:p>
        </w:tc>
        <w:tc>
          <w:tcPr>
            <w:tcW w:w="630" w:type="dxa"/>
            <w:tcBorders>
              <w:top w:val="single" w:sz="4" w:space="0" w:color="auto"/>
              <w:left w:val="single" w:sz="4" w:space="0" w:color="auto"/>
              <w:bottom w:val="single" w:sz="4" w:space="0" w:color="auto"/>
              <w:right w:val="single" w:sz="4" w:space="0" w:color="auto"/>
            </w:tcBorders>
            <w:vAlign w:val="bottom"/>
            <w:hideMark/>
          </w:tcPr>
          <w:p w14:paraId="6AB9F9A9" w14:textId="77777777" w:rsidR="00776316" w:rsidRDefault="00776316">
            <w:pPr>
              <w:jc w:val="right"/>
              <w:rPr>
                <w:sz w:val="16"/>
                <w:szCs w:val="16"/>
              </w:rPr>
            </w:pPr>
            <w:r>
              <w:rPr>
                <w:sz w:val="16"/>
                <w:szCs w:val="16"/>
              </w:rPr>
              <w:t>6.4</w:t>
            </w:r>
          </w:p>
        </w:tc>
        <w:tc>
          <w:tcPr>
            <w:tcW w:w="540" w:type="dxa"/>
            <w:tcBorders>
              <w:top w:val="single" w:sz="4" w:space="0" w:color="auto"/>
              <w:left w:val="single" w:sz="4" w:space="0" w:color="auto"/>
              <w:bottom w:val="single" w:sz="4" w:space="0" w:color="auto"/>
              <w:right w:val="single" w:sz="4" w:space="0" w:color="auto"/>
            </w:tcBorders>
            <w:vAlign w:val="bottom"/>
            <w:hideMark/>
          </w:tcPr>
          <w:p w14:paraId="7BABBD94" w14:textId="77777777" w:rsidR="00776316" w:rsidRDefault="00776316">
            <w:pPr>
              <w:jc w:val="right"/>
              <w:rPr>
                <w:sz w:val="16"/>
                <w:szCs w:val="16"/>
              </w:rPr>
            </w:pPr>
            <w:r>
              <w:rPr>
                <w:sz w:val="16"/>
                <w:szCs w:val="16"/>
              </w:rPr>
              <w:t>2.6</w:t>
            </w:r>
          </w:p>
        </w:tc>
        <w:tc>
          <w:tcPr>
            <w:tcW w:w="630" w:type="dxa"/>
            <w:tcBorders>
              <w:top w:val="single" w:sz="4" w:space="0" w:color="auto"/>
              <w:left w:val="single" w:sz="4" w:space="0" w:color="auto"/>
              <w:bottom w:val="single" w:sz="4" w:space="0" w:color="auto"/>
              <w:right w:val="single" w:sz="4" w:space="0" w:color="auto"/>
            </w:tcBorders>
            <w:vAlign w:val="bottom"/>
            <w:hideMark/>
          </w:tcPr>
          <w:p w14:paraId="0694DA45" w14:textId="77777777" w:rsidR="00776316" w:rsidRDefault="00776316">
            <w:pPr>
              <w:jc w:val="right"/>
              <w:rPr>
                <w:sz w:val="16"/>
                <w:szCs w:val="16"/>
              </w:rPr>
            </w:pPr>
            <w:r>
              <w:rPr>
                <w:sz w:val="16"/>
                <w:szCs w:val="16"/>
              </w:rPr>
              <w:t>1</w:t>
            </w:r>
          </w:p>
        </w:tc>
        <w:tc>
          <w:tcPr>
            <w:tcW w:w="540" w:type="dxa"/>
            <w:tcBorders>
              <w:top w:val="single" w:sz="4" w:space="0" w:color="auto"/>
              <w:left w:val="single" w:sz="4" w:space="0" w:color="auto"/>
              <w:bottom w:val="single" w:sz="4" w:space="0" w:color="auto"/>
              <w:right w:val="single" w:sz="4" w:space="0" w:color="auto"/>
            </w:tcBorders>
            <w:vAlign w:val="bottom"/>
            <w:hideMark/>
          </w:tcPr>
          <w:p w14:paraId="17863427" w14:textId="77777777" w:rsidR="00776316" w:rsidRDefault="00776316">
            <w:pPr>
              <w:jc w:val="right"/>
              <w:rPr>
                <w:sz w:val="16"/>
                <w:szCs w:val="16"/>
              </w:rPr>
            </w:pPr>
            <w:r>
              <w:rPr>
                <w:sz w:val="16"/>
                <w:szCs w:val="16"/>
              </w:rPr>
              <w:t>1.8</w:t>
            </w:r>
          </w:p>
        </w:tc>
        <w:tc>
          <w:tcPr>
            <w:tcW w:w="540" w:type="dxa"/>
            <w:tcBorders>
              <w:top w:val="single" w:sz="4" w:space="0" w:color="auto"/>
              <w:left w:val="single" w:sz="4" w:space="0" w:color="auto"/>
              <w:bottom w:val="single" w:sz="4" w:space="0" w:color="auto"/>
              <w:right w:val="single" w:sz="4" w:space="0" w:color="auto"/>
            </w:tcBorders>
            <w:hideMark/>
          </w:tcPr>
          <w:p w14:paraId="128B80A8" w14:textId="77777777" w:rsidR="00776316" w:rsidRDefault="00776316">
            <w:pPr>
              <w:jc w:val="right"/>
              <w:rPr>
                <w:sz w:val="16"/>
                <w:szCs w:val="16"/>
              </w:rPr>
            </w:pPr>
            <w:r>
              <w:rPr>
                <w:sz w:val="16"/>
                <w:szCs w:val="16"/>
              </w:rPr>
              <w:t>4.1</w:t>
            </w:r>
          </w:p>
        </w:tc>
        <w:tc>
          <w:tcPr>
            <w:tcW w:w="540" w:type="dxa"/>
            <w:tcBorders>
              <w:top w:val="single" w:sz="4" w:space="0" w:color="auto"/>
              <w:left w:val="single" w:sz="4" w:space="0" w:color="auto"/>
              <w:bottom w:val="single" w:sz="4" w:space="0" w:color="auto"/>
              <w:right w:val="single" w:sz="4" w:space="0" w:color="auto"/>
            </w:tcBorders>
            <w:hideMark/>
          </w:tcPr>
          <w:p w14:paraId="0CD36142" w14:textId="77777777" w:rsidR="00776316" w:rsidRDefault="00776316">
            <w:pPr>
              <w:jc w:val="right"/>
              <w:rPr>
                <w:sz w:val="16"/>
                <w:szCs w:val="16"/>
              </w:rPr>
            </w:pPr>
            <w:r>
              <w:rPr>
                <w:sz w:val="16"/>
                <w:szCs w:val="16"/>
              </w:rPr>
              <w:t>6.6</w:t>
            </w:r>
          </w:p>
        </w:tc>
        <w:tc>
          <w:tcPr>
            <w:tcW w:w="540" w:type="dxa"/>
            <w:tcBorders>
              <w:top w:val="single" w:sz="4" w:space="0" w:color="auto"/>
              <w:left w:val="single" w:sz="4" w:space="0" w:color="auto"/>
              <w:bottom w:val="single" w:sz="4" w:space="0" w:color="auto"/>
              <w:right w:val="single" w:sz="4" w:space="0" w:color="auto"/>
            </w:tcBorders>
            <w:hideMark/>
          </w:tcPr>
          <w:p w14:paraId="2446EB9B" w14:textId="77777777" w:rsidR="00776316" w:rsidRDefault="00776316">
            <w:pPr>
              <w:snapToGrid w:val="0"/>
              <w:jc w:val="right"/>
              <w:rPr>
                <w:sz w:val="16"/>
                <w:szCs w:val="16"/>
              </w:rPr>
            </w:pPr>
            <w:r>
              <w:rPr>
                <w:sz w:val="16"/>
                <w:szCs w:val="16"/>
              </w:rPr>
              <w:t>11.8</w:t>
            </w:r>
          </w:p>
        </w:tc>
        <w:tc>
          <w:tcPr>
            <w:tcW w:w="704" w:type="dxa"/>
            <w:tcBorders>
              <w:top w:val="single" w:sz="4" w:space="0" w:color="auto"/>
              <w:left w:val="single" w:sz="4" w:space="0" w:color="auto"/>
              <w:bottom w:val="single" w:sz="4" w:space="0" w:color="auto"/>
              <w:right w:val="single" w:sz="4" w:space="0" w:color="auto"/>
            </w:tcBorders>
            <w:hideMark/>
          </w:tcPr>
          <w:p w14:paraId="4FC96FDA" w14:textId="77777777" w:rsidR="00776316" w:rsidRDefault="00776316">
            <w:pPr>
              <w:snapToGrid w:val="0"/>
              <w:rPr>
                <w:sz w:val="16"/>
                <w:szCs w:val="16"/>
              </w:rPr>
            </w:pPr>
            <w:r>
              <w:rPr>
                <w:sz w:val="16"/>
                <w:szCs w:val="16"/>
              </w:rPr>
              <w:t>13.5</w:t>
            </w:r>
          </w:p>
        </w:tc>
        <w:tc>
          <w:tcPr>
            <w:tcW w:w="630" w:type="dxa"/>
            <w:tcBorders>
              <w:top w:val="single" w:sz="4" w:space="0" w:color="auto"/>
              <w:left w:val="single" w:sz="4" w:space="0" w:color="auto"/>
              <w:bottom w:val="single" w:sz="4" w:space="0" w:color="auto"/>
              <w:right w:val="single" w:sz="4" w:space="0" w:color="auto"/>
            </w:tcBorders>
            <w:hideMark/>
          </w:tcPr>
          <w:p w14:paraId="7DD4D02A" w14:textId="77777777" w:rsidR="00776316" w:rsidRDefault="00776316">
            <w:pPr>
              <w:snapToGrid w:val="0"/>
              <w:rPr>
                <w:sz w:val="16"/>
                <w:szCs w:val="16"/>
              </w:rPr>
            </w:pPr>
            <w:r>
              <w:rPr>
                <w:sz w:val="16"/>
                <w:szCs w:val="16"/>
              </w:rPr>
              <w:t>4.7</w:t>
            </w:r>
          </w:p>
        </w:tc>
        <w:tc>
          <w:tcPr>
            <w:tcW w:w="567" w:type="dxa"/>
            <w:tcBorders>
              <w:top w:val="single" w:sz="4" w:space="0" w:color="auto"/>
              <w:left w:val="single" w:sz="4" w:space="0" w:color="auto"/>
              <w:bottom w:val="single" w:sz="4" w:space="0" w:color="auto"/>
              <w:right w:val="single" w:sz="4" w:space="0" w:color="auto"/>
            </w:tcBorders>
            <w:hideMark/>
          </w:tcPr>
          <w:p w14:paraId="6842D085" w14:textId="77777777" w:rsidR="00776316" w:rsidRDefault="00776316">
            <w:pPr>
              <w:snapToGrid w:val="0"/>
              <w:rPr>
                <w:sz w:val="16"/>
                <w:szCs w:val="16"/>
              </w:rPr>
            </w:pPr>
            <w:r>
              <w:rPr>
                <w:sz w:val="16"/>
                <w:szCs w:val="16"/>
              </w:rPr>
              <w:t xml:space="preserve"> 7.6</w:t>
            </w:r>
          </w:p>
        </w:tc>
        <w:tc>
          <w:tcPr>
            <w:tcW w:w="591" w:type="dxa"/>
            <w:tcBorders>
              <w:top w:val="single" w:sz="4" w:space="0" w:color="auto"/>
              <w:left w:val="single" w:sz="4" w:space="0" w:color="auto"/>
              <w:bottom w:val="single" w:sz="4" w:space="0" w:color="auto"/>
              <w:right w:val="single" w:sz="4" w:space="0" w:color="auto"/>
            </w:tcBorders>
            <w:hideMark/>
          </w:tcPr>
          <w:p w14:paraId="6646627E" w14:textId="77777777" w:rsidR="00776316" w:rsidRDefault="00776316">
            <w:pPr>
              <w:snapToGrid w:val="0"/>
              <w:rPr>
                <w:sz w:val="16"/>
                <w:szCs w:val="16"/>
              </w:rPr>
            </w:pPr>
            <w:r>
              <w:rPr>
                <w:sz w:val="16"/>
                <w:szCs w:val="16"/>
              </w:rPr>
              <w:t xml:space="preserve">   %</w:t>
            </w:r>
          </w:p>
        </w:tc>
      </w:tr>
    </w:tbl>
    <w:p w14:paraId="11F26132" w14:textId="77777777" w:rsidR="00776316" w:rsidRDefault="00776316" w:rsidP="00776316">
      <w:pPr>
        <w:pStyle w:val="Body"/>
        <w:rPr>
          <w:rFonts w:ascii="Arial" w:eastAsia="Calibri" w:hAnsi="Arial" w:cs="Arial"/>
          <w:szCs w:val="22"/>
        </w:rPr>
      </w:pPr>
    </w:p>
    <w:p w14:paraId="1A87705E" w14:textId="77777777" w:rsidR="00776316" w:rsidRDefault="00E64077" w:rsidP="00776316">
      <w:pPr>
        <w:pStyle w:val="Body"/>
        <w:rPr>
          <w:rFonts w:ascii="Arial" w:eastAsia="Calibri" w:hAnsi="Arial" w:cs="Arial"/>
          <w:szCs w:val="22"/>
        </w:rPr>
      </w:pPr>
      <w:r>
        <w:rPr>
          <w:rFonts w:ascii="Arial" w:eastAsia="Calibri" w:hAnsi="Arial" w:cs="Arial"/>
          <w:szCs w:val="22"/>
        </w:rPr>
        <w:t>He started</w:t>
      </w:r>
      <w:r w:rsidR="00776316">
        <w:rPr>
          <w:rFonts w:ascii="Arial" w:eastAsia="Calibri" w:hAnsi="Arial" w:cs="Arial"/>
          <w:szCs w:val="22"/>
        </w:rPr>
        <w:t xml:space="preserve"> the first </w:t>
      </w:r>
      <w:proofErr w:type="spellStart"/>
      <w:r w:rsidR="00776316">
        <w:rPr>
          <w:rFonts w:ascii="Arial" w:eastAsia="Calibri" w:hAnsi="Arial" w:cs="Arial"/>
          <w:szCs w:val="22"/>
        </w:rPr>
        <w:t>venetoclax</w:t>
      </w:r>
      <w:proofErr w:type="spellEnd"/>
      <w:r w:rsidR="00776316">
        <w:rPr>
          <w:rFonts w:ascii="Arial" w:eastAsia="Calibri" w:hAnsi="Arial" w:cs="Arial"/>
          <w:szCs w:val="22"/>
        </w:rPr>
        <w:t xml:space="preserve"> cycle</w:t>
      </w:r>
      <w:r>
        <w:rPr>
          <w:rFonts w:ascii="Arial" w:eastAsia="Calibri" w:hAnsi="Arial" w:cs="Arial"/>
          <w:szCs w:val="22"/>
        </w:rPr>
        <w:t xml:space="preserve"> </w:t>
      </w:r>
      <w:r w:rsidR="00CA76A6">
        <w:rPr>
          <w:rFonts w:ascii="Arial" w:eastAsia="Calibri" w:hAnsi="Arial" w:cs="Arial"/>
          <w:szCs w:val="22"/>
        </w:rPr>
        <w:t xml:space="preserve">in a </w:t>
      </w:r>
      <w:proofErr w:type="spellStart"/>
      <w:r w:rsidR="00CA76A6">
        <w:rPr>
          <w:rFonts w:ascii="Arial" w:eastAsia="Calibri" w:hAnsi="Arial" w:cs="Arial"/>
          <w:szCs w:val="22"/>
        </w:rPr>
        <w:t>r</w:t>
      </w:r>
      <w:r>
        <w:rPr>
          <w:rFonts w:ascii="Arial" w:eastAsia="Calibri" w:hAnsi="Arial" w:cs="Arial"/>
          <w:szCs w:val="22"/>
        </w:rPr>
        <w:t>omanian</w:t>
      </w:r>
      <w:proofErr w:type="spellEnd"/>
      <w:r>
        <w:rPr>
          <w:rFonts w:ascii="Arial" w:eastAsia="Calibri" w:hAnsi="Arial" w:cs="Arial"/>
          <w:szCs w:val="22"/>
        </w:rPr>
        <w:t xml:space="preserve"> hospital. First day after the new elected major</w:t>
      </w:r>
      <w:r w:rsidR="003A2D7A">
        <w:rPr>
          <w:rFonts w:ascii="Arial" w:eastAsia="Calibri" w:hAnsi="Arial" w:cs="Arial"/>
          <w:szCs w:val="22"/>
        </w:rPr>
        <w:t xml:space="preserve"> and part of his staff</w:t>
      </w:r>
      <w:r w:rsidR="00CA76A6">
        <w:rPr>
          <w:rFonts w:ascii="Arial" w:eastAsia="Calibri" w:hAnsi="Arial" w:cs="Arial"/>
          <w:szCs w:val="22"/>
        </w:rPr>
        <w:t xml:space="preserve"> came </w:t>
      </w:r>
      <w:r w:rsidR="005910EB">
        <w:rPr>
          <w:rFonts w:ascii="Arial" w:eastAsia="Calibri" w:hAnsi="Arial" w:cs="Arial"/>
          <w:szCs w:val="22"/>
        </w:rPr>
        <w:t>to</w:t>
      </w:r>
      <w:r w:rsidR="00CA76A6">
        <w:rPr>
          <w:rFonts w:ascii="Arial" w:eastAsia="Calibri" w:hAnsi="Arial" w:cs="Arial"/>
          <w:szCs w:val="22"/>
        </w:rPr>
        <w:t xml:space="preserve"> the hospital on an inspection</w:t>
      </w:r>
      <w:r>
        <w:rPr>
          <w:rFonts w:ascii="Arial" w:eastAsia="Calibri" w:hAnsi="Arial" w:cs="Arial"/>
          <w:szCs w:val="22"/>
        </w:rPr>
        <w:t xml:space="preserve">, </w:t>
      </w:r>
      <w:r w:rsidR="00CA76A6">
        <w:rPr>
          <w:rFonts w:ascii="Arial" w:eastAsia="Calibri" w:hAnsi="Arial" w:cs="Arial"/>
          <w:szCs w:val="22"/>
        </w:rPr>
        <w:t>this being</w:t>
      </w:r>
      <w:r>
        <w:rPr>
          <w:rFonts w:ascii="Arial" w:eastAsia="Calibri" w:hAnsi="Arial" w:cs="Arial"/>
          <w:szCs w:val="22"/>
        </w:rPr>
        <w:t xml:space="preserve"> the 8</w:t>
      </w:r>
      <w:r w:rsidRPr="00E64077">
        <w:rPr>
          <w:rFonts w:ascii="Arial" w:eastAsia="Calibri" w:hAnsi="Arial" w:cs="Arial"/>
          <w:szCs w:val="22"/>
          <w:vertAlign w:val="superscript"/>
        </w:rPr>
        <w:t>th</w:t>
      </w:r>
      <w:r>
        <w:rPr>
          <w:rFonts w:ascii="Arial" w:eastAsia="Calibri" w:hAnsi="Arial" w:cs="Arial"/>
          <w:szCs w:val="22"/>
        </w:rPr>
        <w:t xml:space="preserve"> day </w:t>
      </w:r>
      <w:r w:rsidR="00CA76A6">
        <w:rPr>
          <w:rFonts w:ascii="Arial" w:eastAsia="Calibri" w:hAnsi="Arial" w:cs="Arial"/>
          <w:szCs w:val="22"/>
        </w:rPr>
        <w:t>of</w:t>
      </w:r>
      <w:r>
        <w:rPr>
          <w:rFonts w:ascii="Arial" w:eastAsia="Calibri" w:hAnsi="Arial" w:cs="Arial"/>
          <w:szCs w:val="22"/>
        </w:rPr>
        <w:t xml:space="preserve"> </w:t>
      </w:r>
      <w:r w:rsidR="006313BA">
        <w:rPr>
          <w:rFonts w:ascii="Arial" w:eastAsia="Calibri" w:hAnsi="Arial" w:cs="Arial"/>
          <w:szCs w:val="22"/>
        </w:rPr>
        <w:t>the patient</w:t>
      </w:r>
      <w:r w:rsidR="00CA76A6">
        <w:rPr>
          <w:rFonts w:ascii="Arial" w:eastAsia="Calibri" w:hAnsi="Arial" w:cs="Arial"/>
          <w:szCs w:val="22"/>
        </w:rPr>
        <w:t>’s</w:t>
      </w:r>
      <w:r w:rsidR="006313BA">
        <w:rPr>
          <w:rFonts w:ascii="Arial" w:eastAsia="Calibri" w:hAnsi="Arial" w:cs="Arial"/>
          <w:szCs w:val="22"/>
        </w:rPr>
        <w:t xml:space="preserve"> </w:t>
      </w:r>
      <w:r w:rsidR="00CA76A6">
        <w:rPr>
          <w:rFonts w:ascii="Arial" w:eastAsia="Calibri" w:hAnsi="Arial" w:cs="Arial"/>
          <w:szCs w:val="22"/>
        </w:rPr>
        <w:t xml:space="preserve">hospitalization </w:t>
      </w:r>
      <w:r w:rsidR="00796024">
        <w:rPr>
          <w:rFonts w:ascii="Arial" w:eastAsia="Calibri" w:hAnsi="Arial" w:cs="Arial"/>
          <w:szCs w:val="22"/>
        </w:rPr>
        <w:t>there</w:t>
      </w:r>
      <w:r>
        <w:rPr>
          <w:rFonts w:ascii="Arial" w:eastAsia="Calibri" w:hAnsi="Arial" w:cs="Arial"/>
          <w:szCs w:val="22"/>
        </w:rPr>
        <w:t xml:space="preserve">, </w:t>
      </w:r>
      <w:r w:rsidR="006313BA">
        <w:rPr>
          <w:rFonts w:ascii="Arial" w:eastAsia="Calibri" w:hAnsi="Arial" w:cs="Arial"/>
          <w:szCs w:val="22"/>
        </w:rPr>
        <w:t>his</w:t>
      </w:r>
      <w:r w:rsidRPr="003A2D7A">
        <w:rPr>
          <w:rFonts w:ascii="Arial" w:eastAsia="Calibri" w:hAnsi="Arial" w:cs="Arial"/>
          <w:szCs w:val="22"/>
        </w:rPr>
        <w:t xml:space="preserve"> antigen test</w:t>
      </w:r>
      <w:r>
        <w:rPr>
          <w:rFonts w:ascii="Arial" w:eastAsia="Calibri" w:hAnsi="Arial" w:cs="Arial"/>
          <w:szCs w:val="22"/>
        </w:rPr>
        <w:t xml:space="preserve"> was still negative. Even though, he </w:t>
      </w:r>
      <w:r w:rsidR="003A2D7A">
        <w:rPr>
          <w:rFonts w:ascii="Arial" w:eastAsia="Calibri" w:hAnsi="Arial" w:cs="Arial"/>
          <w:szCs w:val="22"/>
        </w:rPr>
        <w:t xml:space="preserve">started </w:t>
      </w:r>
      <w:r w:rsidR="006313BA">
        <w:rPr>
          <w:rFonts w:ascii="Arial" w:eastAsia="Calibri" w:hAnsi="Arial" w:cs="Arial"/>
          <w:szCs w:val="22"/>
        </w:rPr>
        <w:t>developing</w:t>
      </w:r>
      <w:r>
        <w:rPr>
          <w:rFonts w:ascii="Arial" w:eastAsia="Calibri" w:hAnsi="Arial" w:cs="Arial"/>
          <w:szCs w:val="22"/>
        </w:rPr>
        <w:t xml:space="preserve"> fever and he was isolated along with 2 new patients. While still being hospitalized there, the </w:t>
      </w:r>
      <w:r w:rsidRPr="00E64077">
        <w:rPr>
          <w:rFonts w:ascii="Arial" w:eastAsia="Calibri" w:hAnsi="Arial" w:cs="Arial"/>
          <w:szCs w:val="22"/>
        </w:rPr>
        <w:t>10</w:t>
      </w:r>
      <w:r w:rsidRPr="00E64077">
        <w:rPr>
          <w:rFonts w:ascii="Arial" w:eastAsia="Calibri" w:hAnsi="Arial" w:cs="Arial"/>
          <w:szCs w:val="22"/>
          <w:vertAlign w:val="superscript"/>
        </w:rPr>
        <w:t>th</w:t>
      </w:r>
      <w:r>
        <w:rPr>
          <w:rFonts w:ascii="Arial" w:eastAsia="Calibri" w:hAnsi="Arial" w:cs="Arial"/>
          <w:szCs w:val="22"/>
        </w:rPr>
        <w:t xml:space="preserve"> day </w:t>
      </w:r>
      <w:r w:rsidR="00776316">
        <w:rPr>
          <w:rFonts w:ascii="Arial" w:eastAsia="Calibri" w:hAnsi="Arial" w:cs="Arial"/>
          <w:szCs w:val="22"/>
        </w:rPr>
        <w:t>he started showing less common COVID-19 symptoms such</w:t>
      </w:r>
      <w:r w:rsidR="00CA76A6">
        <w:rPr>
          <w:rFonts w:ascii="Arial" w:eastAsia="Calibri" w:hAnsi="Arial" w:cs="Arial"/>
          <w:szCs w:val="22"/>
        </w:rPr>
        <w:t xml:space="preserve"> as hemoptysis (see [5</w:t>
      </w:r>
      <w:r w:rsidR="00776316">
        <w:rPr>
          <w:rFonts w:ascii="Arial" w:eastAsia="Calibri" w:hAnsi="Arial" w:cs="Arial"/>
          <w:szCs w:val="22"/>
        </w:rPr>
        <w:t>]), his blood oxygen level dropp</w:t>
      </w:r>
      <w:r>
        <w:rPr>
          <w:rFonts w:ascii="Arial" w:eastAsia="Calibri" w:hAnsi="Arial" w:cs="Arial"/>
          <w:szCs w:val="22"/>
        </w:rPr>
        <w:t>ing</w:t>
      </w:r>
      <w:r w:rsidR="00776316">
        <w:rPr>
          <w:rFonts w:ascii="Arial" w:eastAsia="Calibri" w:hAnsi="Arial" w:cs="Arial"/>
          <w:szCs w:val="22"/>
        </w:rPr>
        <w:t xml:space="preserve"> below 95% </w:t>
      </w:r>
      <w:r w:rsidR="00776316">
        <w:rPr>
          <w:rFonts w:ascii="Arial" w:eastAsia="Calibri" w:hAnsi="Arial" w:cs="Arial"/>
          <w:szCs w:val="22"/>
        </w:rPr>
        <w:lastRenderedPageBreak/>
        <w:t xml:space="preserve">and 3 days later he was diagnosed with COVID-19 </w:t>
      </w:r>
      <w:r w:rsidR="00776316" w:rsidRPr="00E64077">
        <w:rPr>
          <w:rFonts w:ascii="Arial" w:eastAsia="Calibri" w:hAnsi="Arial" w:cs="Arial"/>
          <w:szCs w:val="22"/>
        </w:rPr>
        <w:t>after taking the antigen test followed by a Real Time PCR</w:t>
      </w:r>
      <w:r w:rsidR="00776316">
        <w:rPr>
          <w:rFonts w:ascii="Arial" w:eastAsia="Calibri" w:hAnsi="Arial" w:cs="Arial"/>
          <w:szCs w:val="22"/>
        </w:rPr>
        <w:t xml:space="preserve">. </w:t>
      </w:r>
      <w:r w:rsidR="00CA76A6">
        <w:rPr>
          <w:rFonts w:ascii="Arial" w:eastAsia="Calibri" w:hAnsi="Arial" w:cs="Arial"/>
          <w:szCs w:val="22"/>
        </w:rPr>
        <w:t xml:space="preserve">The hospital had a screening process, all future patients had to pass the antigen </w:t>
      </w:r>
      <w:r w:rsidR="00997B2D">
        <w:rPr>
          <w:rFonts w:ascii="Arial" w:eastAsia="Calibri" w:hAnsi="Arial" w:cs="Arial"/>
          <w:szCs w:val="22"/>
        </w:rPr>
        <w:t>and RT-PCR tests</w:t>
      </w:r>
      <w:r w:rsidR="00CA76A6">
        <w:rPr>
          <w:rFonts w:ascii="Arial" w:eastAsia="Calibri" w:hAnsi="Arial" w:cs="Arial"/>
          <w:szCs w:val="22"/>
        </w:rPr>
        <w:t xml:space="preserve"> in order to be admitted</w:t>
      </w:r>
      <w:r w:rsidR="00997B2D">
        <w:rPr>
          <w:rFonts w:ascii="Arial" w:eastAsia="Calibri" w:hAnsi="Arial" w:cs="Arial"/>
          <w:szCs w:val="22"/>
        </w:rPr>
        <w:t xml:space="preserve">; </w:t>
      </w:r>
      <w:r w:rsidR="00CA76A6">
        <w:rPr>
          <w:rFonts w:ascii="Arial" w:eastAsia="Calibri" w:hAnsi="Arial" w:cs="Arial"/>
          <w:szCs w:val="22"/>
        </w:rPr>
        <w:t xml:space="preserve">as studies show the </w:t>
      </w:r>
      <w:r w:rsidR="00997B2D">
        <w:rPr>
          <w:rFonts w:ascii="Arial" w:eastAsia="Calibri" w:hAnsi="Arial" w:cs="Arial"/>
          <w:szCs w:val="22"/>
        </w:rPr>
        <w:t xml:space="preserve">antigen </w:t>
      </w:r>
      <w:r w:rsidR="00CA76A6">
        <w:rPr>
          <w:rFonts w:ascii="Arial" w:eastAsia="Calibri" w:hAnsi="Arial" w:cs="Arial"/>
          <w:szCs w:val="22"/>
        </w:rPr>
        <w:t>tests sensitivity is only 73% in symptomatic patients and 54,7% in non-symptomatic</w:t>
      </w:r>
      <w:r w:rsidR="00997B2D">
        <w:rPr>
          <w:rFonts w:ascii="Arial" w:eastAsia="Calibri" w:hAnsi="Arial" w:cs="Arial"/>
          <w:szCs w:val="22"/>
        </w:rPr>
        <w:t xml:space="preserve"> whereas the RT-PCR’s confidence interval is 95</w:t>
      </w:r>
      <w:proofErr w:type="gramStart"/>
      <w:r w:rsidR="00997B2D">
        <w:rPr>
          <w:rFonts w:ascii="Arial" w:eastAsia="Calibri" w:hAnsi="Arial" w:cs="Arial"/>
          <w:szCs w:val="22"/>
        </w:rPr>
        <w:t xml:space="preserve">% </w:t>
      </w:r>
      <w:r w:rsidR="005910EB">
        <w:rPr>
          <w:rFonts w:ascii="Arial" w:eastAsia="Calibri" w:hAnsi="Arial" w:cs="Arial"/>
          <w:szCs w:val="22"/>
        </w:rPr>
        <w:t xml:space="preserve"> (</w:t>
      </w:r>
      <w:proofErr w:type="gramEnd"/>
      <w:r w:rsidR="005910EB">
        <w:rPr>
          <w:rFonts w:ascii="Arial" w:eastAsia="Calibri" w:hAnsi="Arial" w:cs="Arial"/>
          <w:szCs w:val="22"/>
        </w:rPr>
        <w:t>[6])</w:t>
      </w:r>
      <w:r w:rsidR="00CA76A6">
        <w:rPr>
          <w:rFonts w:ascii="Arial" w:eastAsia="Calibri" w:hAnsi="Arial" w:cs="Arial"/>
          <w:szCs w:val="22"/>
        </w:rPr>
        <w:t>.</w:t>
      </w:r>
      <w:r w:rsidR="00997B2D">
        <w:rPr>
          <w:rFonts w:ascii="Arial" w:eastAsia="Calibri" w:hAnsi="Arial" w:cs="Arial"/>
          <w:szCs w:val="22"/>
        </w:rPr>
        <w:t xml:space="preserve"> The above proves the patient acquired the SARS-CoV-2 in the hospital. </w:t>
      </w:r>
      <w:r w:rsidR="00776316">
        <w:rPr>
          <w:rFonts w:ascii="Arial" w:eastAsia="Calibri" w:hAnsi="Arial" w:cs="Arial"/>
          <w:szCs w:val="22"/>
        </w:rPr>
        <w:t>Hemoptysis was followed</w:t>
      </w:r>
      <w:r>
        <w:rPr>
          <w:rFonts w:ascii="Arial" w:eastAsia="Calibri" w:hAnsi="Arial" w:cs="Arial"/>
          <w:szCs w:val="22"/>
        </w:rPr>
        <w:t xml:space="preserve"> by brain fog and extreme fatigue</w:t>
      </w:r>
      <w:r w:rsidR="00776316">
        <w:rPr>
          <w:rFonts w:ascii="Arial" w:eastAsia="Calibri" w:hAnsi="Arial" w:cs="Arial"/>
          <w:szCs w:val="22"/>
        </w:rPr>
        <w:t xml:space="preserve"> starting day 6 </w:t>
      </w:r>
      <w:r>
        <w:rPr>
          <w:rFonts w:ascii="Arial" w:eastAsia="Calibri" w:hAnsi="Arial" w:cs="Arial"/>
          <w:szCs w:val="22"/>
        </w:rPr>
        <w:t>of his COVID-19 infection</w:t>
      </w:r>
      <w:r w:rsidR="00776316">
        <w:rPr>
          <w:rFonts w:ascii="Arial" w:eastAsia="Calibri" w:hAnsi="Arial" w:cs="Arial"/>
          <w:szCs w:val="22"/>
        </w:rPr>
        <w:t>.</w:t>
      </w:r>
      <w:r>
        <w:rPr>
          <w:rFonts w:ascii="Arial" w:eastAsia="Calibri" w:hAnsi="Arial" w:cs="Arial"/>
          <w:szCs w:val="22"/>
        </w:rPr>
        <w:t xml:space="preserve"> </w:t>
      </w:r>
      <w:r w:rsidR="00776316">
        <w:rPr>
          <w:rFonts w:ascii="Arial" w:eastAsia="Calibri" w:hAnsi="Arial" w:cs="Arial"/>
          <w:szCs w:val="22"/>
        </w:rPr>
        <w:t xml:space="preserve">The patient was moved to another Romanian hospital designated for COVID-19 </w:t>
      </w:r>
      <w:r>
        <w:rPr>
          <w:rFonts w:ascii="Arial" w:eastAsia="Calibri" w:hAnsi="Arial" w:cs="Arial"/>
          <w:szCs w:val="22"/>
        </w:rPr>
        <w:t>in addition to being</w:t>
      </w:r>
      <w:r w:rsidR="00776316">
        <w:rPr>
          <w:rFonts w:ascii="Arial" w:eastAsia="Calibri" w:hAnsi="Arial" w:cs="Arial"/>
          <w:szCs w:val="22"/>
        </w:rPr>
        <w:t xml:space="preserve"> specialized in leukemia</w:t>
      </w:r>
      <w:r w:rsidR="003A2D7A">
        <w:rPr>
          <w:rFonts w:ascii="Arial" w:eastAsia="Calibri" w:hAnsi="Arial" w:cs="Arial"/>
          <w:szCs w:val="22"/>
        </w:rPr>
        <w:t xml:space="preserve"> treatment</w:t>
      </w:r>
      <w:r w:rsidR="00776316">
        <w:rPr>
          <w:rFonts w:ascii="Arial" w:eastAsia="Calibri" w:hAnsi="Arial" w:cs="Arial"/>
          <w:szCs w:val="22"/>
        </w:rPr>
        <w:t xml:space="preserve">. There he </w:t>
      </w:r>
      <w:r>
        <w:rPr>
          <w:rFonts w:ascii="Arial" w:eastAsia="Calibri" w:hAnsi="Arial" w:cs="Arial"/>
          <w:szCs w:val="22"/>
        </w:rPr>
        <w:t xml:space="preserve">received </w:t>
      </w:r>
      <w:r w:rsidR="00776316">
        <w:rPr>
          <w:rFonts w:ascii="Arial" w:eastAsia="Calibri" w:hAnsi="Arial" w:cs="Arial"/>
          <w:szCs w:val="22"/>
        </w:rPr>
        <w:t>the remdesivi</w:t>
      </w:r>
      <w:r w:rsidR="006221AA">
        <w:rPr>
          <w:rFonts w:ascii="Arial" w:eastAsia="Calibri" w:hAnsi="Arial" w:cs="Arial"/>
          <w:szCs w:val="22"/>
        </w:rPr>
        <w:t>r treatment for COVID-19 (see [7</w:t>
      </w:r>
      <w:r w:rsidR="00776316">
        <w:rPr>
          <w:rFonts w:ascii="Arial" w:eastAsia="Calibri" w:hAnsi="Arial" w:cs="Arial"/>
          <w:szCs w:val="22"/>
        </w:rPr>
        <w:t xml:space="preserve">]) in combination with doxycycline, </w:t>
      </w:r>
      <w:proofErr w:type="spellStart"/>
      <w:r>
        <w:rPr>
          <w:rFonts w:ascii="Arial" w:eastAsia="Calibri" w:hAnsi="Arial" w:cs="Arial"/>
          <w:szCs w:val="22"/>
        </w:rPr>
        <w:t>variconazal</w:t>
      </w:r>
      <w:proofErr w:type="spellEnd"/>
      <w:r>
        <w:rPr>
          <w:rFonts w:ascii="Arial" w:eastAsia="Calibri" w:hAnsi="Arial" w:cs="Arial"/>
          <w:szCs w:val="22"/>
        </w:rPr>
        <w:t xml:space="preserve">, </w:t>
      </w:r>
      <w:proofErr w:type="spellStart"/>
      <w:r w:rsidR="00776316">
        <w:rPr>
          <w:rFonts w:ascii="Arial" w:eastAsia="Calibri" w:hAnsi="Arial" w:cs="Arial"/>
          <w:szCs w:val="22"/>
        </w:rPr>
        <w:t>sumetrolim</w:t>
      </w:r>
      <w:proofErr w:type="spellEnd"/>
      <w:r w:rsidR="00776316">
        <w:rPr>
          <w:rFonts w:ascii="Arial" w:eastAsia="Calibri" w:hAnsi="Arial" w:cs="Arial"/>
          <w:szCs w:val="22"/>
        </w:rPr>
        <w:t xml:space="preserve"> (to prevent fungal infections), furosemide (to av</w:t>
      </w:r>
      <w:r>
        <w:rPr>
          <w:rFonts w:ascii="Arial" w:eastAsia="Calibri" w:hAnsi="Arial" w:cs="Arial"/>
          <w:szCs w:val="22"/>
        </w:rPr>
        <w:t>oid tumor lysis syndrome - TLS), acyclovir (to prevent viral infections)</w:t>
      </w:r>
      <w:r w:rsidR="003A2D7A">
        <w:rPr>
          <w:rFonts w:ascii="Arial" w:eastAsia="Calibri" w:hAnsi="Arial" w:cs="Arial"/>
          <w:szCs w:val="22"/>
        </w:rPr>
        <w:t xml:space="preserve">. He </w:t>
      </w:r>
      <w:r w:rsidR="00776316" w:rsidRPr="003A2D7A">
        <w:rPr>
          <w:rFonts w:ascii="Arial" w:eastAsia="Calibri" w:hAnsi="Arial" w:cs="Arial"/>
          <w:szCs w:val="22"/>
        </w:rPr>
        <w:t xml:space="preserve">continued </w:t>
      </w:r>
      <w:r w:rsidR="003A2D7A" w:rsidRPr="003A2D7A">
        <w:rPr>
          <w:rFonts w:ascii="Arial" w:eastAsia="Calibri" w:hAnsi="Arial" w:cs="Arial"/>
          <w:szCs w:val="22"/>
        </w:rPr>
        <w:t xml:space="preserve">receiving </w:t>
      </w:r>
      <w:r w:rsidR="00776316" w:rsidRPr="003A2D7A">
        <w:rPr>
          <w:rFonts w:ascii="Arial" w:eastAsia="Calibri" w:hAnsi="Arial" w:cs="Arial"/>
          <w:szCs w:val="22"/>
        </w:rPr>
        <w:t xml:space="preserve">the </w:t>
      </w:r>
      <w:proofErr w:type="spellStart"/>
      <w:r w:rsidR="00776316" w:rsidRPr="003A2D7A">
        <w:rPr>
          <w:rFonts w:ascii="Arial" w:eastAsia="Calibri" w:hAnsi="Arial" w:cs="Arial"/>
          <w:szCs w:val="22"/>
        </w:rPr>
        <w:t>venetoclax</w:t>
      </w:r>
      <w:proofErr w:type="spellEnd"/>
      <w:r w:rsidR="00776316" w:rsidRPr="003A2D7A">
        <w:rPr>
          <w:rFonts w:ascii="Arial" w:eastAsia="Calibri" w:hAnsi="Arial" w:cs="Arial"/>
          <w:szCs w:val="22"/>
        </w:rPr>
        <w:t xml:space="preserve"> - kept at 100 mg tablet daily dose</w:t>
      </w:r>
      <w:r w:rsidR="00776316">
        <w:rPr>
          <w:rFonts w:ascii="Arial" w:eastAsia="Calibri" w:hAnsi="Arial" w:cs="Arial"/>
          <w:szCs w:val="22"/>
        </w:rPr>
        <w:t xml:space="preserve"> </w:t>
      </w:r>
      <w:r w:rsidR="003A2D7A">
        <w:rPr>
          <w:rFonts w:ascii="Arial" w:eastAsia="Calibri" w:hAnsi="Arial" w:cs="Arial"/>
          <w:szCs w:val="22"/>
        </w:rPr>
        <w:t>– in order</w:t>
      </w:r>
      <w:r w:rsidR="00776316">
        <w:rPr>
          <w:rFonts w:ascii="Arial" w:eastAsia="Calibri" w:hAnsi="Arial" w:cs="Arial"/>
          <w:szCs w:val="22"/>
        </w:rPr>
        <w:t xml:space="preserve"> to try to maintain a balance </w:t>
      </w:r>
      <w:r w:rsidR="003A2D7A">
        <w:rPr>
          <w:rFonts w:ascii="Arial" w:eastAsia="Calibri" w:hAnsi="Arial" w:cs="Arial"/>
          <w:szCs w:val="22"/>
        </w:rPr>
        <w:t xml:space="preserve">in </w:t>
      </w:r>
      <w:r w:rsidR="00776316">
        <w:rPr>
          <w:rFonts w:ascii="Arial" w:eastAsia="Calibri" w:hAnsi="Arial" w:cs="Arial"/>
          <w:szCs w:val="22"/>
        </w:rPr>
        <w:t>protect</w:t>
      </w:r>
      <w:r w:rsidR="003A2D7A">
        <w:rPr>
          <w:rFonts w:ascii="Arial" w:eastAsia="Calibri" w:hAnsi="Arial" w:cs="Arial"/>
          <w:szCs w:val="22"/>
        </w:rPr>
        <w:t>ing</w:t>
      </w:r>
      <w:r w:rsidR="00776316">
        <w:rPr>
          <w:rFonts w:ascii="Arial" w:eastAsia="Calibri" w:hAnsi="Arial" w:cs="Arial"/>
          <w:szCs w:val="22"/>
        </w:rPr>
        <w:t xml:space="preserve"> the patient’s weakened heart while fighting against both </w:t>
      </w:r>
      <w:r w:rsidR="003A2D7A">
        <w:rPr>
          <w:rFonts w:ascii="Arial" w:eastAsia="Calibri" w:hAnsi="Arial" w:cs="Arial"/>
          <w:szCs w:val="22"/>
        </w:rPr>
        <w:t>AML and COVID-19</w:t>
      </w:r>
      <w:r w:rsidR="00776316">
        <w:rPr>
          <w:rFonts w:ascii="Arial" w:eastAsia="Calibri" w:hAnsi="Arial" w:cs="Arial"/>
          <w:szCs w:val="22"/>
        </w:rPr>
        <w:t xml:space="preserve">. Meanwhile, he also received </w:t>
      </w:r>
      <w:r w:rsidR="003A2D7A">
        <w:rPr>
          <w:rFonts w:ascii="Arial" w:eastAsia="Calibri" w:hAnsi="Arial" w:cs="Arial"/>
          <w:szCs w:val="22"/>
        </w:rPr>
        <w:t xml:space="preserve">oxygen and </w:t>
      </w:r>
      <w:r w:rsidR="00776316">
        <w:rPr>
          <w:rFonts w:ascii="Arial" w:eastAsia="Calibri" w:hAnsi="Arial" w:cs="Arial"/>
          <w:szCs w:val="22"/>
        </w:rPr>
        <w:t xml:space="preserve">dexamethasone to </w:t>
      </w:r>
      <w:r w:rsidR="003A2D7A">
        <w:rPr>
          <w:rFonts w:ascii="Arial" w:eastAsia="Calibri" w:hAnsi="Arial" w:cs="Arial"/>
          <w:szCs w:val="22"/>
        </w:rPr>
        <w:t xml:space="preserve">protect the respiratory function. The patient’s condition improved after the 8th day and he </w:t>
      </w:r>
      <w:r w:rsidR="00776316">
        <w:rPr>
          <w:rFonts w:ascii="Arial" w:eastAsia="Calibri" w:hAnsi="Arial" w:cs="Arial"/>
          <w:szCs w:val="22"/>
        </w:rPr>
        <w:t xml:space="preserve">lived beyond the critical days of the evolution of SARS-CoV-2 infection. </w:t>
      </w:r>
      <w:r w:rsidR="003A2D7A">
        <w:rPr>
          <w:rFonts w:ascii="Arial" w:eastAsia="Calibri" w:hAnsi="Arial" w:cs="Arial"/>
          <w:szCs w:val="22"/>
        </w:rPr>
        <w:t>Nevertheless</w:t>
      </w:r>
      <w:r w:rsidR="00776316">
        <w:rPr>
          <w:rFonts w:ascii="Arial" w:eastAsia="Calibri" w:hAnsi="Arial" w:cs="Arial"/>
          <w:szCs w:val="22"/>
        </w:rPr>
        <w:t xml:space="preserve">, </w:t>
      </w:r>
      <w:r w:rsidR="003A2D7A">
        <w:rPr>
          <w:rFonts w:ascii="Arial" w:eastAsia="Calibri" w:hAnsi="Arial" w:cs="Arial"/>
          <w:szCs w:val="22"/>
        </w:rPr>
        <w:t xml:space="preserve">as </w:t>
      </w:r>
      <w:r w:rsidR="00776316">
        <w:rPr>
          <w:rFonts w:ascii="Arial" w:eastAsia="Calibri" w:hAnsi="Arial" w:cs="Arial"/>
          <w:szCs w:val="22"/>
        </w:rPr>
        <w:t>the COVID</w:t>
      </w:r>
      <w:r w:rsidR="00805A31">
        <w:rPr>
          <w:rFonts w:ascii="Arial" w:eastAsia="Calibri" w:hAnsi="Arial" w:cs="Arial"/>
          <w:szCs w:val="22"/>
        </w:rPr>
        <w:t>-19 pneumonia</w:t>
      </w:r>
      <w:r w:rsidR="003A2D7A">
        <w:rPr>
          <w:rFonts w:ascii="Arial" w:eastAsia="Calibri" w:hAnsi="Arial" w:cs="Arial"/>
          <w:szCs w:val="22"/>
        </w:rPr>
        <w:t xml:space="preserve"> does not heal in</w:t>
      </w:r>
      <w:r w:rsidR="00776316">
        <w:rPr>
          <w:rFonts w:ascii="Arial" w:eastAsia="Calibri" w:hAnsi="Arial" w:cs="Arial"/>
          <w:szCs w:val="22"/>
        </w:rPr>
        <w:t>14 days, the Post Covid Syndrome</w:t>
      </w:r>
      <w:r w:rsidR="003A2D7A">
        <w:rPr>
          <w:rFonts w:ascii="Arial" w:eastAsia="Calibri" w:hAnsi="Arial" w:cs="Arial"/>
          <w:szCs w:val="22"/>
        </w:rPr>
        <w:t xml:space="preserve"> (the lungs sequel)</w:t>
      </w:r>
      <w:r w:rsidR="006221AA">
        <w:rPr>
          <w:rFonts w:ascii="Arial" w:eastAsia="Calibri" w:hAnsi="Arial" w:cs="Arial"/>
          <w:szCs w:val="22"/>
        </w:rPr>
        <w:t xml:space="preserve"> persisted (see [8] and [9</w:t>
      </w:r>
      <w:r w:rsidR="00776316">
        <w:rPr>
          <w:rFonts w:ascii="Arial" w:eastAsia="Calibri" w:hAnsi="Arial" w:cs="Arial"/>
          <w:szCs w:val="22"/>
        </w:rPr>
        <w:t xml:space="preserve">]). </w:t>
      </w:r>
      <w:r w:rsidR="003A2D7A">
        <w:rPr>
          <w:rFonts w:ascii="Arial" w:eastAsia="Calibri" w:hAnsi="Arial" w:cs="Arial"/>
          <w:szCs w:val="22"/>
        </w:rPr>
        <w:t xml:space="preserve">After an almost 3 weeks struggle, </w:t>
      </w:r>
      <w:r w:rsidR="00776316">
        <w:rPr>
          <w:rFonts w:ascii="Arial" w:eastAsia="Calibri" w:hAnsi="Arial" w:cs="Arial"/>
          <w:szCs w:val="22"/>
        </w:rPr>
        <w:t xml:space="preserve">the patient still </w:t>
      </w:r>
      <w:r w:rsidR="003A2D7A">
        <w:rPr>
          <w:rFonts w:ascii="Arial" w:eastAsia="Calibri" w:hAnsi="Arial" w:cs="Arial"/>
          <w:szCs w:val="22"/>
        </w:rPr>
        <w:t xml:space="preserve">being </w:t>
      </w:r>
      <w:r w:rsidR="00776316">
        <w:rPr>
          <w:rFonts w:ascii="Arial" w:eastAsia="Calibri" w:hAnsi="Arial" w:cs="Arial"/>
          <w:szCs w:val="22"/>
        </w:rPr>
        <w:t xml:space="preserve">under oxygen support,  his fluid leaking lungs failed due to </w:t>
      </w:r>
      <w:r w:rsidR="003A2D7A">
        <w:rPr>
          <w:rFonts w:ascii="Arial" w:eastAsia="Calibri" w:hAnsi="Arial" w:cs="Arial"/>
          <w:szCs w:val="22"/>
        </w:rPr>
        <w:t xml:space="preserve">the </w:t>
      </w:r>
      <w:r w:rsidR="00776316">
        <w:rPr>
          <w:rFonts w:ascii="Arial" w:eastAsia="Calibri" w:hAnsi="Arial" w:cs="Arial"/>
          <w:szCs w:val="22"/>
        </w:rPr>
        <w:t xml:space="preserve">acute respiratory insufficiency caused by </w:t>
      </w:r>
      <w:r w:rsidR="003A2D7A">
        <w:rPr>
          <w:rFonts w:ascii="Arial" w:eastAsia="Calibri" w:hAnsi="Arial" w:cs="Arial"/>
          <w:szCs w:val="22"/>
        </w:rPr>
        <w:t>the hemorrhagic sequels and</w:t>
      </w:r>
      <w:r w:rsidR="00776316">
        <w:rPr>
          <w:rFonts w:ascii="Arial" w:eastAsia="Calibri" w:hAnsi="Arial" w:cs="Arial"/>
          <w:szCs w:val="22"/>
        </w:rPr>
        <w:t xml:space="preserve"> lungs </w:t>
      </w:r>
      <w:r w:rsidR="003A2D7A">
        <w:rPr>
          <w:rFonts w:ascii="Arial" w:eastAsia="Calibri" w:hAnsi="Arial" w:cs="Arial"/>
          <w:szCs w:val="22"/>
        </w:rPr>
        <w:t xml:space="preserve">lesions.  Hemoptysis reoccurred </w:t>
      </w:r>
      <w:r w:rsidR="00C62655">
        <w:rPr>
          <w:rFonts w:ascii="Arial" w:eastAsia="Calibri" w:hAnsi="Arial" w:cs="Arial"/>
          <w:szCs w:val="22"/>
        </w:rPr>
        <w:t>abruptly</w:t>
      </w:r>
      <w:r w:rsidR="001A355A">
        <w:rPr>
          <w:rFonts w:ascii="Arial" w:eastAsia="Calibri" w:hAnsi="Arial" w:cs="Arial"/>
          <w:szCs w:val="22"/>
        </w:rPr>
        <w:t xml:space="preserve"> </w:t>
      </w:r>
      <w:r w:rsidR="00776316">
        <w:rPr>
          <w:rFonts w:ascii="Arial" w:eastAsia="Calibri" w:hAnsi="Arial" w:cs="Arial"/>
          <w:szCs w:val="22"/>
        </w:rPr>
        <w:t xml:space="preserve">along with a drop below 90% of the </w:t>
      </w:r>
      <w:r w:rsidR="001A355A">
        <w:rPr>
          <w:rFonts w:ascii="Arial" w:eastAsia="Calibri" w:hAnsi="Arial" w:cs="Arial"/>
          <w:szCs w:val="22"/>
        </w:rPr>
        <w:t>blood oxygen level (hypoxemia) during</w:t>
      </w:r>
      <w:r w:rsidR="00776316">
        <w:rPr>
          <w:rFonts w:ascii="Arial" w:eastAsia="Calibri" w:hAnsi="Arial" w:cs="Arial"/>
          <w:szCs w:val="22"/>
        </w:rPr>
        <w:t xml:space="preserve"> the last day of</w:t>
      </w:r>
      <w:r w:rsidR="003A2D7A">
        <w:rPr>
          <w:rFonts w:ascii="Arial" w:eastAsia="Calibri" w:hAnsi="Arial" w:cs="Arial"/>
          <w:szCs w:val="22"/>
        </w:rPr>
        <w:t xml:space="preserve"> the patient’s</w:t>
      </w:r>
      <w:r w:rsidR="00776316">
        <w:rPr>
          <w:rFonts w:ascii="Arial" w:eastAsia="Calibri" w:hAnsi="Arial" w:cs="Arial"/>
          <w:szCs w:val="22"/>
        </w:rPr>
        <w:t xml:space="preserve"> life.</w:t>
      </w:r>
    </w:p>
    <w:p w14:paraId="58EE7846" w14:textId="77777777" w:rsidR="00776316" w:rsidRDefault="00776316" w:rsidP="00776316">
      <w:pPr>
        <w:pStyle w:val="Body"/>
        <w:spacing w:after="0"/>
        <w:rPr>
          <w:rFonts w:ascii="Arial" w:hAnsi="Arial" w:cs="Arial"/>
        </w:rPr>
      </w:pPr>
    </w:p>
    <w:p w14:paraId="4F890320" w14:textId="77777777" w:rsidR="00776316" w:rsidRDefault="00776316" w:rsidP="00776316">
      <w:pPr>
        <w:pStyle w:val="Head1"/>
        <w:spacing w:after="0"/>
        <w:jc w:val="both"/>
        <w:rPr>
          <w:rFonts w:ascii="Arial" w:hAnsi="Arial" w:cs="Arial"/>
        </w:rPr>
      </w:pPr>
      <w:r>
        <w:rPr>
          <w:rFonts w:ascii="Arial" w:hAnsi="Arial" w:cs="Arial"/>
        </w:rPr>
        <w:t>3. discussion</w:t>
      </w:r>
    </w:p>
    <w:p w14:paraId="5649B977" w14:textId="77777777" w:rsidR="00776316" w:rsidRDefault="00776316" w:rsidP="00776316">
      <w:pPr>
        <w:pStyle w:val="Head1"/>
        <w:spacing w:after="0"/>
        <w:jc w:val="both"/>
        <w:rPr>
          <w:rFonts w:ascii="Arial" w:hAnsi="Arial" w:cs="Arial"/>
        </w:rPr>
      </w:pPr>
    </w:p>
    <w:p w14:paraId="655CF813" w14:textId="77777777" w:rsidR="00776316" w:rsidRDefault="001A355A" w:rsidP="00776316">
      <w:pPr>
        <w:pStyle w:val="Body"/>
        <w:rPr>
          <w:rFonts w:ascii="Arial" w:hAnsi="Arial" w:cs="Arial"/>
        </w:rPr>
      </w:pPr>
      <w:r w:rsidRPr="001A355A">
        <w:rPr>
          <w:rFonts w:ascii="Arial" w:hAnsi="Arial" w:cs="Arial"/>
        </w:rPr>
        <w:t xml:space="preserve">Using </w:t>
      </w:r>
      <w:proofErr w:type="spellStart"/>
      <w:r w:rsidR="00776316" w:rsidRPr="001A355A">
        <w:rPr>
          <w:rFonts w:ascii="Arial" w:hAnsi="Arial" w:cs="Arial"/>
        </w:rPr>
        <w:t>venetoclax</w:t>
      </w:r>
      <w:proofErr w:type="spellEnd"/>
      <w:r w:rsidR="00776316" w:rsidRPr="001A355A">
        <w:rPr>
          <w:rFonts w:ascii="Arial" w:hAnsi="Arial" w:cs="Arial"/>
        </w:rPr>
        <w:t xml:space="preserve"> </w:t>
      </w:r>
      <w:r w:rsidRPr="001A355A">
        <w:rPr>
          <w:rFonts w:ascii="Arial" w:hAnsi="Arial" w:cs="Arial"/>
        </w:rPr>
        <w:t>for</w:t>
      </w:r>
      <w:r w:rsidR="00776316" w:rsidRPr="001A355A">
        <w:rPr>
          <w:rFonts w:ascii="Arial" w:hAnsi="Arial" w:cs="Arial"/>
        </w:rPr>
        <w:t xml:space="preserve"> patients with COVID-19 has not been </w:t>
      </w:r>
      <w:r w:rsidRPr="001A355A">
        <w:rPr>
          <w:rFonts w:ascii="Arial" w:hAnsi="Arial" w:cs="Arial"/>
        </w:rPr>
        <w:t>extensively</w:t>
      </w:r>
      <w:r w:rsidR="00776316" w:rsidRPr="001A355A">
        <w:rPr>
          <w:rFonts w:ascii="Arial" w:hAnsi="Arial" w:cs="Arial"/>
        </w:rPr>
        <w:t xml:space="preserve"> studied </w:t>
      </w:r>
      <w:r w:rsidRPr="001A355A">
        <w:rPr>
          <w:rFonts w:ascii="Arial" w:hAnsi="Arial" w:cs="Arial"/>
        </w:rPr>
        <w:t>so far</w:t>
      </w:r>
      <w:r w:rsidR="00BD36FC">
        <w:rPr>
          <w:rFonts w:ascii="Arial" w:hAnsi="Arial" w:cs="Arial"/>
        </w:rPr>
        <w:t xml:space="preserve"> (see [10</w:t>
      </w:r>
      <w:r w:rsidR="00776316" w:rsidRPr="001A355A">
        <w:rPr>
          <w:rFonts w:ascii="Arial" w:hAnsi="Arial" w:cs="Arial"/>
        </w:rPr>
        <w:t xml:space="preserve">]). </w:t>
      </w:r>
      <w:r>
        <w:rPr>
          <w:rFonts w:ascii="Arial" w:hAnsi="Arial" w:cs="Arial"/>
        </w:rPr>
        <w:t>In this severe COVID-19 case t</w:t>
      </w:r>
      <w:r w:rsidR="00776316">
        <w:rPr>
          <w:rFonts w:ascii="Arial" w:hAnsi="Arial" w:cs="Arial"/>
        </w:rPr>
        <w:t xml:space="preserve">he </w:t>
      </w:r>
      <w:proofErr w:type="spellStart"/>
      <w:r w:rsidR="00776316">
        <w:rPr>
          <w:rFonts w:ascii="Arial" w:hAnsi="Arial" w:cs="Arial"/>
        </w:rPr>
        <w:t>venetoclax</w:t>
      </w:r>
      <w:proofErr w:type="spellEnd"/>
      <w:r w:rsidR="00776316">
        <w:rPr>
          <w:rFonts w:ascii="Arial" w:hAnsi="Arial" w:cs="Arial"/>
        </w:rPr>
        <w:t xml:space="preserve"> treatment functioned, even </w:t>
      </w:r>
      <w:r w:rsidR="00776316" w:rsidRPr="00CB3433">
        <w:rPr>
          <w:rFonts w:ascii="Arial" w:hAnsi="Arial" w:cs="Arial"/>
        </w:rPr>
        <w:t xml:space="preserve">in its first cycle and </w:t>
      </w:r>
      <w:r w:rsidRPr="00CB3433">
        <w:rPr>
          <w:rFonts w:ascii="Arial" w:hAnsi="Arial" w:cs="Arial"/>
        </w:rPr>
        <w:t xml:space="preserve">moreover </w:t>
      </w:r>
      <w:r w:rsidR="00776316" w:rsidRPr="00CB3433">
        <w:rPr>
          <w:rFonts w:ascii="Arial" w:hAnsi="Arial" w:cs="Arial"/>
        </w:rPr>
        <w:t xml:space="preserve">even without increasing the daily dose over 100 mg. </w:t>
      </w:r>
      <w:r w:rsidRPr="00CB3433">
        <w:rPr>
          <w:rFonts w:ascii="Arial" w:hAnsi="Arial" w:cs="Arial"/>
        </w:rPr>
        <w:t>One observed that t</w:t>
      </w:r>
      <w:r w:rsidR="00776316" w:rsidRPr="00CB3433">
        <w:rPr>
          <w:rFonts w:ascii="Arial" w:hAnsi="Arial" w:cs="Arial"/>
        </w:rPr>
        <w:t xml:space="preserve">he initial high value of monocytes (12620/µL) dropped </w:t>
      </w:r>
      <w:r w:rsidRPr="00CB3433">
        <w:rPr>
          <w:rFonts w:ascii="Arial" w:hAnsi="Arial" w:cs="Arial"/>
        </w:rPr>
        <w:t xml:space="preserve">after the 28 days period  </w:t>
      </w:r>
      <w:r w:rsidR="00776316" w:rsidRPr="00CB3433">
        <w:rPr>
          <w:rFonts w:ascii="Arial" w:hAnsi="Arial" w:cs="Arial"/>
        </w:rPr>
        <w:t xml:space="preserve">close to the normalization threshold (2500/µL), more exactly to 2360/µL as shown in Figure 1. Neutrophils </w:t>
      </w:r>
      <w:r w:rsidRPr="00CB3433">
        <w:rPr>
          <w:rFonts w:ascii="Arial" w:hAnsi="Arial" w:cs="Arial"/>
        </w:rPr>
        <w:t>were normalized within the normal range of [1500-8000] as shown in Figure 2 more exactly to 1590/µL</w:t>
      </w:r>
      <w:r w:rsidR="00776316" w:rsidRPr="00CB3433">
        <w:rPr>
          <w:rFonts w:ascii="Arial" w:hAnsi="Arial" w:cs="Arial"/>
        </w:rPr>
        <w:t xml:space="preserve">. </w:t>
      </w:r>
      <w:r w:rsidRPr="00CB3433">
        <w:rPr>
          <w:rFonts w:ascii="Arial" w:hAnsi="Arial" w:cs="Arial"/>
        </w:rPr>
        <w:t xml:space="preserve">As shown in Figure 3, </w:t>
      </w:r>
      <w:r w:rsidR="00776316" w:rsidRPr="00CB3433">
        <w:rPr>
          <w:rFonts w:ascii="Arial" w:hAnsi="Arial" w:cs="Arial"/>
        </w:rPr>
        <w:t xml:space="preserve">WBCs were also normalized from 22140/µL to 4090/µL. </w:t>
      </w:r>
      <w:r w:rsidRPr="00CB3433">
        <w:rPr>
          <w:rFonts w:ascii="Arial" w:hAnsi="Arial" w:cs="Arial"/>
        </w:rPr>
        <w:t>Moreover</w:t>
      </w:r>
      <w:r w:rsidR="00776316" w:rsidRPr="00CB3433">
        <w:rPr>
          <w:rFonts w:ascii="Arial" w:hAnsi="Arial" w:cs="Arial"/>
        </w:rPr>
        <w:t xml:space="preserve">, the response of leukemia is also quantified by the D-Dimer values. The </w:t>
      </w:r>
      <w:r w:rsidRPr="00CB3433">
        <w:rPr>
          <w:rFonts w:ascii="Arial" w:hAnsi="Arial" w:cs="Arial"/>
        </w:rPr>
        <w:t xml:space="preserve">initial high value of the   </w:t>
      </w:r>
      <w:r w:rsidR="00776316" w:rsidRPr="00CB3433">
        <w:rPr>
          <w:rFonts w:ascii="Arial" w:hAnsi="Arial" w:cs="Arial"/>
        </w:rPr>
        <w:t xml:space="preserve">D-Dimer, </w:t>
      </w:r>
      <w:r w:rsidRPr="00CB3433">
        <w:rPr>
          <w:rFonts w:ascii="Arial" w:hAnsi="Arial" w:cs="Arial"/>
        </w:rPr>
        <w:t xml:space="preserve">namely </w:t>
      </w:r>
      <w:r w:rsidR="00776316" w:rsidRPr="00CB3433">
        <w:rPr>
          <w:rFonts w:ascii="Arial" w:hAnsi="Arial" w:cs="Arial"/>
        </w:rPr>
        <w:t xml:space="preserve">1.18 µg/mL got normalized along with the normalization of the leukocytes, in the end the D-Dimer value being 0.36 µg/mL </w:t>
      </w:r>
      <w:r w:rsidRPr="00CB3433">
        <w:rPr>
          <w:rFonts w:ascii="Arial" w:hAnsi="Arial" w:cs="Arial"/>
        </w:rPr>
        <w:t>which is</w:t>
      </w:r>
      <w:r w:rsidR="00776316" w:rsidRPr="00CB3433">
        <w:rPr>
          <w:rFonts w:ascii="Arial" w:hAnsi="Arial" w:cs="Arial"/>
        </w:rPr>
        <w:t xml:space="preserve"> normal D-Dimer. </w:t>
      </w:r>
      <w:proofErr w:type="gramStart"/>
      <w:r w:rsidRPr="00CB3433">
        <w:rPr>
          <w:rFonts w:ascii="Arial" w:hAnsi="Arial" w:cs="Arial"/>
        </w:rPr>
        <w:t xml:space="preserve">However, </w:t>
      </w:r>
      <w:r w:rsidR="00776316" w:rsidRPr="00CB3433">
        <w:rPr>
          <w:rFonts w:ascii="Arial" w:hAnsi="Arial" w:cs="Arial"/>
        </w:rPr>
        <w:t xml:space="preserve"> </w:t>
      </w:r>
      <w:r w:rsidRPr="00CB3433">
        <w:rPr>
          <w:rFonts w:ascii="Arial" w:hAnsi="Arial" w:cs="Arial"/>
        </w:rPr>
        <w:t>since</w:t>
      </w:r>
      <w:proofErr w:type="gramEnd"/>
      <w:r w:rsidRPr="00CB3433">
        <w:rPr>
          <w:rFonts w:ascii="Arial" w:hAnsi="Arial" w:cs="Arial"/>
        </w:rPr>
        <w:t xml:space="preserve"> severe thrombocytopenia was revealed soon before death (PLT=14000/µL),  </w:t>
      </w:r>
      <w:r w:rsidR="00776316" w:rsidRPr="00CB3433">
        <w:rPr>
          <w:rFonts w:ascii="Arial" w:hAnsi="Arial" w:cs="Arial"/>
        </w:rPr>
        <w:t xml:space="preserve">more time would </w:t>
      </w:r>
      <w:r w:rsidRPr="00CB3433">
        <w:rPr>
          <w:rFonts w:ascii="Arial" w:hAnsi="Arial" w:cs="Arial"/>
        </w:rPr>
        <w:t xml:space="preserve">still </w:t>
      </w:r>
      <w:r w:rsidR="00776316" w:rsidRPr="00CB3433">
        <w:rPr>
          <w:rFonts w:ascii="Arial" w:hAnsi="Arial" w:cs="Arial"/>
        </w:rPr>
        <w:t>have be</w:t>
      </w:r>
      <w:r w:rsidRPr="00CB3433">
        <w:rPr>
          <w:rFonts w:ascii="Arial" w:hAnsi="Arial" w:cs="Arial"/>
        </w:rPr>
        <w:t>ing</w:t>
      </w:r>
      <w:r w:rsidR="00776316" w:rsidRPr="00CB3433">
        <w:rPr>
          <w:rFonts w:ascii="Arial" w:hAnsi="Arial" w:cs="Arial"/>
        </w:rPr>
        <w:t xml:space="preserve"> needed under </w:t>
      </w:r>
      <w:proofErr w:type="spellStart"/>
      <w:r w:rsidR="00776316" w:rsidRPr="00CB3433">
        <w:rPr>
          <w:rFonts w:ascii="Arial" w:hAnsi="Arial" w:cs="Arial"/>
        </w:rPr>
        <w:t>venetoclax</w:t>
      </w:r>
      <w:proofErr w:type="spellEnd"/>
      <w:r w:rsidR="00776316" w:rsidRPr="00CB3433">
        <w:rPr>
          <w:rFonts w:ascii="Arial" w:hAnsi="Arial" w:cs="Arial"/>
        </w:rPr>
        <w:t xml:space="preserve"> to recover the healthy bone marrow</w:t>
      </w:r>
      <w:r w:rsidRPr="00CB3433">
        <w:rPr>
          <w:rFonts w:ascii="Arial" w:hAnsi="Arial" w:cs="Arial"/>
        </w:rPr>
        <w:t xml:space="preserve"> in order</w:t>
      </w:r>
      <w:r w:rsidR="00776316" w:rsidRPr="00CB3433">
        <w:rPr>
          <w:rFonts w:ascii="Arial" w:hAnsi="Arial" w:cs="Arial"/>
        </w:rPr>
        <w:t xml:space="preserve"> to produce platelet precursors</w:t>
      </w:r>
      <w:r w:rsidRPr="00CB3433">
        <w:rPr>
          <w:rFonts w:ascii="Arial" w:hAnsi="Arial" w:cs="Arial"/>
        </w:rPr>
        <w:t>.</w:t>
      </w:r>
      <w:r w:rsidR="00776316" w:rsidRPr="00CB3433">
        <w:rPr>
          <w:rFonts w:ascii="Arial" w:hAnsi="Arial" w:cs="Arial"/>
        </w:rPr>
        <w:t xml:space="preserve"> One observed that the</w:t>
      </w:r>
      <w:r w:rsidRPr="00CB3433">
        <w:rPr>
          <w:rFonts w:ascii="Arial" w:hAnsi="Arial" w:cs="Arial"/>
        </w:rPr>
        <w:t xml:space="preserve"> furosemide</w:t>
      </w:r>
      <w:r w:rsidR="00776316" w:rsidRPr="00CB3433">
        <w:rPr>
          <w:rFonts w:ascii="Arial" w:hAnsi="Arial" w:cs="Arial"/>
        </w:rPr>
        <w:t xml:space="preserve"> treatment </w:t>
      </w:r>
      <w:r w:rsidRPr="00CB3433">
        <w:rPr>
          <w:rFonts w:ascii="Arial" w:hAnsi="Arial" w:cs="Arial"/>
        </w:rPr>
        <w:t>and</w:t>
      </w:r>
      <w:r w:rsidR="00776316" w:rsidRPr="00CB3433">
        <w:rPr>
          <w:rFonts w:ascii="Arial" w:hAnsi="Arial" w:cs="Arial"/>
        </w:rPr>
        <w:t xml:space="preserve"> the hydration for the TLS prophylaxis to support the kidney in filtering out the destroyed leukemia cells was successful,</w:t>
      </w:r>
      <w:r w:rsidRPr="00CB3433">
        <w:rPr>
          <w:rFonts w:ascii="Arial" w:hAnsi="Arial" w:cs="Arial"/>
        </w:rPr>
        <w:t xml:space="preserve"> and </w:t>
      </w:r>
      <w:r w:rsidR="00776316" w:rsidRPr="00CB3433">
        <w:rPr>
          <w:rFonts w:ascii="Arial" w:hAnsi="Arial" w:cs="Arial"/>
        </w:rPr>
        <w:t xml:space="preserve"> the kidney respon</w:t>
      </w:r>
      <w:r w:rsidRPr="00CB3433">
        <w:rPr>
          <w:rFonts w:ascii="Arial" w:hAnsi="Arial" w:cs="Arial"/>
        </w:rPr>
        <w:t>ded</w:t>
      </w:r>
      <w:r w:rsidR="00776316" w:rsidRPr="00CB3433">
        <w:rPr>
          <w:rFonts w:ascii="Arial" w:hAnsi="Arial" w:cs="Arial"/>
        </w:rPr>
        <w:t xml:space="preserve"> well to prophylaxis: the </w:t>
      </w:r>
      <w:r w:rsidRPr="00CB3433">
        <w:rPr>
          <w:rFonts w:ascii="Arial" w:hAnsi="Arial" w:cs="Arial"/>
        </w:rPr>
        <w:t xml:space="preserve">high </w:t>
      </w:r>
      <w:r w:rsidR="00776316" w:rsidRPr="00CB3433">
        <w:rPr>
          <w:rFonts w:ascii="Arial" w:hAnsi="Arial" w:cs="Arial"/>
        </w:rPr>
        <w:t>patient’s creatinine value</w:t>
      </w:r>
      <w:r w:rsidRPr="00CB3433">
        <w:rPr>
          <w:rFonts w:ascii="Arial" w:hAnsi="Arial" w:cs="Arial"/>
        </w:rPr>
        <w:t xml:space="preserve"> namely</w:t>
      </w:r>
      <w:r w:rsidR="00776316" w:rsidRPr="00CB3433">
        <w:rPr>
          <w:rFonts w:ascii="Arial" w:hAnsi="Arial" w:cs="Arial"/>
        </w:rPr>
        <w:t xml:space="preserve"> 1.3 mg/dL the day he was</w:t>
      </w:r>
      <w:r w:rsidRPr="00CB3433">
        <w:rPr>
          <w:rFonts w:ascii="Arial" w:hAnsi="Arial" w:cs="Arial"/>
        </w:rPr>
        <w:t xml:space="preserve"> positively tested for COVID-19, </w:t>
      </w:r>
      <w:r w:rsidR="00776316" w:rsidRPr="00CB3433">
        <w:rPr>
          <w:rFonts w:ascii="Arial" w:hAnsi="Arial" w:cs="Arial"/>
        </w:rPr>
        <w:t xml:space="preserve">lowered to 0.72 mg/dL after 2 weeks. The kidney responded well </w:t>
      </w:r>
      <w:proofErr w:type="gramStart"/>
      <w:r w:rsidRPr="00CB3433">
        <w:rPr>
          <w:rFonts w:ascii="Arial" w:hAnsi="Arial" w:cs="Arial"/>
        </w:rPr>
        <w:t xml:space="preserve">since </w:t>
      </w:r>
      <w:r w:rsidR="00776316" w:rsidRPr="00CB3433">
        <w:rPr>
          <w:rFonts w:ascii="Arial" w:hAnsi="Arial" w:cs="Arial"/>
        </w:rPr>
        <w:t xml:space="preserve"> it</w:t>
      </w:r>
      <w:proofErr w:type="gramEnd"/>
      <w:r w:rsidR="00776316" w:rsidRPr="00CB3433">
        <w:rPr>
          <w:rFonts w:ascii="Arial" w:hAnsi="Arial" w:cs="Arial"/>
        </w:rPr>
        <w:t xml:space="preserve"> maintained a normal filtration rate, without the accumulation of toxic nitrogenous products in the body. Interleukin-6 dropped from 77 </w:t>
      </w:r>
      <w:proofErr w:type="spellStart"/>
      <w:r w:rsidR="00776316" w:rsidRPr="00CB3433">
        <w:rPr>
          <w:rFonts w:ascii="Arial" w:hAnsi="Arial" w:cs="Arial"/>
        </w:rPr>
        <w:t>pg</w:t>
      </w:r>
      <w:proofErr w:type="spellEnd"/>
      <w:r w:rsidR="00776316" w:rsidRPr="00CB3433">
        <w:rPr>
          <w:rFonts w:ascii="Arial" w:hAnsi="Arial" w:cs="Arial"/>
        </w:rPr>
        <w:t xml:space="preserve">/mL </w:t>
      </w:r>
      <w:r w:rsidR="004C22DC">
        <w:rPr>
          <w:rFonts w:ascii="Arial" w:hAnsi="Arial" w:cs="Arial"/>
        </w:rPr>
        <w:t xml:space="preserve">when diagnosed with COVID-19 to </w:t>
      </w:r>
      <w:r w:rsidR="00776316" w:rsidRPr="00CB3433">
        <w:rPr>
          <w:rFonts w:ascii="Arial" w:hAnsi="Arial" w:cs="Arial"/>
        </w:rPr>
        <w:t xml:space="preserve">4.9 </w:t>
      </w:r>
      <w:proofErr w:type="spellStart"/>
      <w:r w:rsidR="00776316" w:rsidRPr="00CB3433">
        <w:rPr>
          <w:rFonts w:ascii="Arial" w:hAnsi="Arial" w:cs="Arial"/>
        </w:rPr>
        <w:t>pg</w:t>
      </w:r>
      <w:proofErr w:type="spellEnd"/>
      <w:r w:rsidR="00776316" w:rsidRPr="00CB3433">
        <w:rPr>
          <w:rFonts w:ascii="Arial" w:hAnsi="Arial" w:cs="Arial"/>
        </w:rPr>
        <w:t>/mL at the end of the cycle. One observed that</w:t>
      </w:r>
      <w:r w:rsidRPr="00CB3433">
        <w:rPr>
          <w:rFonts w:ascii="Arial" w:hAnsi="Arial" w:cs="Arial"/>
        </w:rPr>
        <w:t xml:space="preserve"> even in COVID-19 cases</w:t>
      </w:r>
      <w:r w:rsidR="00776316" w:rsidRPr="00CB3433">
        <w:rPr>
          <w:rFonts w:ascii="Arial" w:hAnsi="Arial" w:cs="Arial"/>
        </w:rPr>
        <w:t xml:space="preserve"> the </w:t>
      </w:r>
      <w:proofErr w:type="spellStart"/>
      <w:r w:rsidR="00776316" w:rsidRPr="00CB3433">
        <w:rPr>
          <w:rFonts w:ascii="Arial" w:hAnsi="Arial" w:cs="Arial"/>
        </w:rPr>
        <w:t>venetoclax</w:t>
      </w:r>
      <w:proofErr w:type="spellEnd"/>
      <w:r w:rsidR="00776316" w:rsidRPr="00CB3433">
        <w:rPr>
          <w:rFonts w:ascii="Arial" w:hAnsi="Arial" w:cs="Arial"/>
        </w:rPr>
        <w:t xml:space="preserve"> treatment works against AML. </w:t>
      </w:r>
      <w:r w:rsidRPr="00CB3433">
        <w:rPr>
          <w:rFonts w:ascii="Arial" w:hAnsi="Arial" w:cs="Arial"/>
        </w:rPr>
        <w:t xml:space="preserve">Note that no </w:t>
      </w:r>
      <w:r w:rsidRPr="00CB3433">
        <w:rPr>
          <w:rFonts w:ascii="Arial" w:hAnsi="Arial" w:cs="Arial"/>
          <w:color w:val="222222"/>
          <w:shd w:val="clear" w:color="auto" w:fill="FFFFFF"/>
        </w:rPr>
        <w:t>hydroxychloroquine</w:t>
      </w:r>
      <w:r w:rsidRPr="00CB3433">
        <w:rPr>
          <w:rFonts w:ascii="Arial" w:hAnsi="Arial" w:cs="Arial"/>
        </w:rPr>
        <w:t xml:space="preserve"> was used during the treatment t</w:t>
      </w:r>
      <w:r w:rsidR="00776316" w:rsidRPr="00CB3433">
        <w:rPr>
          <w:rFonts w:ascii="Arial" w:hAnsi="Arial" w:cs="Arial"/>
        </w:rPr>
        <w:t>hough there are s</w:t>
      </w:r>
      <w:r w:rsidR="00BD36FC" w:rsidRPr="00CB3433">
        <w:rPr>
          <w:rFonts w:ascii="Arial" w:hAnsi="Arial" w:cs="Arial"/>
        </w:rPr>
        <w:t>tudies (see [11</w:t>
      </w:r>
      <w:r w:rsidR="00776316" w:rsidRPr="00CB3433">
        <w:rPr>
          <w:rFonts w:ascii="Arial" w:hAnsi="Arial" w:cs="Arial"/>
        </w:rPr>
        <w:t xml:space="preserve">]) showing that </w:t>
      </w:r>
      <w:r w:rsidR="00776316" w:rsidRPr="00CB3433">
        <w:rPr>
          <w:rFonts w:ascii="Arial" w:hAnsi="Arial" w:cs="Arial"/>
          <w:color w:val="222222"/>
          <w:shd w:val="clear" w:color="auto" w:fill="FFFFFF"/>
        </w:rPr>
        <w:t xml:space="preserve">hydroxychloroquine (aka </w:t>
      </w:r>
      <w:proofErr w:type="spellStart"/>
      <w:r w:rsidR="00776316" w:rsidRPr="00CB3433">
        <w:rPr>
          <w:rFonts w:ascii="Arial" w:hAnsi="Arial" w:cs="Arial"/>
          <w:color w:val="222222"/>
          <w:shd w:val="clear" w:color="auto" w:fill="FFFFFF"/>
        </w:rPr>
        <w:t>plaquenil</w:t>
      </w:r>
      <w:proofErr w:type="spellEnd"/>
      <w:r w:rsidR="00776316" w:rsidRPr="00CB3433">
        <w:rPr>
          <w:rFonts w:ascii="Arial" w:hAnsi="Arial" w:cs="Arial"/>
          <w:color w:val="222222"/>
          <w:shd w:val="clear" w:color="auto" w:fill="FFFFFF"/>
        </w:rPr>
        <w:t>) is efficient in clearing the viral nasopharyngeal carriage of SARS-CoV-2 up to six days in most COVID-19 patients and, in addition, hydroxychloroquine</w:t>
      </w:r>
      <w:r w:rsidR="00776316" w:rsidRPr="00CB3433">
        <w:rPr>
          <w:rFonts w:ascii="Arial" w:hAnsi="Arial" w:cs="Arial"/>
        </w:rPr>
        <w:t xml:space="preserve"> proved to be efficient in </w:t>
      </w:r>
      <w:proofErr w:type="spellStart"/>
      <w:r w:rsidR="00776316" w:rsidRPr="00CB3433">
        <w:rPr>
          <w:rFonts w:ascii="Arial" w:hAnsi="Arial" w:cs="Arial"/>
        </w:rPr>
        <w:t>haematological</w:t>
      </w:r>
      <w:proofErr w:type="spellEnd"/>
      <w:r w:rsidR="00BD36FC" w:rsidRPr="00CB3433">
        <w:rPr>
          <w:rFonts w:ascii="Arial" w:hAnsi="Arial" w:cs="Arial"/>
        </w:rPr>
        <w:t xml:space="preserve"> cancers (see [12] and [13</w:t>
      </w:r>
      <w:r w:rsidR="00776316" w:rsidRPr="00CB3433">
        <w:rPr>
          <w:rFonts w:ascii="Arial" w:hAnsi="Arial" w:cs="Arial"/>
        </w:rPr>
        <w:t xml:space="preserve">]),. The current epidemiology </w:t>
      </w:r>
      <w:r w:rsidRPr="00CB3433">
        <w:rPr>
          <w:rFonts w:ascii="Arial" w:hAnsi="Arial" w:cs="Arial"/>
        </w:rPr>
        <w:t xml:space="preserve">data </w:t>
      </w:r>
      <w:r w:rsidR="00776316" w:rsidRPr="00CB3433">
        <w:rPr>
          <w:rFonts w:ascii="Arial" w:hAnsi="Arial" w:cs="Arial"/>
        </w:rPr>
        <w:t>of the COVID-19 p</w:t>
      </w:r>
      <w:r w:rsidR="00BD36FC" w:rsidRPr="00CB3433">
        <w:rPr>
          <w:rFonts w:ascii="Arial" w:hAnsi="Arial" w:cs="Arial"/>
        </w:rPr>
        <w:t>andemic can be found at (see [14</w:t>
      </w:r>
      <w:r w:rsidR="00776316" w:rsidRPr="00CB3433">
        <w:rPr>
          <w:rFonts w:ascii="Arial" w:hAnsi="Arial" w:cs="Arial"/>
        </w:rPr>
        <w:t>]).</w:t>
      </w:r>
    </w:p>
    <w:p w14:paraId="3AA5D5AE" w14:textId="77777777" w:rsidR="00776316" w:rsidRDefault="00776316" w:rsidP="00776316">
      <w:pPr>
        <w:pStyle w:val="Body"/>
        <w:jc w:val="center"/>
        <w:rPr>
          <w:rFonts w:ascii="Arial" w:hAnsi="Arial" w:cs="Arial"/>
          <w:noProof/>
        </w:rPr>
      </w:pPr>
      <w:r>
        <w:rPr>
          <w:rFonts w:ascii="Arial" w:hAnsi="Arial" w:cs="Arial"/>
          <w:noProof/>
        </w:rPr>
        <w:lastRenderedPageBreak/>
        <w:drawing>
          <wp:inline distT="0" distB="0" distL="0" distR="0" wp14:anchorId="3975B720" wp14:editId="73FF1A78">
            <wp:extent cx="5943096" cy="2877313"/>
            <wp:effectExtent l="12189" t="6095" r="6095" b="2032"/>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0359D1" w14:textId="77777777" w:rsidR="00776316" w:rsidRDefault="00776316" w:rsidP="00776316">
      <w:pPr>
        <w:autoSpaceDE w:val="0"/>
        <w:autoSpaceDN w:val="0"/>
        <w:adjustRightInd w:val="0"/>
        <w:jc w:val="center"/>
        <w:rPr>
          <w:rFonts w:ascii="Arial" w:hAnsi="Arial" w:cs="Arial"/>
          <w:b/>
          <w:bCs/>
          <w:szCs w:val="22"/>
        </w:rPr>
      </w:pPr>
      <w:r>
        <w:rPr>
          <w:rFonts w:ascii="Arial" w:hAnsi="Arial" w:cs="Arial"/>
          <w:b/>
          <w:bCs/>
          <w:szCs w:val="22"/>
        </w:rPr>
        <w:t xml:space="preserve">Fig. 1. Effect on monocytes of 10 cycles of azacitidine followed by a pause of one cycle and one cycle of </w:t>
      </w:r>
      <w:proofErr w:type="spellStart"/>
      <w:r>
        <w:rPr>
          <w:rFonts w:ascii="Arial" w:hAnsi="Arial" w:cs="Arial"/>
          <w:b/>
          <w:bCs/>
          <w:szCs w:val="22"/>
        </w:rPr>
        <w:t>venetoclax</w:t>
      </w:r>
      <w:proofErr w:type="spellEnd"/>
      <w:r>
        <w:rPr>
          <w:rFonts w:ascii="Arial" w:hAnsi="Arial" w:cs="Arial"/>
          <w:b/>
          <w:bCs/>
          <w:szCs w:val="22"/>
        </w:rPr>
        <w:t xml:space="preserve"> </w:t>
      </w:r>
      <w:r w:rsidRPr="00CB3433">
        <w:rPr>
          <w:rFonts w:ascii="Arial" w:hAnsi="Arial" w:cs="Arial"/>
          <w:b/>
          <w:bCs/>
          <w:szCs w:val="22"/>
        </w:rPr>
        <w:t>combined with azacytidine</w:t>
      </w:r>
    </w:p>
    <w:p w14:paraId="26996618" w14:textId="77777777" w:rsidR="00776316" w:rsidRDefault="00776316" w:rsidP="00776316">
      <w:pPr>
        <w:autoSpaceDE w:val="0"/>
        <w:autoSpaceDN w:val="0"/>
        <w:adjustRightInd w:val="0"/>
        <w:jc w:val="center"/>
        <w:rPr>
          <w:rFonts w:ascii="Arial" w:hAnsi="Arial" w:cs="Arial"/>
          <w:b/>
          <w:bCs/>
          <w:szCs w:val="22"/>
        </w:rPr>
      </w:pPr>
    </w:p>
    <w:p w14:paraId="65EE5EEA" w14:textId="77777777" w:rsidR="00776316" w:rsidRDefault="00776316" w:rsidP="00776316">
      <w:pPr>
        <w:autoSpaceDE w:val="0"/>
        <w:autoSpaceDN w:val="0"/>
        <w:adjustRightInd w:val="0"/>
        <w:jc w:val="center"/>
        <w:rPr>
          <w:rFonts w:ascii="Arial" w:hAnsi="Arial" w:cs="Arial"/>
          <w:b/>
          <w:bCs/>
          <w:szCs w:val="22"/>
        </w:rPr>
      </w:pPr>
      <w:r>
        <w:rPr>
          <w:rFonts w:ascii="Arial" w:hAnsi="Arial" w:cs="Arial"/>
          <w:b/>
          <w:noProof/>
          <w:szCs w:val="22"/>
        </w:rPr>
        <w:drawing>
          <wp:inline distT="0" distB="0" distL="0" distR="0" wp14:anchorId="1CA75140" wp14:editId="59E4CE34">
            <wp:extent cx="5943096" cy="2877313"/>
            <wp:effectExtent l="12189" t="6095" r="6095" b="2032"/>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BC19B1" w14:textId="77777777" w:rsidR="00776316" w:rsidRDefault="00776316" w:rsidP="00776316">
      <w:pPr>
        <w:autoSpaceDE w:val="0"/>
        <w:autoSpaceDN w:val="0"/>
        <w:adjustRightInd w:val="0"/>
        <w:jc w:val="center"/>
        <w:rPr>
          <w:rFonts w:ascii="Arial" w:hAnsi="Arial" w:cs="Arial"/>
          <w:b/>
          <w:bCs/>
          <w:szCs w:val="22"/>
        </w:rPr>
      </w:pPr>
      <w:r w:rsidRPr="00CB3433">
        <w:rPr>
          <w:rFonts w:ascii="Arial" w:hAnsi="Arial" w:cs="Arial"/>
          <w:b/>
          <w:bCs/>
          <w:szCs w:val="22"/>
        </w:rPr>
        <w:t xml:space="preserve">Fig. 2. Effect on neutrophils of 10 cycles of azacitidine followed by a pause of one cycle and one cycle of </w:t>
      </w:r>
      <w:proofErr w:type="spellStart"/>
      <w:r w:rsidRPr="00CB3433">
        <w:rPr>
          <w:rFonts w:ascii="Arial" w:hAnsi="Arial" w:cs="Arial"/>
          <w:b/>
          <w:bCs/>
          <w:szCs w:val="22"/>
        </w:rPr>
        <w:t>venetoclax</w:t>
      </w:r>
      <w:proofErr w:type="spellEnd"/>
      <w:r w:rsidRPr="00CB3433">
        <w:rPr>
          <w:rFonts w:ascii="Arial" w:hAnsi="Arial" w:cs="Arial"/>
          <w:b/>
          <w:bCs/>
          <w:szCs w:val="22"/>
        </w:rPr>
        <w:t xml:space="preserve"> combined with azacitidine</w:t>
      </w:r>
    </w:p>
    <w:p w14:paraId="3F32573E" w14:textId="77777777" w:rsidR="00776316" w:rsidRDefault="00776316" w:rsidP="00776316">
      <w:pPr>
        <w:autoSpaceDE w:val="0"/>
        <w:autoSpaceDN w:val="0"/>
        <w:adjustRightInd w:val="0"/>
        <w:jc w:val="center"/>
        <w:rPr>
          <w:rFonts w:ascii="Arial" w:hAnsi="Arial" w:cs="Arial"/>
          <w:b/>
          <w:bCs/>
          <w:szCs w:val="22"/>
        </w:rPr>
      </w:pPr>
      <w:r>
        <w:rPr>
          <w:rFonts w:ascii="Arial" w:hAnsi="Arial" w:cs="Arial"/>
          <w:b/>
          <w:noProof/>
          <w:szCs w:val="22"/>
        </w:rPr>
        <w:lastRenderedPageBreak/>
        <w:drawing>
          <wp:inline distT="0" distB="0" distL="0" distR="0" wp14:anchorId="39C78572" wp14:editId="3657371D">
            <wp:extent cx="5943096" cy="2877313"/>
            <wp:effectExtent l="12189" t="6095" r="6095" b="2032"/>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949CB5B" w14:textId="77777777" w:rsidR="00776316" w:rsidRPr="00CB3433" w:rsidRDefault="00776316" w:rsidP="00776316">
      <w:pPr>
        <w:autoSpaceDE w:val="0"/>
        <w:autoSpaceDN w:val="0"/>
        <w:adjustRightInd w:val="0"/>
        <w:jc w:val="center"/>
        <w:rPr>
          <w:rFonts w:ascii="Arial" w:hAnsi="Arial" w:cs="Arial"/>
          <w:b/>
          <w:bCs/>
          <w:szCs w:val="22"/>
        </w:rPr>
      </w:pPr>
      <w:r w:rsidRPr="00CB3433">
        <w:rPr>
          <w:rFonts w:ascii="Arial" w:hAnsi="Arial" w:cs="Arial"/>
          <w:b/>
          <w:bCs/>
          <w:szCs w:val="22"/>
        </w:rPr>
        <w:t xml:space="preserve">Fig. 3. Effect on leukocytes of 10 cycles of azacitidine followed by a pause of one cycle and one cycle of </w:t>
      </w:r>
      <w:proofErr w:type="spellStart"/>
      <w:r w:rsidRPr="00CB3433">
        <w:rPr>
          <w:rFonts w:ascii="Arial" w:hAnsi="Arial" w:cs="Arial"/>
          <w:b/>
          <w:bCs/>
          <w:szCs w:val="22"/>
        </w:rPr>
        <w:t>venetoclax</w:t>
      </w:r>
      <w:proofErr w:type="spellEnd"/>
      <w:r w:rsidRPr="00CB3433">
        <w:rPr>
          <w:rFonts w:ascii="Arial" w:hAnsi="Arial" w:cs="Arial"/>
          <w:b/>
          <w:bCs/>
          <w:szCs w:val="22"/>
        </w:rPr>
        <w:t xml:space="preserve"> combined with azacitidine</w:t>
      </w:r>
    </w:p>
    <w:p w14:paraId="6F0B0FC3" w14:textId="77777777" w:rsidR="00776316" w:rsidRPr="00CB3433" w:rsidRDefault="00776316" w:rsidP="00776316">
      <w:pPr>
        <w:autoSpaceDE w:val="0"/>
        <w:autoSpaceDN w:val="0"/>
        <w:adjustRightInd w:val="0"/>
        <w:jc w:val="center"/>
        <w:rPr>
          <w:rFonts w:ascii="Arial" w:hAnsi="Arial" w:cs="Arial"/>
          <w:b/>
          <w:bCs/>
          <w:szCs w:val="22"/>
        </w:rPr>
      </w:pPr>
    </w:p>
    <w:p w14:paraId="1668A467" w14:textId="77777777" w:rsidR="00776316" w:rsidRPr="00CB3433" w:rsidRDefault="00776316" w:rsidP="00776316">
      <w:pPr>
        <w:autoSpaceDE w:val="0"/>
        <w:autoSpaceDN w:val="0"/>
        <w:adjustRightInd w:val="0"/>
        <w:jc w:val="center"/>
        <w:rPr>
          <w:rFonts w:ascii="Arial" w:hAnsi="Arial" w:cs="Arial"/>
          <w:b/>
          <w:bCs/>
          <w:szCs w:val="22"/>
        </w:rPr>
      </w:pPr>
    </w:p>
    <w:p w14:paraId="4777C0EF" w14:textId="77777777" w:rsidR="00776316" w:rsidRPr="00CB3433" w:rsidRDefault="00BD36FC" w:rsidP="00776316">
      <w:pPr>
        <w:pStyle w:val="Body"/>
        <w:spacing w:after="0"/>
        <w:rPr>
          <w:rFonts w:ascii="Arial" w:hAnsi="Arial" w:cs="Arial"/>
          <w:noProof/>
        </w:rPr>
      </w:pPr>
      <w:r w:rsidRPr="00CB3433">
        <w:rPr>
          <w:rFonts w:ascii="Arial" w:hAnsi="Arial" w:cs="Arial"/>
          <w:noProof/>
        </w:rPr>
        <w:t>Ghandili et al. [15</w:t>
      </w:r>
      <w:r w:rsidR="00776316" w:rsidRPr="00CB3433">
        <w:rPr>
          <w:rFonts w:ascii="Arial" w:hAnsi="Arial" w:cs="Arial"/>
          <w:noProof/>
        </w:rPr>
        <w:t>] have described 12 cases of acute leukemia and COVID-19 pat</w:t>
      </w:r>
      <w:r w:rsidR="001A355A" w:rsidRPr="00CB3433">
        <w:rPr>
          <w:rFonts w:ascii="Arial" w:hAnsi="Arial" w:cs="Arial"/>
          <w:noProof/>
        </w:rPr>
        <w:t xml:space="preserve">ients, out of which 67% (8 patients) </w:t>
      </w:r>
      <w:r w:rsidR="00776316" w:rsidRPr="00CB3433">
        <w:rPr>
          <w:rFonts w:ascii="Arial" w:hAnsi="Arial" w:cs="Arial"/>
          <w:noProof/>
        </w:rPr>
        <w:t xml:space="preserve">had acute myeloid leukemia (AML) and </w:t>
      </w:r>
      <w:r w:rsidR="001A355A" w:rsidRPr="00CB3433">
        <w:rPr>
          <w:rFonts w:ascii="Arial" w:hAnsi="Arial" w:cs="Arial"/>
          <w:noProof/>
        </w:rPr>
        <w:t>33% (</w:t>
      </w:r>
      <w:r w:rsidR="00776316" w:rsidRPr="00CB3433">
        <w:rPr>
          <w:rFonts w:ascii="Arial" w:hAnsi="Arial" w:cs="Arial"/>
          <w:noProof/>
        </w:rPr>
        <w:t>4 patients</w:t>
      </w:r>
      <w:r w:rsidR="001A355A" w:rsidRPr="00CB3433">
        <w:rPr>
          <w:rFonts w:ascii="Arial" w:hAnsi="Arial" w:cs="Arial"/>
          <w:noProof/>
        </w:rPr>
        <w:t xml:space="preserve">) </w:t>
      </w:r>
      <w:r w:rsidR="00776316" w:rsidRPr="00CB3433">
        <w:rPr>
          <w:rFonts w:ascii="Arial" w:hAnsi="Arial" w:cs="Arial"/>
          <w:noProof/>
        </w:rPr>
        <w:t xml:space="preserve">had </w:t>
      </w:r>
      <w:r w:rsidR="001A355A" w:rsidRPr="00CB3433">
        <w:rPr>
          <w:rFonts w:ascii="Arial" w:hAnsi="Arial" w:cs="Arial"/>
          <w:noProof/>
        </w:rPr>
        <w:t xml:space="preserve">either </w:t>
      </w:r>
      <w:r w:rsidR="00776316" w:rsidRPr="00CB3433">
        <w:rPr>
          <w:rFonts w:ascii="Arial" w:hAnsi="Arial" w:cs="Arial"/>
          <w:noProof/>
        </w:rPr>
        <w:t xml:space="preserve">acute lymphoblastic leukemia (ALL) or lymphoblastic lymphoma (LBL). The median age of the patients was 60 years (range: 32-76) and </w:t>
      </w:r>
      <w:r w:rsidR="001A355A" w:rsidRPr="00CB3433">
        <w:rPr>
          <w:rFonts w:ascii="Arial" w:hAnsi="Arial" w:cs="Arial"/>
          <w:noProof/>
        </w:rPr>
        <w:t>75%</w:t>
      </w:r>
      <w:r w:rsidR="00776316" w:rsidRPr="00CB3433">
        <w:rPr>
          <w:rFonts w:ascii="Arial" w:hAnsi="Arial" w:cs="Arial"/>
          <w:noProof/>
        </w:rPr>
        <w:t xml:space="preserve"> were male. </w:t>
      </w:r>
      <w:r w:rsidR="001A355A" w:rsidRPr="00CB3433">
        <w:rPr>
          <w:rFonts w:ascii="Arial" w:hAnsi="Arial" w:cs="Arial"/>
          <w:noProof/>
        </w:rPr>
        <w:t xml:space="preserve">Three out of the 8 AML patients </w:t>
      </w:r>
      <w:r w:rsidR="00776316" w:rsidRPr="00CB3433">
        <w:rPr>
          <w:rFonts w:ascii="Arial" w:hAnsi="Arial" w:cs="Arial"/>
          <w:noProof/>
        </w:rPr>
        <w:t xml:space="preserve"> had newly diagnosed untreated AML, 4 had refractory/relapsed AML and one patient was in complete remission with incomplete hematologic recovery (CRi). The latest one received high-dose cytarabine for the consolidation therapy and</w:t>
      </w:r>
      <w:r w:rsidR="001A355A" w:rsidRPr="00CB3433">
        <w:rPr>
          <w:rFonts w:ascii="Arial" w:hAnsi="Arial" w:cs="Arial"/>
          <w:noProof/>
        </w:rPr>
        <w:t xml:space="preserve"> due to severe acute respiratory distress syndrome (ARDS), he</w:t>
      </w:r>
      <w:r w:rsidR="00776316" w:rsidRPr="00CB3433">
        <w:rPr>
          <w:rFonts w:ascii="Arial" w:hAnsi="Arial" w:cs="Arial"/>
          <w:noProof/>
        </w:rPr>
        <w:t xml:space="preserve"> died 3 weeks after the COVID-19 infection. Their finding was that all 3 AML patients with newly diagn</w:t>
      </w:r>
      <w:r w:rsidR="001A355A" w:rsidRPr="00CB3433">
        <w:rPr>
          <w:rFonts w:ascii="Arial" w:hAnsi="Arial" w:cs="Arial"/>
          <w:noProof/>
        </w:rPr>
        <w:t xml:space="preserve">osed AML developed severe ARDS but </w:t>
      </w:r>
      <w:r w:rsidR="00776316" w:rsidRPr="00CB3433">
        <w:rPr>
          <w:rFonts w:ascii="Arial" w:hAnsi="Arial" w:cs="Arial"/>
          <w:noProof/>
        </w:rPr>
        <w:t xml:space="preserve">the only one treated with intensive chemotherapy died. </w:t>
      </w:r>
      <w:r w:rsidR="001A355A" w:rsidRPr="00CB3433">
        <w:rPr>
          <w:rFonts w:ascii="Arial" w:hAnsi="Arial" w:cs="Arial"/>
          <w:noProof/>
        </w:rPr>
        <w:t>Moreover</w:t>
      </w:r>
      <w:r w:rsidR="00776316" w:rsidRPr="00CB3433">
        <w:rPr>
          <w:rFonts w:ascii="Arial" w:hAnsi="Arial" w:cs="Arial"/>
          <w:noProof/>
        </w:rPr>
        <w:t>, none of the 4 refractory AML patients treated with azacitidine/venetoclax developed ARDS.</w:t>
      </w:r>
    </w:p>
    <w:p w14:paraId="58316F88" w14:textId="77777777" w:rsidR="00776316" w:rsidRPr="00CB3433" w:rsidRDefault="00BD36FC" w:rsidP="00776316">
      <w:pPr>
        <w:pStyle w:val="Body"/>
        <w:spacing w:after="0"/>
        <w:rPr>
          <w:rFonts w:ascii="Arial" w:hAnsi="Arial" w:cs="Arial"/>
          <w:noProof/>
        </w:rPr>
      </w:pPr>
      <w:r w:rsidRPr="00CB3433">
        <w:rPr>
          <w:rFonts w:ascii="Arial" w:hAnsi="Arial" w:cs="Arial"/>
          <w:noProof/>
        </w:rPr>
        <w:t>Ferra F et al. [16</w:t>
      </w:r>
      <w:r w:rsidR="00776316" w:rsidRPr="00CB3433">
        <w:rPr>
          <w:rFonts w:ascii="Arial" w:hAnsi="Arial" w:cs="Arial"/>
          <w:noProof/>
        </w:rPr>
        <w:t xml:space="preserve">] describe the treatment </w:t>
      </w:r>
      <w:r w:rsidR="001A355A" w:rsidRPr="00CB3433">
        <w:rPr>
          <w:rFonts w:ascii="Arial" w:hAnsi="Arial" w:cs="Arial"/>
          <w:noProof/>
        </w:rPr>
        <w:t>results</w:t>
      </w:r>
      <w:r w:rsidR="00776316" w:rsidRPr="00CB3433">
        <w:rPr>
          <w:rFonts w:ascii="Arial" w:hAnsi="Arial" w:cs="Arial"/>
          <w:noProof/>
        </w:rPr>
        <w:t xml:space="preserve"> of ten consecutive COVID-19 patients with AML their median age being 60 (range: 31–69) and M/F ratio 5/5. Two patients were newly diagnosed, 6 in </w:t>
      </w:r>
      <w:r w:rsidR="001A355A" w:rsidRPr="00CB3433">
        <w:rPr>
          <w:rFonts w:ascii="Arial" w:hAnsi="Arial" w:cs="Arial"/>
          <w:noProof/>
        </w:rPr>
        <w:t>CR (</w:t>
      </w:r>
      <w:r w:rsidR="00776316" w:rsidRPr="00CB3433">
        <w:rPr>
          <w:rFonts w:ascii="Arial" w:hAnsi="Arial" w:cs="Arial"/>
          <w:noProof/>
        </w:rPr>
        <w:t>complete remission</w:t>
      </w:r>
      <w:r w:rsidR="001A355A" w:rsidRPr="00CB3433">
        <w:rPr>
          <w:rFonts w:ascii="Arial" w:hAnsi="Arial" w:cs="Arial"/>
          <w:noProof/>
        </w:rPr>
        <w:t>)</w:t>
      </w:r>
      <w:r w:rsidR="00776316" w:rsidRPr="00CB3433">
        <w:rPr>
          <w:rFonts w:ascii="Arial" w:hAnsi="Arial" w:cs="Arial"/>
          <w:noProof/>
        </w:rPr>
        <w:t xml:space="preserve"> and 2 in relapse. COVID-19 imposed </w:t>
      </w:r>
      <w:r w:rsidR="001A355A" w:rsidRPr="00CB3433">
        <w:rPr>
          <w:rFonts w:ascii="Arial" w:hAnsi="Arial" w:cs="Arial"/>
          <w:noProof/>
        </w:rPr>
        <w:t xml:space="preserve">In their study </w:t>
      </w:r>
      <w:r w:rsidR="00776316" w:rsidRPr="00CB3433">
        <w:rPr>
          <w:rFonts w:ascii="Arial" w:hAnsi="Arial" w:cs="Arial"/>
          <w:noProof/>
        </w:rPr>
        <w:t>hematological treatment modifi</w:t>
      </w:r>
      <w:r w:rsidR="001A355A" w:rsidRPr="00CB3433">
        <w:rPr>
          <w:rFonts w:ascii="Arial" w:hAnsi="Arial" w:cs="Arial"/>
          <w:noProof/>
        </w:rPr>
        <w:t xml:space="preserve">cations in 7 patients. Three patients discontinued the therapy, </w:t>
      </w:r>
      <w:r w:rsidR="00776316" w:rsidRPr="00CB3433">
        <w:rPr>
          <w:rFonts w:ascii="Arial" w:hAnsi="Arial" w:cs="Arial"/>
          <w:noProof/>
        </w:rPr>
        <w:t xml:space="preserve">venetoclax/azacitidine and venetoclax/enasidenib </w:t>
      </w:r>
      <w:r w:rsidR="001A355A" w:rsidRPr="00CB3433">
        <w:rPr>
          <w:rFonts w:ascii="Arial" w:hAnsi="Arial" w:cs="Arial"/>
          <w:noProof/>
        </w:rPr>
        <w:t xml:space="preserve">used in 2 relapsed patients, </w:t>
      </w:r>
      <w:r w:rsidR="00776316" w:rsidRPr="00CB3433">
        <w:rPr>
          <w:rFonts w:ascii="Arial" w:hAnsi="Arial" w:cs="Arial"/>
          <w:noProof/>
        </w:rPr>
        <w:t>high-dose cytosine-arabinoside as first consolidation in one CR patient</w:t>
      </w:r>
      <w:r w:rsidR="001A355A" w:rsidRPr="00CB3433">
        <w:rPr>
          <w:rFonts w:ascii="Arial" w:hAnsi="Arial" w:cs="Arial"/>
          <w:noProof/>
        </w:rPr>
        <w:t xml:space="preserve"> and one died before any treatment. Seven out of the 10 patients, </w:t>
      </w:r>
      <w:r w:rsidR="00776316" w:rsidRPr="00CB3433">
        <w:rPr>
          <w:rFonts w:ascii="Arial" w:hAnsi="Arial" w:cs="Arial"/>
          <w:noProof/>
        </w:rPr>
        <w:t xml:space="preserve"> encountered abrupt worsening of the respiratory function. </w:t>
      </w:r>
      <w:r w:rsidR="001A355A" w:rsidRPr="00CB3433">
        <w:rPr>
          <w:rFonts w:ascii="Arial" w:hAnsi="Arial" w:cs="Arial"/>
          <w:noProof/>
        </w:rPr>
        <w:t>50% (5 patients)</w:t>
      </w:r>
      <w:r w:rsidR="00776316" w:rsidRPr="00CB3433">
        <w:rPr>
          <w:rFonts w:ascii="Arial" w:hAnsi="Arial" w:cs="Arial"/>
          <w:noProof/>
        </w:rPr>
        <w:t xml:space="preserve"> died after a median time of 8 days. </w:t>
      </w:r>
    </w:p>
    <w:p w14:paraId="7B90A505" w14:textId="77777777" w:rsidR="00776316" w:rsidRPr="00CB3433" w:rsidRDefault="00776316" w:rsidP="00776316">
      <w:pPr>
        <w:pStyle w:val="Body"/>
        <w:spacing w:after="0"/>
        <w:rPr>
          <w:rFonts w:ascii="Arial" w:hAnsi="Arial" w:cs="Arial"/>
          <w:noProof/>
        </w:rPr>
      </w:pPr>
      <w:r w:rsidRPr="00CB3433">
        <w:rPr>
          <w:rFonts w:ascii="Arial" w:hAnsi="Arial" w:cs="Arial"/>
          <w:noProof/>
        </w:rPr>
        <w:t>SARS-CoV-2 infection has a major impact on AML patients s</w:t>
      </w:r>
      <w:r w:rsidR="001A355A" w:rsidRPr="00CB3433">
        <w:rPr>
          <w:rFonts w:ascii="Arial" w:hAnsi="Arial" w:cs="Arial"/>
          <w:noProof/>
        </w:rPr>
        <w:t xml:space="preserve">urvival. As </w:t>
      </w:r>
      <w:r w:rsidRPr="00CB3433">
        <w:rPr>
          <w:rFonts w:ascii="Arial" w:hAnsi="Arial" w:cs="Arial"/>
          <w:noProof/>
        </w:rPr>
        <w:t xml:space="preserve">also described in </w:t>
      </w:r>
      <w:r w:rsidR="001A355A" w:rsidRPr="00CB3433">
        <w:rPr>
          <w:rFonts w:ascii="Arial" w:hAnsi="Arial" w:cs="Arial"/>
          <w:noProof/>
        </w:rPr>
        <w:t>this chapter</w:t>
      </w:r>
      <w:r w:rsidRPr="00CB3433">
        <w:rPr>
          <w:rFonts w:ascii="Arial" w:hAnsi="Arial" w:cs="Arial"/>
          <w:noProof/>
        </w:rPr>
        <w:t xml:space="preserve">, most patients with acute leukemia develop a severe form of COVID-19. Similarly, </w:t>
      </w:r>
      <w:r w:rsidR="001A355A" w:rsidRPr="00CB3433">
        <w:rPr>
          <w:rFonts w:ascii="Arial" w:hAnsi="Arial" w:cs="Arial"/>
          <w:noProof/>
        </w:rPr>
        <w:t xml:space="preserve">in one of the largest studies for patients with haematological malignancies and COVID-19, </w:t>
      </w:r>
      <w:r w:rsidR="00BD36FC" w:rsidRPr="00CB3433">
        <w:rPr>
          <w:rFonts w:ascii="Arial" w:hAnsi="Arial" w:cs="Arial"/>
          <w:noProof/>
        </w:rPr>
        <w:t>Passamonti et al. [17</w:t>
      </w:r>
      <w:r w:rsidRPr="00CB3433">
        <w:rPr>
          <w:rFonts w:ascii="Arial" w:hAnsi="Arial" w:cs="Arial"/>
          <w:noProof/>
        </w:rPr>
        <w:t xml:space="preserve">] emphasize the need for aggressive infection prevention strategies  due to their increased risk of mortality (536 enrolled patients out of which </w:t>
      </w:r>
      <w:r w:rsidR="001A355A" w:rsidRPr="00CB3433">
        <w:rPr>
          <w:rFonts w:ascii="Arial" w:hAnsi="Arial" w:cs="Arial"/>
          <w:noProof/>
        </w:rPr>
        <w:t>37%, that is 198</w:t>
      </w:r>
      <w:r w:rsidRPr="00CB3433">
        <w:rPr>
          <w:rFonts w:ascii="Arial" w:hAnsi="Arial" w:cs="Arial"/>
          <w:noProof/>
        </w:rPr>
        <w:t>, died).</w:t>
      </w:r>
    </w:p>
    <w:p w14:paraId="7717B13E" w14:textId="77777777" w:rsidR="00776316" w:rsidRDefault="00776316" w:rsidP="00776316">
      <w:pPr>
        <w:pStyle w:val="Body"/>
        <w:spacing w:after="0"/>
        <w:rPr>
          <w:rFonts w:ascii="Arial" w:hAnsi="Arial" w:cs="Arial"/>
          <w:noProof/>
        </w:rPr>
      </w:pPr>
      <w:r w:rsidRPr="00CB3433">
        <w:rPr>
          <w:rFonts w:ascii="Arial" w:hAnsi="Arial" w:cs="Arial"/>
          <w:noProof/>
        </w:rPr>
        <w:t>NHS England granted emergency approval of venetoclax and gi</w:t>
      </w:r>
      <w:r w:rsidR="001A355A" w:rsidRPr="00CB3433">
        <w:rPr>
          <w:rFonts w:ascii="Arial" w:hAnsi="Arial" w:cs="Arial"/>
          <w:noProof/>
        </w:rPr>
        <w:t xml:space="preserve">lteritinib for leukemia patients </w:t>
      </w:r>
      <w:r w:rsidR="00BD36FC" w:rsidRPr="00CB3433">
        <w:rPr>
          <w:rFonts w:ascii="Arial" w:hAnsi="Arial" w:cs="Arial"/>
          <w:noProof/>
        </w:rPr>
        <w:t>(see [18</w:t>
      </w:r>
      <w:r w:rsidRPr="00CB3433">
        <w:rPr>
          <w:rFonts w:ascii="Arial" w:hAnsi="Arial" w:cs="Arial"/>
          <w:noProof/>
        </w:rPr>
        <w:t xml:space="preserve">]). </w:t>
      </w:r>
      <w:r w:rsidR="001A355A" w:rsidRPr="00CB3433">
        <w:rPr>
          <w:rFonts w:ascii="Arial" w:hAnsi="Arial" w:cs="Arial"/>
          <w:noProof/>
        </w:rPr>
        <w:t>[</w:t>
      </w:r>
      <w:r w:rsidR="00BD36FC" w:rsidRPr="00CB3433">
        <w:rPr>
          <w:rFonts w:ascii="Arial" w:hAnsi="Arial" w:cs="Arial"/>
          <w:noProof/>
        </w:rPr>
        <w:t>19] and [4</w:t>
      </w:r>
      <w:r w:rsidR="001A355A" w:rsidRPr="00CB3433">
        <w:rPr>
          <w:rFonts w:ascii="Arial" w:hAnsi="Arial" w:cs="Arial"/>
          <w:noProof/>
        </w:rPr>
        <w:t>] show t</w:t>
      </w:r>
      <w:r w:rsidRPr="00CB3433">
        <w:rPr>
          <w:rFonts w:ascii="Arial" w:hAnsi="Arial" w:cs="Arial"/>
          <w:noProof/>
        </w:rPr>
        <w:t>he Leukemia-specific risk factors for COVID-19 as well as treatment alternatives and guidelines for patients with leukemia during COVID-19 high</w:t>
      </w:r>
      <w:r w:rsidR="001A355A" w:rsidRPr="00CB3433">
        <w:rPr>
          <w:rFonts w:ascii="Arial" w:hAnsi="Arial" w:cs="Arial"/>
          <w:noProof/>
        </w:rPr>
        <w:t>-risk periods.</w:t>
      </w:r>
    </w:p>
    <w:p w14:paraId="62F77E40" w14:textId="77777777" w:rsidR="00776316" w:rsidRDefault="00776316" w:rsidP="00776316">
      <w:pPr>
        <w:pStyle w:val="Body"/>
        <w:spacing w:after="0"/>
        <w:rPr>
          <w:rFonts w:ascii="Arial" w:hAnsi="Arial" w:cs="Arial"/>
          <w:noProof/>
        </w:rPr>
      </w:pPr>
      <w:r>
        <w:rPr>
          <w:rFonts w:ascii="Arial" w:hAnsi="Arial" w:cs="Arial"/>
        </w:rPr>
        <w:t xml:space="preserve">Mortality in patients with risk factors </w:t>
      </w:r>
      <w:r w:rsidR="001A355A">
        <w:rPr>
          <w:rFonts w:ascii="Arial" w:hAnsi="Arial" w:cs="Arial"/>
        </w:rPr>
        <w:t xml:space="preserve">in addition to AML </w:t>
      </w:r>
      <w:r>
        <w:rPr>
          <w:rFonts w:ascii="Arial" w:hAnsi="Arial" w:cs="Arial"/>
        </w:rPr>
        <w:t xml:space="preserve">can </w:t>
      </w:r>
      <w:r w:rsidR="00BD36FC">
        <w:rPr>
          <w:rFonts w:ascii="Arial" w:hAnsi="Arial" w:cs="Arial"/>
        </w:rPr>
        <w:t>be also consulted in [20] and [21]. The study [22</w:t>
      </w:r>
      <w:r>
        <w:rPr>
          <w:rFonts w:ascii="Arial" w:hAnsi="Arial" w:cs="Arial"/>
        </w:rPr>
        <w:t xml:space="preserve">] revealed the fact that </w:t>
      </w:r>
      <w:r w:rsidR="001A355A">
        <w:rPr>
          <w:rFonts w:ascii="Arial" w:hAnsi="Arial" w:cs="Arial"/>
        </w:rPr>
        <w:t>46.9% patients with AML</w:t>
      </w:r>
      <w:r>
        <w:rPr>
          <w:rFonts w:ascii="Arial" w:hAnsi="Arial" w:cs="Arial"/>
        </w:rPr>
        <w:t xml:space="preserve"> did not survive the COVID-19.</w:t>
      </w:r>
    </w:p>
    <w:p w14:paraId="4BB3384A" w14:textId="77777777" w:rsidR="00776316" w:rsidRDefault="00776316" w:rsidP="00776316">
      <w:pPr>
        <w:pStyle w:val="Body"/>
        <w:spacing w:after="0"/>
        <w:rPr>
          <w:rFonts w:ascii="Arial" w:hAnsi="Arial" w:cs="Arial"/>
        </w:rPr>
      </w:pPr>
    </w:p>
    <w:p w14:paraId="1D97075D" w14:textId="77777777" w:rsidR="00C6500E" w:rsidRDefault="00C6500E" w:rsidP="00776316">
      <w:pPr>
        <w:pStyle w:val="ConcHead"/>
        <w:spacing w:after="0"/>
        <w:jc w:val="both"/>
        <w:rPr>
          <w:rFonts w:ascii="Arial" w:hAnsi="Arial" w:cs="Arial"/>
        </w:rPr>
      </w:pPr>
    </w:p>
    <w:p w14:paraId="35833CF6" w14:textId="5149F709" w:rsidR="00776316" w:rsidRDefault="00776316" w:rsidP="00776316">
      <w:pPr>
        <w:pStyle w:val="ConcHead"/>
        <w:spacing w:after="0"/>
        <w:jc w:val="both"/>
        <w:rPr>
          <w:rFonts w:ascii="Arial" w:hAnsi="Arial" w:cs="Arial"/>
        </w:rPr>
      </w:pPr>
      <w:r>
        <w:rPr>
          <w:rFonts w:ascii="Arial" w:hAnsi="Arial" w:cs="Arial"/>
        </w:rPr>
        <w:t>4. Conclusion</w:t>
      </w:r>
    </w:p>
    <w:p w14:paraId="06C66730" w14:textId="77777777" w:rsidR="00776316" w:rsidRDefault="00776316" w:rsidP="00776316">
      <w:pPr>
        <w:pStyle w:val="ConcHead"/>
        <w:spacing w:after="0"/>
        <w:jc w:val="both"/>
        <w:rPr>
          <w:rFonts w:ascii="Arial" w:hAnsi="Arial" w:cs="Arial"/>
        </w:rPr>
      </w:pPr>
    </w:p>
    <w:p w14:paraId="04714A4C" w14:textId="77777777" w:rsidR="00776316" w:rsidRDefault="00776316" w:rsidP="00776316">
      <w:pPr>
        <w:pStyle w:val="Body"/>
        <w:rPr>
          <w:rFonts w:ascii="Arial" w:hAnsi="Arial" w:cs="Arial"/>
        </w:rPr>
      </w:pPr>
      <w:proofErr w:type="spellStart"/>
      <w:r w:rsidRPr="00CB3433">
        <w:rPr>
          <w:rFonts w:ascii="Arial" w:hAnsi="Arial" w:cs="Arial"/>
        </w:rPr>
        <w:t>Venetoclax</w:t>
      </w:r>
      <w:proofErr w:type="spellEnd"/>
      <w:r w:rsidRPr="00CB3433">
        <w:rPr>
          <w:rFonts w:ascii="Arial" w:hAnsi="Arial" w:cs="Arial"/>
        </w:rPr>
        <w:t xml:space="preserve"> first cycle treatment in SARS-CoV-2 infected patients is a very rare case. </w:t>
      </w:r>
      <w:r w:rsidR="001A355A" w:rsidRPr="00CB3433">
        <w:rPr>
          <w:rFonts w:ascii="Arial" w:hAnsi="Arial" w:cs="Arial"/>
        </w:rPr>
        <w:t>In</w:t>
      </w:r>
      <w:r w:rsidRPr="00CB3433">
        <w:rPr>
          <w:rFonts w:ascii="Arial" w:hAnsi="Arial" w:cs="Arial"/>
        </w:rPr>
        <w:t xml:space="preserve"> this </w:t>
      </w:r>
      <w:r w:rsidR="001A355A" w:rsidRPr="00CB3433">
        <w:rPr>
          <w:rFonts w:ascii="Arial" w:hAnsi="Arial" w:cs="Arial"/>
        </w:rPr>
        <w:t>chapter</w:t>
      </w:r>
      <w:r w:rsidRPr="00CB3433">
        <w:rPr>
          <w:rFonts w:ascii="Arial" w:hAnsi="Arial" w:cs="Arial"/>
        </w:rPr>
        <w:t>,</w:t>
      </w:r>
      <w:r w:rsidR="001A355A" w:rsidRPr="00CB3433">
        <w:rPr>
          <w:rFonts w:ascii="Arial" w:hAnsi="Arial" w:cs="Arial"/>
        </w:rPr>
        <w:t xml:space="preserve"> one proved that</w:t>
      </w:r>
      <w:r w:rsidRPr="00CB3433">
        <w:rPr>
          <w:rFonts w:ascii="Arial" w:hAnsi="Arial" w:cs="Arial"/>
        </w:rPr>
        <w:t xml:space="preserve"> the </w:t>
      </w:r>
      <w:proofErr w:type="spellStart"/>
      <w:r w:rsidRPr="00CB3433">
        <w:rPr>
          <w:rFonts w:ascii="Arial" w:hAnsi="Arial" w:cs="Arial"/>
        </w:rPr>
        <w:t>venetoclax</w:t>
      </w:r>
      <w:proofErr w:type="spellEnd"/>
      <w:r w:rsidRPr="00CB3433">
        <w:rPr>
          <w:rFonts w:ascii="Arial" w:hAnsi="Arial" w:cs="Arial"/>
        </w:rPr>
        <w:t xml:space="preserve"> treatment worked against AML in this COVID-19 case. </w:t>
      </w:r>
      <w:r w:rsidR="001A355A" w:rsidRPr="00CB3433">
        <w:rPr>
          <w:rFonts w:ascii="Arial" w:hAnsi="Arial" w:cs="Arial"/>
        </w:rPr>
        <w:t xml:space="preserve">Moreover, due to his response to </w:t>
      </w:r>
      <w:proofErr w:type="spellStart"/>
      <w:r w:rsidR="001A355A" w:rsidRPr="00CB3433">
        <w:rPr>
          <w:rFonts w:ascii="Arial" w:hAnsi="Arial" w:cs="Arial"/>
        </w:rPr>
        <w:t>venetoclax</w:t>
      </w:r>
      <w:proofErr w:type="spellEnd"/>
      <w:r w:rsidR="001A355A" w:rsidRPr="00CB3433">
        <w:rPr>
          <w:rFonts w:ascii="Arial" w:hAnsi="Arial" w:cs="Arial"/>
        </w:rPr>
        <w:t>,</w:t>
      </w:r>
      <w:r w:rsidR="001A355A">
        <w:rPr>
          <w:rFonts w:ascii="Arial" w:hAnsi="Arial" w:cs="Arial"/>
        </w:rPr>
        <w:t xml:space="preserve">  in</w:t>
      </w:r>
      <w:r>
        <w:rPr>
          <w:rFonts w:ascii="Arial" w:hAnsi="Arial" w:cs="Arial"/>
        </w:rPr>
        <w:t xml:space="preserve"> the event this patient would have not been infected with SARS-CoV-2, his life expectance would have been over 12 months with a probab</w:t>
      </w:r>
      <w:r w:rsidR="00BD36FC">
        <w:rPr>
          <w:rFonts w:ascii="Arial" w:hAnsi="Arial" w:cs="Arial"/>
        </w:rPr>
        <w:t>ility of about 75% (see [23</w:t>
      </w:r>
      <w:r>
        <w:rPr>
          <w:rFonts w:ascii="Arial" w:hAnsi="Arial" w:cs="Arial"/>
        </w:rPr>
        <w:t xml:space="preserve">]) in which case he would have continued with the next phases of the </w:t>
      </w:r>
      <w:proofErr w:type="spellStart"/>
      <w:r>
        <w:rPr>
          <w:rFonts w:ascii="Arial" w:hAnsi="Arial" w:cs="Arial"/>
        </w:rPr>
        <w:t>venetoclax</w:t>
      </w:r>
      <w:proofErr w:type="spellEnd"/>
      <w:r>
        <w:rPr>
          <w:rFonts w:ascii="Arial" w:hAnsi="Arial" w:cs="Arial"/>
        </w:rPr>
        <w:t xml:space="preserve"> treatment with a high probability of living at</w:t>
      </w:r>
      <w:r w:rsidR="00BD36FC">
        <w:rPr>
          <w:rFonts w:ascii="Arial" w:hAnsi="Arial" w:cs="Arial"/>
        </w:rPr>
        <w:t xml:space="preserve"> least 18 more months as per [23</w:t>
      </w:r>
      <w:r w:rsidRPr="00CB3433">
        <w:rPr>
          <w:rFonts w:ascii="Arial" w:hAnsi="Arial" w:cs="Arial"/>
        </w:rPr>
        <w:t>], the median overall surv</w:t>
      </w:r>
      <w:r w:rsidR="00BD36FC" w:rsidRPr="00CB3433">
        <w:rPr>
          <w:rFonts w:ascii="Arial" w:hAnsi="Arial" w:cs="Arial"/>
        </w:rPr>
        <w:t>ival rate being 14.7 months ([24</w:t>
      </w:r>
      <w:r w:rsidRPr="00CB3433">
        <w:rPr>
          <w:rFonts w:ascii="Arial" w:hAnsi="Arial" w:cs="Arial"/>
        </w:rPr>
        <w:t>]).</w:t>
      </w:r>
      <w:r>
        <w:rPr>
          <w:rFonts w:ascii="Arial" w:hAnsi="Arial" w:cs="Arial"/>
        </w:rPr>
        <w:t xml:space="preserve"> </w:t>
      </w:r>
      <w:r w:rsidR="00182274" w:rsidRPr="00182274">
        <w:rPr>
          <w:rFonts w:ascii="Arial" w:hAnsi="Arial" w:cs="Arial"/>
        </w:rPr>
        <w:t xml:space="preserve">The positive response to </w:t>
      </w:r>
      <w:proofErr w:type="spellStart"/>
      <w:r w:rsidR="00182274" w:rsidRPr="00182274">
        <w:rPr>
          <w:rFonts w:ascii="Arial" w:hAnsi="Arial" w:cs="Arial"/>
        </w:rPr>
        <w:t>venetoclax</w:t>
      </w:r>
      <w:proofErr w:type="spellEnd"/>
      <w:r w:rsidR="00182274" w:rsidRPr="00182274">
        <w:rPr>
          <w:rFonts w:ascii="Arial" w:hAnsi="Arial" w:cs="Arial"/>
        </w:rPr>
        <w:t xml:space="preserve"> occurred even if </w:t>
      </w:r>
      <w:r w:rsidR="00182274">
        <w:rPr>
          <w:rFonts w:ascii="Arial" w:hAnsi="Arial" w:cs="Arial"/>
        </w:rPr>
        <w:t xml:space="preserve">the patient </w:t>
      </w:r>
      <w:r w:rsidR="00C62655">
        <w:rPr>
          <w:rFonts w:ascii="Arial" w:hAnsi="Arial" w:cs="Arial"/>
        </w:rPr>
        <w:t>developed</w:t>
      </w:r>
      <w:r w:rsidR="00182274">
        <w:rPr>
          <w:rFonts w:ascii="Arial" w:hAnsi="Arial" w:cs="Arial"/>
        </w:rPr>
        <w:t xml:space="preserve"> </w:t>
      </w:r>
      <w:r w:rsidR="00182274" w:rsidRPr="00182274">
        <w:rPr>
          <w:rFonts w:ascii="Arial" w:hAnsi="Arial" w:cs="Arial"/>
        </w:rPr>
        <w:t xml:space="preserve">other comorbidities at that </w:t>
      </w:r>
      <w:r w:rsidR="00182274">
        <w:rPr>
          <w:rFonts w:ascii="Arial" w:hAnsi="Arial" w:cs="Arial"/>
        </w:rPr>
        <w:t xml:space="preserve">point </w:t>
      </w:r>
      <w:r w:rsidR="00182274" w:rsidRPr="00182274">
        <w:rPr>
          <w:rFonts w:ascii="Arial" w:hAnsi="Arial" w:cs="Arial"/>
        </w:rPr>
        <w:t xml:space="preserve">such as </w:t>
      </w:r>
      <w:r w:rsidR="00182274">
        <w:rPr>
          <w:rFonts w:ascii="Arial" w:hAnsi="Arial" w:cs="Arial"/>
        </w:rPr>
        <w:t xml:space="preserve">for example </w:t>
      </w:r>
      <w:r w:rsidR="00182274" w:rsidRPr="00182274">
        <w:rPr>
          <w:rFonts w:ascii="Arial" w:hAnsi="Arial" w:cs="Arial"/>
        </w:rPr>
        <w:t>severe anemia within the disease, thrombocytopenia</w:t>
      </w:r>
      <w:r w:rsidR="00182274">
        <w:rPr>
          <w:rFonts w:ascii="Arial" w:hAnsi="Arial" w:cs="Arial"/>
        </w:rPr>
        <w:t xml:space="preserve">, </w:t>
      </w:r>
      <w:r w:rsidR="00182274" w:rsidRPr="00182274">
        <w:rPr>
          <w:rFonts w:ascii="Arial" w:hAnsi="Arial" w:cs="Arial"/>
        </w:rPr>
        <w:t>SIRS (systemic inflammatory response syndrome)</w:t>
      </w:r>
      <w:r w:rsidR="00182274">
        <w:rPr>
          <w:rFonts w:ascii="Arial" w:hAnsi="Arial" w:cs="Arial"/>
        </w:rPr>
        <w:t>.</w:t>
      </w:r>
    </w:p>
    <w:p w14:paraId="093BFF62" w14:textId="77777777" w:rsidR="00776316" w:rsidRDefault="00776316" w:rsidP="00776316">
      <w:pPr>
        <w:pStyle w:val="Body"/>
        <w:spacing w:after="0"/>
        <w:rPr>
          <w:rFonts w:ascii="Arial" w:hAnsi="Arial" w:cs="Arial"/>
        </w:rPr>
      </w:pPr>
    </w:p>
    <w:p w14:paraId="5DC107CD" w14:textId="77777777" w:rsidR="00776316" w:rsidRDefault="00776316" w:rsidP="00776316">
      <w:pPr>
        <w:pStyle w:val="ReferHead"/>
        <w:spacing w:after="0"/>
        <w:jc w:val="both"/>
        <w:rPr>
          <w:rFonts w:ascii="Arial" w:hAnsi="Arial" w:cs="Arial"/>
          <w:b w:val="0"/>
          <w:caps w:val="0"/>
          <w:sz w:val="20"/>
        </w:rPr>
      </w:pPr>
    </w:p>
    <w:p w14:paraId="51551BF6" w14:textId="77777777" w:rsidR="00776316" w:rsidRDefault="00776316" w:rsidP="00776316">
      <w:pPr>
        <w:pStyle w:val="ReferHead"/>
        <w:spacing w:after="0"/>
        <w:jc w:val="both"/>
        <w:rPr>
          <w:rFonts w:ascii="Arial" w:hAnsi="Arial" w:cs="Arial"/>
          <w:bCs/>
        </w:rPr>
      </w:pPr>
      <w:r>
        <w:rPr>
          <w:rFonts w:ascii="Arial" w:hAnsi="Arial" w:cs="Arial"/>
          <w:bCs/>
        </w:rPr>
        <w:t xml:space="preserve">Consent </w:t>
      </w:r>
    </w:p>
    <w:p w14:paraId="491E9A10" w14:textId="77777777" w:rsidR="00776316" w:rsidRDefault="00776316" w:rsidP="00776316">
      <w:pPr>
        <w:pStyle w:val="ReferHead"/>
        <w:spacing w:after="0"/>
        <w:jc w:val="both"/>
        <w:rPr>
          <w:rFonts w:ascii="Arial" w:hAnsi="Arial" w:cs="Arial"/>
          <w:bCs/>
        </w:rPr>
      </w:pPr>
    </w:p>
    <w:p w14:paraId="36092EA8" w14:textId="77777777" w:rsidR="00776316" w:rsidRDefault="00776316" w:rsidP="00776316">
      <w:pPr>
        <w:pStyle w:val="ReferHead"/>
        <w:spacing w:after="0"/>
        <w:jc w:val="both"/>
        <w:rPr>
          <w:rFonts w:ascii="Arial" w:hAnsi="Arial" w:cs="Arial"/>
          <w:b w:val="0"/>
          <w:caps w:val="0"/>
          <w:sz w:val="20"/>
        </w:rPr>
      </w:pPr>
      <w:r>
        <w:rPr>
          <w:rFonts w:ascii="Arial" w:hAnsi="Arial" w:cs="Arial"/>
          <w:b w:val="0"/>
          <w:caps w:val="0"/>
          <w:sz w:val="20"/>
        </w:rPr>
        <w:t>The author declares that written informed consent was obtained from the patient for publication of this case report and accompanying images. As per international standard, patient’s written consent has been collected and preserved by the author.</w:t>
      </w:r>
    </w:p>
    <w:p w14:paraId="194FAA84" w14:textId="77777777" w:rsidR="00776316" w:rsidRDefault="00776316" w:rsidP="00776316">
      <w:pPr>
        <w:pStyle w:val="ReferHead"/>
        <w:spacing w:after="0"/>
        <w:jc w:val="both"/>
        <w:rPr>
          <w:rFonts w:ascii="Arial" w:hAnsi="Arial" w:cs="Arial"/>
          <w:b w:val="0"/>
          <w:caps w:val="0"/>
          <w:sz w:val="20"/>
        </w:rPr>
      </w:pPr>
    </w:p>
    <w:p w14:paraId="204D485F" w14:textId="77777777" w:rsidR="00776316" w:rsidRPr="00CB3433" w:rsidRDefault="00776316" w:rsidP="00776316">
      <w:pPr>
        <w:pStyle w:val="ReferHead"/>
        <w:spacing w:after="0"/>
        <w:jc w:val="both"/>
        <w:rPr>
          <w:rFonts w:ascii="Arial" w:hAnsi="Arial" w:cs="Arial"/>
          <w:bCs/>
        </w:rPr>
      </w:pPr>
      <w:r w:rsidRPr="00CB3433">
        <w:rPr>
          <w:rFonts w:ascii="Arial" w:hAnsi="Arial" w:cs="Arial"/>
          <w:bCs/>
        </w:rPr>
        <w:t xml:space="preserve">ETHICAL APPROVAL  </w:t>
      </w:r>
    </w:p>
    <w:p w14:paraId="4FDE23C0" w14:textId="77777777" w:rsidR="00776316" w:rsidRPr="00CB3433" w:rsidRDefault="00776316" w:rsidP="00776316">
      <w:pPr>
        <w:pStyle w:val="ReferHead"/>
        <w:spacing w:after="0"/>
        <w:jc w:val="both"/>
        <w:rPr>
          <w:rFonts w:ascii="Arial" w:hAnsi="Arial" w:cs="Arial"/>
          <w:bCs/>
        </w:rPr>
      </w:pPr>
    </w:p>
    <w:p w14:paraId="180E6248" w14:textId="77777777" w:rsidR="00776316" w:rsidRDefault="00776316" w:rsidP="00776316">
      <w:pPr>
        <w:pStyle w:val="ReferHead"/>
        <w:spacing w:after="0"/>
        <w:jc w:val="both"/>
        <w:rPr>
          <w:rFonts w:ascii="Arial" w:hAnsi="Arial" w:cs="Arial"/>
          <w:bCs/>
        </w:rPr>
      </w:pPr>
      <w:r w:rsidRPr="00CB3433">
        <w:rPr>
          <w:rFonts w:ascii="Arial" w:hAnsi="Arial" w:cs="Arial"/>
          <w:b w:val="0"/>
          <w:caps w:val="0"/>
          <w:sz w:val="20"/>
        </w:rPr>
        <w:t>As per international standard or university standard ethical approval has been collected and preserved by the author.</w:t>
      </w:r>
    </w:p>
    <w:p w14:paraId="7ADD1C59" w14:textId="77777777" w:rsidR="00776316" w:rsidRDefault="00776316" w:rsidP="00776316">
      <w:pPr>
        <w:pStyle w:val="ReferHead"/>
        <w:spacing w:after="0"/>
        <w:jc w:val="both"/>
        <w:rPr>
          <w:rFonts w:ascii="Arial" w:hAnsi="Arial" w:cs="Arial"/>
        </w:rPr>
      </w:pPr>
    </w:p>
    <w:p w14:paraId="0F958B61" w14:textId="77777777" w:rsidR="006313BA" w:rsidRDefault="00776316" w:rsidP="00776316">
      <w:pPr>
        <w:pStyle w:val="ReferHead"/>
        <w:spacing w:after="0"/>
        <w:jc w:val="both"/>
        <w:rPr>
          <w:rFonts w:ascii="Arial" w:hAnsi="Arial" w:cs="Arial"/>
        </w:rPr>
      </w:pPr>
      <w:r>
        <w:rPr>
          <w:rFonts w:ascii="Arial" w:hAnsi="Arial" w:cs="Arial"/>
        </w:rPr>
        <w:t>References</w:t>
      </w:r>
    </w:p>
    <w:p w14:paraId="7710C441" w14:textId="77777777" w:rsidR="00776316" w:rsidRDefault="00776316" w:rsidP="00776316">
      <w:pPr>
        <w:pStyle w:val="Body"/>
        <w:spacing w:after="0"/>
        <w:rPr>
          <w:rFonts w:ascii="Arial" w:hAnsi="Arial" w:cs="Arial"/>
          <w:i/>
          <w:u w:val="single"/>
        </w:rPr>
      </w:pPr>
    </w:p>
    <w:p w14:paraId="5945DE68" w14:textId="77777777" w:rsidR="006313BA" w:rsidRDefault="00776316" w:rsidP="00776316">
      <w:pPr>
        <w:pStyle w:val="Body"/>
        <w:spacing w:after="0"/>
        <w:rPr>
          <w:rFonts w:ascii="Arial" w:hAnsi="Arial" w:cs="Arial"/>
        </w:rPr>
      </w:pPr>
      <w:r>
        <w:rPr>
          <w:rFonts w:ascii="Arial" w:hAnsi="Arial" w:cs="Arial"/>
        </w:rPr>
        <w:t xml:space="preserve">1. </w:t>
      </w:r>
      <w:r w:rsidR="006313BA">
        <w:rPr>
          <w:rFonts w:ascii="Arial" w:hAnsi="Arial" w:cs="Arial"/>
        </w:rPr>
        <w:t xml:space="preserve">Gaba R., </w:t>
      </w:r>
      <w:proofErr w:type="spellStart"/>
      <w:r w:rsidR="006313BA" w:rsidRPr="006313BA">
        <w:rPr>
          <w:rFonts w:ascii="Arial" w:hAnsi="Arial" w:cs="Arial"/>
        </w:rPr>
        <w:t>Venetoclax</w:t>
      </w:r>
      <w:proofErr w:type="spellEnd"/>
      <w:r w:rsidR="006313BA" w:rsidRPr="006313BA">
        <w:rPr>
          <w:rFonts w:ascii="Arial" w:hAnsi="Arial" w:cs="Arial"/>
        </w:rPr>
        <w:t xml:space="preserve"> First Cycle Treatment in a Case of Severe AML FAB M2 and COVID-19 Pneumoniae: A Rare Clinical Scenario</w:t>
      </w:r>
      <w:r w:rsidR="006313BA">
        <w:rPr>
          <w:rFonts w:ascii="Arial" w:hAnsi="Arial" w:cs="Arial"/>
        </w:rPr>
        <w:t xml:space="preserve">, Asian Hem. Res. J., </w:t>
      </w:r>
      <w:r w:rsidR="006313BA" w:rsidRPr="006313BA">
        <w:rPr>
          <w:rFonts w:ascii="Arial" w:hAnsi="Arial" w:cs="Arial"/>
        </w:rPr>
        <w:t>4(1): 12-18, 2021; Article no.AHRJ.64829</w:t>
      </w:r>
    </w:p>
    <w:p w14:paraId="68723217" w14:textId="77777777" w:rsidR="006313BA" w:rsidRDefault="006313BA" w:rsidP="00776316">
      <w:pPr>
        <w:pStyle w:val="Body"/>
        <w:spacing w:after="0"/>
        <w:rPr>
          <w:rFonts w:ascii="Arial" w:hAnsi="Arial" w:cs="Arial"/>
        </w:rPr>
      </w:pPr>
      <w:r>
        <w:rPr>
          <w:rFonts w:ascii="Arial" w:hAnsi="Arial" w:cs="Arial"/>
        </w:rPr>
        <w:t xml:space="preserve">Available: </w:t>
      </w:r>
      <w:hyperlink r:id="rId13" w:history="1">
        <w:r w:rsidR="00CA76A6" w:rsidRPr="007F53B3">
          <w:rPr>
            <w:rStyle w:val="Hyperlink"/>
            <w:rFonts w:ascii="Arial" w:hAnsi="Arial" w:cs="Arial"/>
          </w:rPr>
          <w:t>https://journalahrj.com/index.php/AHRJ/article/view/52</w:t>
        </w:r>
      </w:hyperlink>
    </w:p>
    <w:p w14:paraId="7FF89549" w14:textId="77777777" w:rsidR="006313BA" w:rsidRDefault="006313BA" w:rsidP="00776316">
      <w:pPr>
        <w:pStyle w:val="Body"/>
        <w:spacing w:after="0"/>
        <w:rPr>
          <w:rFonts w:ascii="Arial" w:hAnsi="Arial" w:cs="Arial"/>
        </w:rPr>
      </w:pPr>
    </w:p>
    <w:p w14:paraId="7E84182A" w14:textId="77777777" w:rsidR="00776316" w:rsidRDefault="00CA76A6" w:rsidP="00776316">
      <w:pPr>
        <w:pStyle w:val="Body"/>
        <w:spacing w:after="0"/>
        <w:rPr>
          <w:rFonts w:ascii="Arial" w:hAnsi="Arial" w:cs="Arial"/>
        </w:rPr>
      </w:pPr>
      <w:r>
        <w:rPr>
          <w:rFonts w:ascii="Arial" w:hAnsi="Arial" w:cs="Arial"/>
        </w:rPr>
        <w:t xml:space="preserve">2. </w:t>
      </w:r>
      <w:r w:rsidR="00776316">
        <w:rPr>
          <w:rFonts w:ascii="Arial" w:hAnsi="Arial" w:cs="Arial"/>
        </w:rPr>
        <w:t xml:space="preserve">Ministry of Health of Romania, </w:t>
      </w:r>
      <w:r w:rsidR="00776316">
        <w:rPr>
          <w:rFonts w:ascii="Arial" w:hAnsi="Arial" w:cs="Arial"/>
          <w:color w:val="000000"/>
          <w:shd w:val="clear" w:color="auto" w:fill="FFFFFF"/>
        </w:rPr>
        <w:t>Official Journal of Romania</w:t>
      </w:r>
      <w:r w:rsidR="00776316">
        <w:rPr>
          <w:rFonts w:ascii="Arial" w:hAnsi="Arial" w:cs="Arial"/>
        </w:rPr>
        <w:t xml:space="preserve">, Annex 1 to the Order of the Minister of Health no.1/301/500/2008:1-43. Romanian. Accessed 31 December 2020. </w:t>
      </w:r>
    </w:p>
    <w:p w14:paraId="2C9FECD5" w14:textId="77777777" w:rsidR="00776316" w:rsidRDefault="00776316" w:rsidP="00776316">
      <w:pPr>
        <w:pStyle w:val="Body"/>
        <w:spacing w:after="0"/>
        <w:rPr>
          <w:rFonts w:ascii="Arial" w:hAnsi="Arial" w:cs="Arial"/>
        </w:rPr>
      </w:pPr>
      <w:r>
        <w:rPr>
          <w:rFonts w:ascii="Arial" w:hAnsi="Arial" w:cs="Arial"/>
        </w:rPr>
        <w:t>Available:</w:t>
      </w:r>
      <w:hyperlink r:id="rId14" w:history="1">
        <w:r>
          <w:rPr>
            <w:rStyle w:val="Hyperlink"/>
            <w:rFonts w:ascii="Arial" w:hAnsi="Arial" w:cs="Arial"/>
          </w:rPr>
          <w:t>http://www.ms.ro/wp-content/uploads/2018/06/Ordin-privind-aprobarea-protocoalelor-terapeutice-1.pdf</w:t>
        </w:r>
      </w:hyperlink>
      <w:r>
        <w:rPr>
          <w:rFonts w:ascii="Arial" w:hAnsi="Arial" w:cs="Arial"/>
        </w:rPr>
        <w:t xml:space="preserve"> </w:t>
      </w:r>
    </w:p>
    <w:p w14:paraId="0E4D7EAC" w14:textId="77777777" w:rsidR="00CA76A6" w:rsidRDefault="00CA76A6" w:rsidP="00776316">
      <w:pPr>
        <w:pStyle w:val="Body"/>
        <w:spacing w:after="0"/>
        <w:rPr>
          <w:rFonts w:ascii="Arial" w:hAnsi="Arial" w:cs="Arial"/>
        </w:rPr>
      </w:pPr>
    </w:p>
    <w:p w14:paraId="4E01576A" w14:textId="77777777" w:rsidR="00CA76A6" w:rsidRDefault="00CA76A6" w:rsidP="00CA76A6">
      <w:pPr>
        <w:pStyle w:val="Body"/>
        <w:spacing w:after="0"/>
        <w:rPr>
          <w:rFonts w:ascii="Arial" w:hAnsi="Arial" w:cs="Arial"/>
        </w:rPr>
      </w:pPr>
      <w:r>
        <w:rPr>
          <w:rFonts w:ascii="Arial" w:hAnsi="Arial" w:cs="Arial"/>
        </w:rPr>
        <w:t xml:space="preserve">3. Ministry of Health of Romania, </w:t>
      </w:r>
      <w:r>
        <w:rPr>
          <w:rFonts w:ascii="Arial" w:hAnsi="Arial" w:cs="Arial"/>
          <w:color w:val="000000"/>
          <w:shd w:val="clear" w:color="auto" w:fill="FFFFFF"/>
        </w:rPr>
        <w:t>Official Journal of Romania</w:t>
      </w:r>
      <w:r>
        <w:rPr>
          <w:rFonts w:ascii="Arial" w:hAnsi="Arial" w:cs="Arial"/>
        </w:rPr>
        <w:t xml:space="preserve">, Order of the Minister of Health no.681/04.03.2022:1-65. Romanian. Accessed 16 March 2025. </w:t>
      </w:r>
    </w:p>
    <w:p w14:paraId="24834990" w14:textId="77777777" w:rsidR="00CA76A6" w:rsidRDefault="00CA76A6" w:rsidP="00776316">
      <w:pPr>
        <w:pStyle w:val="Body"/>
        <w:spacing w:after="0"/>
        <w:rPr>
          <w:rFonts w:ascii="Arial" w:hAnsi="Arial" w:cs="Arial"/>
        </w:rPr>
      </w:pPr>
      <w:r>
        <w:rPr>
          <w:rFonts w:ascii="Arial" w:hAnsi="Arial" w:cs="Arial"/>
        </w:rPr>
        <w:t xml:space="preserve">Available: </w:t>
      </w:r>
      <w:hyperlink r:id="rId15" w:history="1">
        <w:r w:rsidRPr="007F53B3">
          <w:rPr>
            <w:rStyle w:val="Hyperlink"/>
            <w:rFonts w:ascii="Arial" w:hAnsi="Arial" w:cs="Arial"/>
          </w:rPr>
          <w:t>https://cnas.ro/wp-content/uploads/2022/03/Ordin-MS-681-CNAS-117-modif-C2-val-01-03-2022.pdf</w:t>
        </w:r>
      </w:hyperlink>
    </w:p>
    <w:p w14:paraId="5BA9DACC" w14:textId="77777777" w:rsidR="00003427" w:rsidRDefault="00003427" w:rsidP="00776316">
      <w:pPr>
        <w:pStyle w:val="Body"/>
        <w:spacing w:after="0"/>
        <w:rPr>
          <w:rFonts w:ascii="Arial" w:hAnsi="Arial" w:cs="Arial"/>
        </w:rPr>
      </w:pPr>
    </w:p>
    <w:p w14:paraId="1E3BBAE0" w14:textId="77777777" w:rsidR="00CA76A6" w:rsidRDefault="00CA76A6" w:rsidP="00CA76A6">
      <w:pPr>
        <w:pStyle w:val="Body"/>
        <w:rPr>
          <w:rFonts w:ascii="Arial" w:hAnsi="Arial" w:cs="Arial"/>
        </w:rPr>
      </w:pPr>
      <w:r>
        <w:rPr>
          <w:rFonts w:ascii="Arial" w:hAnsi="Arial" w:cs="Arial"/>
        </w:rPr>
        <w:t xml:space="preserve">4. </w:t>
      </w:r>
      <w:r w:rsidR="00BD36FC">
        <w:rPr>
          <w:rFonts w:ascii="Arial" w:hAnsi="Arial" w:cs="Arial"/>
        </w:rPr>
        <w:t>Zeidan A, Boddu P</w:t>
      </w:r>
      <w:r w:rsidRPr="00CA76A6">
        <w:rPr>
          <w:rFonts w:ascii="Arial" w:hAnsi="Arial" w:cs="Arial"/>
        </w:rPr>
        <w:t xml:space="preserve">, Patnaik M, Bewersdorf J et al., Special considerations in the management of adult patients with acute </w:t>
      </w:r>
      <w:proofErr w:type="spellStart"/>
      <w:r w:rsidRPr="00CA76A6">
        <w:rPr>
          <w:rFonts w:ascii="Arial" w:hAnsi="Arial" w:cs="Arial"/>
        </w:rPr>
        <w:t>leukaemias</w:t>
      </w:r>
      <w:proofErr w:type="spellEnd"/>
      <w:r w:rsidRPr="00CA76A6">
        <w:rPr>
          <w:rFonts w:ascii="Arial" w:hAnsi="Arial" w:cs="Arial"/>
        </w:rPr>
        <w:t xml:space="preserve"> and myeloid neoplasms in the COVID-19 era: recommendations from a panel of international experts, Lancet </w:t>
      </w:r>
      <w:proofErr w:type="spellStart"/>
      <w:r w:rsidRPr="00CA76A6">
        <w:rPr>
          <w:rFonts w:ascii="Arial" w:hAnsi="Arial" w:cs="Arial"/>
        </w:rPr>
        <w:t>Haem</w:t>
      </w:r>
      <w:r>
        <w:rPr>
          <w:rFonts w:ascii="Arial" w:hAnsi="Arial" w:cs="Arial"/>
        </w:rPr>
        <w:t>atol</w:t>
      </w:r>
      <w:proofErr w:type="spellEnd"/>
      <w:r>
        <w:rPr>
          <w:rFonts w:ascii="Arial" w:hAnsi="Arial" w:cs="Arial"/>
        </w:rPr>
        <w:t xml:space="preserve">. 2020 Jun 18;7(8):601–612. </w:t>
      </w:r>
      <w:proofErr w:type="spellStart"/>
      <w:r w:rsidRPr="00CA76A6">
        <w:rPr>
          <w:rFonts w:ascii="Arial" w:hAnsi="Arial" w:cs="Arial"/>
        </w:rPr>
        <w:t>doi</w:t>
      </w:r>
      <w:proofErr w:type="spellEnd"/>
      <w:r w:rsidRPr="00CA76A6">
        <w:rPr>
          <w:rFonts w:ascii="Arial" w:hAnsi="Arial" w:cs="Arial"/>
        </w:rPr>
        <w:t>: 10.1016/S2352-3026(20)30205-2</w:t>
      </w:r>
      <w:r w:rsidR="00BD36FC">
        <w:rPr>
          <w:rFonts w:ascii="Arial" w:hAnsi="Arial" w:cs="Arial"/>
        </w:rPr>
        <w:t>.</w:t>
      </w:r>
      <w:r w:rsidR="00003427">
        <w:rPr>
          <w:rFonts w:ascii="Arial" w:hAnsi="Arial" w:cs="Arial"/>
        </w:rPr>
        <w:t xml:space="preserve"> </w:t>
      </w:r>
      <w:r w:rsidR="00003427">
        <w:rPr>
          <w:rFonts w:cs="Helvetica"/>
        </w:rPr>
        <w:t>Available:</w:t>
      </w:r>
      <w:hyperlink r:id="rId16" w:history="1">
        <w:r w:rsidR="00003427" w:rsidRPr="007F53B3">
          <w:rPr>
            <w:rStyle w:val="Hyperlink"/>
            <w:rFonts w:cs="Helvetica"/>
          </w:rPr>
          <w:t>https://www.thelancet.com/journals/lanhae/article/PIIS2352-3026(20)30205-2/fulltext</w:t>
        </w:r>
      </w:hyperlink>
    </w:p>
    <w:p w14:paraId="747CD307" w14:textId="77777777" w:rsidR="00776316" w:rsidRDefault="00CA76A6" w:rsidP="00776316">
      <w:pPr>
        <w:pStyle w:val="Body"/>
        <w:spacing w:after="0"/>
      </w:pPr>
      <w:r>
        <w:t>5</w:t>
      </w:r>
      <w:r w:rsidR="00776316">
        <w:t xml:space="preserve">. Huang C, Wang Y, Li X, Ren L, Zhao J, Hu Y, et al. Clinical features of patients infected with 2019 novel coronavirus in Wuhan, China. Lancet. 2020 Feb 15;395(10223):497-506. </w:t>
      </w:r>
      <w:proofErr w:type="spellStart"/>
      <w:r w:rsidR="00776316">
        <w:t>doi</w:t>
      </w:r>
      <w:proofErr w:type="spellEnd"/>
      <w:r w:rsidR="00776316">
        <w:t xml:space="preserve">: 10.1016/S0140-6736(20)30183-5. </w:t>
      </w:r>
      <w:proofErr w:type="spellStart"/>
      <w:r w:rsidR="00776316">
        <w:t>Epub</w:t>
      </w:r>
      <w:proofErr w:type="spellEnd"/>
      <w:r w:rsidR="00776316">
        <w:t xml:space="preserve"> 2020 Jan 24. Erratum in: Lancet. 2020 Jan 30; PMID: 31986264; PMCID: PMC7159299. </w:t>
      </w:r>
    </w:p>
    <w:p w14:paraId="73B8A176" w14:textId="77777777" w:rsidR="005910EB" w:rsidRDefault="005910EB" w:rsidP="00776316">
      <w:pPr>
        <w:pStyle w:val="Body"/>
        <w:spacing w:after="0"/>
      </w:pPr>
    </w:p>
    <w:p w14:paraId="0D1717B1" w14:textId="77777777" w:rsidR="005910EB" w:rsidRDefault="005910EB" w:rsidP="00776316">
      <w:pPr>
        <w:pStyle w:val="Body"/>
        <w:spacing w:after="0"/>
        <w:rPr>
          <w:rFonts w:cs="Helvetica"/>
        </w:rPr>
      </w:pPr>
      <w:r>
        <w:lastRenderedPageBreak/>
        <w:t xml:space="preserve">6.  </w:t>
      </w:r>
      <w:proofErr w:type="spellStart"/>
      <w:r w:rsidRPr="005910EB">
        <w:t>Dinnes</w:t>
      </w:r>
      <w:proofErr w:type="spellEnd"/>
      <w:r w:rsidRPr="005910EB">
        <w:t xml:space="preserve"> J,  Sharma P, Berhane S, van Wyk SS et al., Rapid, point</w:t>
      </w:r>
      <w:r w:rsidRPr="005910EB">
        <w:rPr>
          <w:rFonts w:ascii="Cambria Math" w:hAnsi="Cambria Math" w:cs="Cambria Math"/>
        </w:rPr>
        <w:t>‐</w:t>
      </w:r>
      <w:r w:rsidRPr="005910EB">
        <w:rPr>
          <w:rFonts w:cs="Helvetica"/>
        </w:rPr>
        <w:t>of</w:t>
      </w:r>
      <w:r w:rsidRPr="005910EB">
        <w:rPr>
          <w:rFonts w:ascii="Cambria Math" w:hAnsi="Cambria Math" w:cs="Cambria Math"/>
        </w:rPr>
        <w:t>‐</w:t>
      </w:r>
      <w:r w:rsidRPr="005910EB">
        <w:rPr>
          <w:rFonts w:cs="Helvetica"/>
        </w:rPr>
        <w:t>care antigen tests for diagnosis of SARS</w:t>
      </w:r>
      <w:r w:rsidRPr="005910EB">
        <w:rPr>
          <w:rFonts w:ascii="Cambria Math" w:hAnsi="Cambria Math" w:cs="Cambria Math"/>
        </w:rPr>
        <w:t>‐</w:t>
      </w:r>
      <w:r w:rsidRPr="005910EB">
        <w:rPr>
          <w:rFonts w:cs="Helvetica"/>
        </w:rPr>
        <w:t>CoV</w:t>
      </w:r>
      <w:r w:rsidRPr="005910EB">
        <w:rPr>
          <w:rFonts w:ascii="Cambria Math" w:hAnsi="Cambria Math" w:cs="Cambria Math"/>
        </w:rPr>
        <w:t>‐</w:t>
      </w:r>
      <w:r w:rsidRPr="005910EB">
        <w:rPr>
          <w:rFonts w:cs="Helvetica"/>
        </w:rPr>
        <w:t xml:space="preserve">2 infection, Cochrane Database Syst Rev. 2022 Jul 22;2022(7):CD013705. </w:t>
      </w:r>
      <w:proofErr w:type="spellStart"/>
      <w:r w:rsidRPr="005910EB">
        <w:rPr>
          <w:rFonts w:cs="Helvetica"/>
        </w:rPr>
        <w:t>doi</w:t>
      </w:r>
      <w:proofErr w:type="spellEnd"/>
      <w:r w:rsidRPr="005910EB">
        <w:rPr>
          <w:rFonts w:cs="Helvetica"/>
        </w:rPr>
        <w:t>: 10.1002/14651858.CD013705.pub3</w:t>
      </w:r>
      <w:r w:rsidR="00957085">
        <w:rPr>
          <w:rFonts w:cs="Helvetica"/>
        </w:rPr>
        <w:t xml:space="preserve">. </w:t>
      </w:r>
    </w:p>
    <w:p w14:paraId="49F4A376" w14:textId="77777777" w:rsidR="00776316" w:rsidRDefault="00776316" w:rsidP="00776316">
      <w:pPr>
        <w:pStyle w:val="Body"/>
        <w:spacing w:after="0"/>
      </w:pPr>
    </w:p>
    <w:p w14:paraId="492FCE9E" w14:textId="77777777" w:rsidR="00776316" w:rsidRDefault="007F2B78" w:rsidP="00776316">
      <w:pPr>
        <w:pStyle w:val="Body"/>
        <w:spacing w:after="0"/>
      </w:pPr>
      <w:r>
        <w:t>7</w:t>
      </w:r>
      <w:r w:rsidR="00776316">
        <w:t xml:space="preserve">. European </w:t>
      </w:r>
      <w:proofErr w:type="spellStart"/>
      <w:r w:rsidR="00776316">
        <w:t>Commision</w:t>
      </w:r>
      <w:proofErr w:type="spellEnd"/>
      <w:r w:rsidR="00776316">
        <w:t>, European Commission secures EU access to Remdesivir for treatment of COVID-19. Accessed 31 December 2020.</w:t>
      </w:r>
    </w:p>
    <w:p w14:paraId="4A165AB1" w14:textId="77777777" w:rsidR="00776316" w:rsidRDefault="00776316" w:rsidP="00776316">
      <w:pPr>
        <w:pStyle w:val="Body"/>
        <w:spacing w:after="0"/>
      </w:pPr>
      <w:r>
        <w:t xml:space="preserve">Available: </w:t>
      </w:r>
      <w:hyperlink r:id="rId17" w:history="1">
        <w:r>
          <w:rPr>
            <w:rStyle w:val="Hyperlink"/>
          </w:rPr>
          <w:t>https://ec.europa.eu/commission/presscorner/detail/en/ip_20_1416</w:t>
        </w:r>
      </w:hyperlink>
      <w:r>
        <w:t xml:space="preserve"> </w:t>
      </w:r>
    </w:p>
    <w:p w14:paraId="56A2033A" w14:textId="77777777" w:rsidR="00776316" w:rsidRDefault="00776316" w:rsidP="00776316">
      <w:pPr>
        <w:pStyle w:val="Body"/>
        <w:spacing w:after="0"/>
      </w:pPr>
    </w:p>
    <w:p w14:paraId="2062BA7D" w14:textId="77777777" w:rsidR="00776316" w:rsidRPr="00B20DD5" w:rsidRDefault="0013331A" w:rsidP="00776316">
      <w:pPr>
        <w:pStyle w:val="Body"/>
      </w:pPr>
      <w:r w:rsidRPr="00B20DD5">
        <w:t>8</w:t>
      </w:r>
      <w:r w:rsidR="00776316" w:rsidRPr="00B20DD5">
        <w:t xml:space="preserve">. </w:t>
      </w:r>
      <w:proofErr w:type="spellStart"/>
      <w:r w:rsidR="00776316" w:rsidRPr="00B20DD5">
        <w:t>Carfì</w:t>
      </w:r>
      <w:proofErr w:type="spellEnd"/>
      <w:r w:rsidR="00776316" w:rsidRPr="00B20DD5">
        <w:t xml:space="preserve"> A, Bernabei R, Landi F, Persistent Symptoms in Patients After Acute COVID-19, Jama. 2020 Aug 11;324(6):603-605. </w:t>
      </w:r>
      <w:proofErr w:type="spellStart"/>
      <w:r w:rsidR="00776316" w:rsidRPr="00B20DD5">
        <w:t>doi</w:t>
      </w:r>
      <w:proofErr w:type="spellEnd"/>
      <w:r w:rsidR="00776316" w:rsidRPr="00B20DD5">
        <w:t xml:space="preserve">: 10.1001/jama.2020.12603 Available: </w:t>
      </w:r>
      <w:hyperlink r:id="rId18" w:history="1">
        <w:r w:rsidR="00776316" w:rsidRPr="00B20DD5">
          <w:rPr>
            <w:rStyle w:val="Hyperlink"/>
          </w:rPr>
          <w:t>https://pubmed.ncbi.nlm.nih.gov/32644129/</w:t>
        </w:r>
      </w:hyperlink>
    </w:p>
    <w:p w14:paraId="06990EE7" w14:textId="77777777" w:rsidR="00776316" w:rsidRPr="00B20DD5" w:rsidRDefault="0013331A" w:rsidP="00776316">
      <w:pPr>
        <w:pStyle w:val="Body"/>
      </w:pPr>
      <w:r w:rsidRPr="00B20DD5">
        <w:t>9</w:t>
      </w:r>
      <w:r w:rsidR="00776316" w:rsidRPr="00B20DD5">
        <w:t xml:space="preserve">. </w:t>
      </w:r>
      <w:proofErr w:type="spellStart"/>
      <w:r w:rsidR="00776316" w:rsidRPr="00B20DD5">
        <w:t>Tenforde</w:t>
      </w:r>
      <w:proofErr w:type="spellEnd"/>
      <w:r w:rsidR="00776316" w:rsidRPr="00B20DD5">
        <w:t xml:space="preserve"> M, Kim S, Lindsell C, Rose E et al. Symptom Duration and Risk Factors for Delayed Return to Usual Health Among Outpatients with COVID-19 in a Multistate Health Care Systems Network — United States, March–June 2020, MMWR </w:t>
      </w:r>
      <w:proofErr w:type="spellStart"/>
      <w:r w:rsidR="00776316" w:rsidRPr="00B20DD5">
        <w:t>Morb</w:t>
      </w:r>
      <w:proofErr w:type="spellEnd"/>
      <w:r w:rsidR="00776316" w:rsidRPr="00B20DD5">
        <w:t xml:space="preserve"> Mortal </w:t>
      </w:r>
      <w:proofErr w:type="spellStart"/>
      <w:r w:rsidR="00776316" w:rsidRPr="00B20DD5">
        <w:t>Wkly</w:t>
      </w:r>
      <w:proofErr w:type="spellEnd"/>
      <w:r w:rsidR="00776316" w:rsidRPr="00B20DD5">
        <w:t xml:space="preserve"> Rep. 2020 Jul 31; 69(30): 993–998. </w:t>
      </w:r>
      <w:proofErr w:type="spellStart"/>
      <w:r w:rsidR="00776316" w:rsidRPr="00B20DD5">
        <w:t>doi</w:t>
      </w:r>
      <w:proofErr w:type="spellEnd"/>
      <w:r w:rsidR="00776316" w:rsidRPr="00B20DD5">
        <w:t>: 10.15585/mmwr.mm6930e1</w:t>
      </w:r>
    </w:p>
    <w:p w14:paraId="38DD5DF4" w14:textId="77777777" w:rsidR="00776316" w:rsidRPr="00B20DD5" w:rsidRDefault="0013331A" w:rsidP="00776316">
      <w:pPr>
        <w:pStyle w:val="Body"/>
      </w:pPr>
      <w:r w:rsidRPr="00B20DD5">
        <w:t>10</w:t>
      </w:r>
      <w:r w:rsidR="00776316" w:rsidRPr="00B20DD5">
        <w:t xml:space="preserve">. </w:t>
      </w:r>
      <w:proofErr w:type="spellStart"/>
      <w:r w:rsidR="00776316" w:rsidRPr="00B20DD5">
        <w:t>Venclexta</w:t>
      </w:r>
      <w:proofErr w:type="spellEnd"/>
      <w:r w:rsidR="00776316" w:rsidRPr="00B20DD5">
        <w:t xml:space="preserve">, Prescribing Information CORONAVIRUS/COVID-19 AND VENCLEXTA® (VENETOCLAX). Available: </w:t>
      </w:r>
      <w:hyperlink r:id="rId19" w:history="1">
        <w:r w:rsidR="00776316" w:rsidRPr="00B20DD5">
          <w:rPr>
            <w:rStyle w:val="Hyperlink"/>
          </w:rPr>
          <w:t>https://www.venclextahcp.com/covid-19.html</w:t>
        </w:r>
      </w:hyperlink>
    </w:p>
    <w:p w14:paraId="1F6A2FA9" w14:textId="77777777" w:rsidR="00776316" w:rsidRDefault="00BD36FC" w:rsidP="00776316">
      <w:pPr>
        <w:pStyle w:val="Body"/>
        <w:spacing w:after="0"/>
      </w:pPr>
      <w:r>
        <w:t>11</w:t>
      </w:r>
      <w:r w:rsidR="00776316">
        <w:t xml:space="preserve">. </w:t>
      </w:r>
      <w:proofErr w:type="spellStart"/>
      <w:r w:rsidR="00776316">
        <w:t>Gautret</w:t>
      </w:r>
      <w:proofErr w:type="spellEnd"/>
      <w:r w:rsidR="00776316">
        <w:t xml:space="preserve"> P, Lagier JC, Parola P, Hoang VT, Meddeb L, </w:t>
      </w:r>
      <w:proofErr w:type="spellStart"/>
      <w:r w:rsidR="00776316">
        <w:t>Mailhe</w:t>
      </w:r>
      <w:proofErr w:type="spellEnd"/>
      <w:r w:rsidR="00776316">
        <w:t xml:space="preserve"> M, et al. Hydroxychloroquine and azithromycin as a treatment of COVID-19: results of an open-label non-randomized clinical trial. Int J </w:t>
      </w:r>
      <w:proofErr w:type="spellStart"/>
      <w:r w:rsidR="00776316">
        <w:t>Antimicrob</w:t>
      </w:r>
      <w:proofErr w:type="spellEnd"/>
      <w:r w:rsidR="00776316">
        <w:t xml:space="preserve"> Agents. 2020 Jul;56(1):105949. </w:t>
      </w:r>
      <w:proofErr w:type="spellStart"/>
      <w:r w:rsidR="00776316">
        <w:t>doi</w:t>
      </w:r>
      <w:proofErr w:type="spellEnd"/>
      <w:r w:rsidR="00776316">
        <w:t xml:space="preserve">: 10.1016/j.ijantimicag.2020.105949. </w:t>
      </w:r>
      <w:proofErr w:type="spellStart"/>
      <w:r w:rsidR="00776316">
        <w:t>Epub</w:t>
      </w:r>
      <w:proofErr w:type="spellEnd"/>
      <w:r w:rsidR="00776316">
        <w:t xml:space="preserve"> 2020 Mar 20. PMID: 32205204; PMCID: PMC7102549.</w:t>
      </w:r>
    </w:p>
    <w:p w14:paraId="47B32DF3" w14:textId="77777777" w:rsidR="00776316" w:rsidRDefault="00776316" w:rsidP="00776316">
      <w:pPr>
        <w:pStyle w:val="Body"/>
        <w:spacing w:after="0"/>
      </w:pPr>
    </w:p>
    <w:p w14:paraId="3FF6AF06" w14:textId="77777777" w:rsidR="00776316" w:rsidRDefault="00BD36FC" w:rsidP="00776316">
      <w:pPr>
        <w:pStyle w:val="Body"/>
        <w:spacing w:after="0"/>
      </w:pPr>
      <w:r>
        <w:t>12</w:t>
      </w:r>
      <w:r w:rsidR="00776316">
        <w:t xml:space="preserve">. Han B, Zhao Y, Lin Y, Fu S, Wang L, Zhang M, et al. Hydroxychloroquine sensitizes chronic myeloid leukemia cells to Vγ9Vδ2 T cell-mediated lysis independent of autophagy. Int J Oncol. 2017 May;50(5):1810-1820. </w:t>
      </w:r>
      <w:proofErr w:type="spellStart"/>
      <w:r w:rsidR="00776316">
        <w:t>doi</w:t>
      </w:r>
      <w:proofErr w:type="spellEnd"/>
      <w:r w:rsidR="00776316">
        <w:t xml:space="preserve">: 10.3892/ijo.2017.3934. </w:t>
      </w:r>
      <w:proofErr w:type="spellStart"/>
      <w:r w:rsidR="00776316">
        <w:t>Epub</w:t>
      </w:r>
      <w:proofErr w:type="spellEnd"/>
      <w:r w:rsidR="00776316">
        <w:t xml:space="preserve"> 2017 Mar 24. PMID: 28339029.</w:t>
      </w:r>
    </w:p>
    <w:p w14:paraId="75A55AA9" w14:textId="77777777" w:rsidR="00776316" w:rsidRDefault="00776316" w:rsidP="00776316">
      <w:pPr>
        <w:pStyle w:val="Body"/>
        <w:spacing w:after="0"/>
      </w:pPr>
    </w:p>
    <w:p w14:paraId="6393EB4C" w14:textId="77777777" w:rsidR="00776316" w:rsidRDefault="00BD36FC" w:rsidP="00776316">
      <w:pPr>
        <w:pStyle w:val="Body"/>
        <w:spacing w:after="0"/>
        <w:rPr>
          <w:rFonts w:cs="Helvetica"/>
          <w:color w:val="192027"/>
          <w:shd w:val="clear" w:color="auto" w:fill="FFFFFF"/>
        </w:rPr>
      </w:pPr>
      <w:r>
        <w:t>13</w:t>
      </w:r>
      <w:r w:rsidR="00776316">
        <w:t xml:space="preserve">. </w:t>
      </w:r>
      <w:bookmarkStart w:id="5" w:name="_Hlk60610278"/>
      <w:proofErr w:type="spellStart"/>
      <w:r w:rsidR="00776316">
        <w:t>DrugBank</w:t>
      </w:r>
      <w:proofErr w:type="spellEnd"/>
      <w:r w:rsidR="00776316">
        <w:t>, Hydroxychloroquine Terminated Phase 1 Trials for Acute Myeloid Leukemia (AML) Treatment</w:t>
      </w:r>
      <w:bookmarkEnd w:id="5"/>
      <w:r w:rsidR="00776316">
        <w:t>,</w:t>
      </w:r>
    </w:p>
    <w:p w14:paraId="3CB69DA6" w14:textId="77777777" w:rsidR="00776316" w:rsidRDefault="00776316" w:rsidP="00776316">
      <w:pPr>
        <w:pStyle w:val="Body"/>
        <w:spacing w:after="0"/>
      </w:pPr>
      <w:r>
        <w:t>Available:</w:t>
      </w:r>
      <w:hyperlink r:id="rId20" w:history="1">
        <w:r>
          <w:rPr>
            <w:rStyle w:val="Hyperlink"/>
          </w:rPr>
          <w:t>https://go.drugbank.com/drugs/DB01611/clinical_trials?conditions=DBCOND0034998&amp;phase=1&amp;purpose=treatment&amp;status=terminated</w:t>
        </w:r>
      </w:hyperlink>
      <w:r>
        <w:t xml:space="preserve">  </w:t>
      </w:r>
    </w:p>
    <w:p w14:paraId="44CAB761" w14:textId="77777777" w:rsidR="00776316" w:rsidRDefault="00776316" w:rsidP="00776316">
      <w:pPr>
        <w:pStyle w:val="Body"/>
        <w:spacing w:after="0"/>
      </w:pPr>
    </w:p>
    <w:p w14:paraId="2FE9E86B" w14:textId="77777777" w:rsidR="00776316" w:rsidRPr="00B20DD5" w:rsidRDefault="00BD36FC" w:rsidP="00776316">
      <w:pPr>
        <w:pStyle w:val="Body"/>
      </w:pPr>
      <w:r w:rsidRPr="00B20DD5">
        <w:t>14</w:t>
      </w:r>
      <w:r w:rsidR="00776316" w:rsidRPr="00B20DD5">
        <w:t xml:space="preserve">. Coronavirus Research Center, John Hopkins University, Covid-19 Dashboard for Systems Science and Engineering. Available: </w:t>
      </w:r>
      <w:hyperlink r:id="rId21" w:history="1">
        <w:r w:rsidR="00776316" w:rsidRPr="00B20DD5">
          <w:rPr>
            <w:rStyle w:val="Hyperlink"/>
          </w:rPr>
          <w:t>https://coronavirus.jhu.edu/map.html</w:t>
        </w:r>
      </w:hyperlink>
    </w:p>
    <w:p w14:paraId="3B862517" w14:textId="77777777" w:rsidR="00776316" w:rsidRPr="00B20DD5" w:rsidRDefault="00BD36FC" w:rsidP="00776316">
      <w:pPr>
        <w:pStyle w:val="Body"/>
        <w:spacing w:after="0"/>
      </w:pPr>
      <w:r w:rsidRPr="00B20DD5">
        <w:t>15</w:t>
      </w:r>
      <w:r w:rsidR="00776316" w:rsidRPr="00B20DD5">
        <w:t xml:space="preserve">. </w:t>
      </w:r>
      <w:proofErr w:type="spellStart"/>
      <w:r w:rsidR="00776316" w:rsidRPr="00B20DD5">
        <w:t>Ghandili</w:t>
      </w:r>
      <w:proofErr w:type="spellEnd"/>
      <w:r w:rsidR="00776316" w:rsidRPr="00B20DD5">
        <w:t xml:space="preserve"> S,  Pfefferle S, Roedl K, Sonnemann P et al., Challenges in treatment of patients with acute leukemia and COVID-19: a series of 12 patients, Blood Adv. 2020 Dec 8; 4(23): 5936–5941. </w:t>
      </w:r>
      <w:proofErr w:type="spellStart"/>
      <w:r w:rsidR="00776316" w:rsidRPr="00B20DD5">
        <w:t>doi</w:t>
      </w:r>
      <w:proofErr w:type="spellEnd"/>
      <w:r w:rsidR="00776316" w:rsidRPr="00B20DD5">
        <w:t>: 10.1182/bloodadvances.2020002543</w:t>
      </w:r>
    </w:p>
    <w:p w14:paraId="2449C37E" w14:textId="77777777" w:rsidR="00776316" w:rsidRPr="00B20DD5" w:rsidRDefault="00776316" w:rsidP="00776316">
      <w:pPr>
        <w:pStyle w:val="Body"/>
        <w:spacing w:after="0"/>
      </w:pPr>
      <w:r w:rsidRPr="00B20DD5">
        <w:t xml:space="preserve">Available: </w:t>
      </w:r>
      <w:hyperlink r:id="rId22" w:history="1">
        <w:r w:rsidRPr="00B20DD5">
          <w:rPr>
            <w:rStyle w:val="Hyperlink"/>
          </w:rPr>
          <w:t>https://www.ncbi.nlm.nih.gov/pmc/articles/PMC7724904/</w:t>
        </w:r>
      </w:hyperlink>
    </w:p>
    <w:p w14:paraId="3CDD6DF9" w14:textId="77777777" w:rsidR="00776316" w:rsidRPr="00B20DD5" w:rsidRDefault="00776316" w:rsidP="00776316">
      <w:pPr>
        <w:pStyle w:val="Body"/>
        <w:spacing w:after="0"/>
      </w:pPr>
    </w:p>
    <w:p w14:paraId="15D0C1F3" w14:textId="77777777" w:rsidR="00776316" w:rsidRPr="00B20DD5" w:rsidRDefault="00BD36FC" w:rsidP="00776316">
      <w:pPr>
        <w:pStyle w:val="Body"/>
      </w:pPr>
      <w:r w:rsidRPr="00B20DD5">
        <w:t>16</w:t>
      </w:r>
      <w:r w:rsidR="00776316" w:rsidRPr="00B20DD5">
        <w:t xml:space="preserve">. Ferrara F, </w:t>
      </w:r>
      <w:proofErr w:type="spellStart"/>
      <w:r w:rsidR="00776316" w:rsidRPr="00B20DD5">
        <w:t>Zappasodi</w:t>
      </w:r>
      <w:proofErr w:type="spellEnd"/>
      <w:r w:rsidR="00776316" w:rsidRPr="00B20DD5">
        <w:t xml:space="preserve"> P, </w:t>
      </w:r>
      <w:proofErr w:type="spellStart"/>
      <w:r w:rsidR="00776316" w:rsidRPr="00B20DD5">
        <w:t>Roncoroni</w:t>
      </w:r>
      <w:proofErr w:type="spellEnd"/>
      <w:r w:rsidR="00776316" w:rsidRPr="00B20DD5">
        <w:t xml:space="preserve"> E, </w:t>
      </w:r>
      <w:proofErr w:type="spellStart"/>
      <w:r w:rsidR="00776316" w:rsidRPr="00B20DD5">
        <w:t>Borlenghi</w:t>
      </w:r>
      <w:proofErr w:type="spellEnd"/>
      <w:r w:rsidR="00776316" w:rsidRPr="00B20DD5">
        <w:t xml:space="preserve"> E et al. Impact of Covid-19 on the treatment of acute myeloid leukemia. Leukemia 34, 2254–2256 (2020). https://doi.org/10.1038/s41375-020-0925-7</w:t>
      </w:r>
    </w:p>
    <w:p w14:paraId="04AD4E9D" w14:textId="77777777" w:rsidR="00776316" w:rsidRPr="00B20DD5" w:rsidRDefault="00BD36FC" w:rsidP="00776316">
      <w:pPr>
        <w:pStyle w:val="Body"/>
        <w:spacing w:after="0"/>
      </w:pPr>
      <w:r w:rsidRPr="00B20DD5">
        <w:t>17</w:t>
      </w:r>
      <w:r w:rsidR="00776316" w:rsidRPr="00B20DD5">
        <w:t xml:space="preserve">. </w:t>
      </w:r>
      <w:proofErr w:type="spellStart"/>
      <w:r w:rsidR="00776316" w:rsidRPr="00B20DD5">
        <w:t>Passamonti</w:t>
      </w:r>
      <w:proofErr w:type="spellEnd"/>
      <w:r w:rsidR="00776316" w:rsidRPr="00B20DD5">
        <w:t xml:space="preserve"> F, Cattaneo C, </w:t>
      </w:r>
      <w:proofErr w:type="spellStart"/>
      <w:r w:rsidR="00776316" w:rsidRPr="00B20DD5">
        <w:t>Arcaini</w:t>
      </w:r>
      <w:proofErr w:type="spellEnd"/>
      <w:r w:rsidR="00776316" w:rsidRPr="00B20DD5">
        <w:t xml:space="preserve"> L, Bruna R et al. MD Clinical characteristics and risk factors associated with COVID-19 severity in patients with </w:t>
      </w:r>
      <w:proofErr w:type="spellStart"/>
      <w:r w:rsidR="00776316" w:rsidRPr="00B20DD5">
        <w:t>haematological</w:t>
      </w:r>
      <w:proofErr w:type="spellEnd"/>
      <w:r w:rsidR="00776316" w:rsidRPr="00B20DD5">
        <w:t xml:space="preserve"> malignancies in Italy: a retrospective, multicentre, cohort study, Lancet, VOLUME 7, ISSUE 10, E737-E745, OCTOBER 01, 2020. https://doi.org/10.1016/S2352-3026(20)30251-9</w:t>
      </w:r>
    </w:p>
    <w:p w14:paraId="07AD8D84" w14:textId="77777777" w:rsidR="00776316" w:rsidRPr="00B20DD5" w:rsidRDefault="00776316" w:rsidP="00776316">
      <w:pPr>
        <w:pStyle w:val="Body"/>
        <w:spacing w:after="0"/>
      </w:pPr>
      <w:r w:rsidRPr="00B20DD5">
        <w:t xml:space="preserve">Available: </w:t>
      </w:r>
      <w:hyperlink r:id="rId23" w:history="1">
        <w:r w:rsidRPr="00B20DD5">
          <w:rPr>
            <w:rStyle w:val="Hyperlink"/>
          </w:rPr>
          <w:t>https://www.thelancet.com/journals/lanhae/article/PIIS2352-3026(20)30251-9/fulltext</w:t>
        </w:r>
      </w:hyperlink>
    </w:p>
    <w:p w14:paraId="281AC870" w14:textId="77777777" w:rsidR="00776316" w:rsidRPr="00B20DD5" w:rsidRDefault="00776316" w:rsidP="00776316">
      <w:pPr>
        <w:pStyle w:val="Body"/>
        <w:spacing w:after="0"/>
      </w:pPr>
    </w:p>
    <w:p w14:paraId="26882F1B" w14:textId="77777777" w:rsidR="00776316" w:rsidRPr="00B20DD5" w:rsidRDefault="00BD36FC" w:rsidP="00776316">
      <w:pPr>
        <w:pStyle w:val="Body"/>
        <w:spacing w:after="0"/>
      </w:pPr>
      <w:r w:rsidRPr="00B20DD5">
        <w:t>18</w:t>
      </w:r>
      <w:r w:rsidR="00776316" w:rsidRPr="00B20DD5">
        <w:t>. AML Working Party COVID-19 Recommendations, 26th October 2020 in Press</w:t>
      </w:r>
    </w:p>
    <w:p w14:paraId="5183DE0C" w14:textId="77777777" w:rsidR="00776316" w:rsidRPr="00B20DD5" w:rsidRDefault="00776316" w:rsidP="00776316">
      <w:pPr>
        <w:pStyle w:val="Body"/>
        <w:spacing w:after="0"/>
      </w:pPr>
      <w:r w:rsidRPr="00B20DD5">
        <w:t xml:space="preserve">Available: </w:t>
      </w:r>
      <w:hyperlink r:id="rId24" w:history="1">
        <w:r w:rsidRPr="00B20DD5">
          <w:rPr>
            <w:rStyle w:val="Hyperlink"/>
          </w:rPr>
          <w:t>http://www.cureleukaemia.co.uk/page/news/523/aml-working-party-covid-19-recommendations</w:t>
        </w:r>
      </w:hyperlink>
    </w:p>
    <w:p w14:paraId="4AEA57E3" w14:textId="77777777" w:rsidR="00776316" w:rsidRPr="00B20DD5" w:rsidRDefault="00776316" w:rsidP="00776316">
      <w:pPr>
        <w:pStyle w:val="Body"/>
        <w:spacing w:after="0"/>
      </w:pPr>
    </w:p>
    <w:p w14:paraId="1B3A7E07" w14:textId="77777777" w:rsidR="00776316" w:rsidRPr="00B20DD5" w:rsidRDefault="00BD36FC" w:rsidP="00776316">
      <w:pPr>
        <w:pStyle w:val="Body"/>
        <w:spacing w:after="0"/>
      </w:pPr>
      <w:r w:rsidRPr="00B20DD5">
        <w:t>19</w:t>
      </w:r>
      <w:r w:rsidR="00776316" w:rsidRPr="00B20DD5">
        <w:t xml:space="preserve">. Paul S, Rausch C, Jain N, Kadia T et al. Treating Leukemia in the Time of COVID-19. Acta </w:t>
      </w:r>
      <w:proofErr w:type="spellStart"/>
      <w:r w:rsidR="00776316" w:rsidRPr="00B20DD5">
        <w:t>Haematol</w:t>
      </w:r>
      <w:proofErr w:type="spellEnd"/>
      <w:r w:rsidR="00776316" w:rsidRPr="00B20DD5">
        <w:t xml:space="preserve"> 2020. </w:t>
      </w:r>
      <w:proofErr w:type="spellStart"/>
      <w:r w:rsidR="00776316" w:rsidRPr="00B20DD5">
        <w:t>doi</w:t>
      </w:r>
      <w:proofErr w:type="spellEnd"/>
      <w:r w:rsidR="00776316" w:rsidRPr="00B20DD5">
        <w:t xml:space="preserve">: 10.1159/000508199 </w:t>
      </w:r>
    </w:p>
    <w:p w14:paraId="2E018EDD" w14:textId="77777777" w:rsidR="00776316" w:rsidRPr="00B20DD5" w:rsidRDefault="00776316" w:rsidP="00776316">
      <w:pPr>
        <w:pStyle w:val="Body"/>
        <w:spacing w:after="0"/>
      </w:pPr>
      <w:r w:rsidRPr="00B20DD5">
        <w:t xml:space="preserve">Available </w:t>
      </w:r>
      <w:hyperlink r:id="rId25" w:history="1">
        <w:r w:rsidRPr="00B20DD5">
          <w:rPr>
            <w:rStyle w:val="Hyperlink"/>
          </w:rPr>
          <w:t>https://www.karger.com/Article/FullText/508199#</w:t>
        </w:r>
      </w:hyperlink>
    </w:p>
    <w:p w14:paraId="0CD2703B" w14:textId="77777777" w:rsidR="00776316" w:rsidRDefault="00776316" w:rsidP="00776316">
      <w:pPr>
        <w:pStyle w:val="Body"/>
        <w:spacing w:after="0"/>
        <w:rPr>
          <w:highlight w:val="yellow"/>
        </w:rPr>
      </w:pPr>
    </w:p>
    <w:p w14:paraId="002846E7" w14:textId="77777777" w:rsidR="00776316" w:rsidRDefault="00BD36FC" w:rsidP="00776316">
      <w:pPr>
        <w:pStyle w:val="Body"/>
        <w:spacing w:after="0"/>
      </w:pPr>
      <w:r>
        <w:t>20</w:t>
      </w:r>
      <w:r w:rsidR="00776316">
        <w:t xml:space="preserve">. </w:t>
      </w:r>
      <w:proofErr w:type="spellStart"/>
      <w:r w:rsidR="00776316">
        <w:t>Fattizzo</w:t>
      </w:r>
      <w:proofErr w:type="spellEnd"/>
      <w:r w:rsidR="00776316">
        <w:t xml:space="preserve"> B, Giannotta JA, </w:t>
      </w:r>
      <w:proofErr w:type="spellStart"/>
      <w:r w:rsidR="00776316">
        <w:t>Sciumè</w:t>
      </w:r>
      <w:proofErr w:type="spellEnd"/>
      <w:r w:rsidR="00776316">
        <w:t xml:space="preserve"> M. et al. Reply to “COVID-19 in persons with </w:t>
      </w:r>
      <w:proofErr w:type="spellStart"/>
      <w:r w:rsidR="00776316">
        <w:t>haematological</w:t>
      </w:r>
      <w:proofErr w:type="spellEnd"/>
      <w:r w:rsidR="00776316">
        <w:t xml:space="preserve"> cancers”: a focus on myeloid neoplasms and risk factors for mortality. Leukemia 2020:34, 1957–1960. https://doi.org/10.1038/s41375-020-0877-y</w:t>
      </w:r>
    </w:p>
    <w:p w14:paraId="2434B9A0" w14:textId="77777777" w:rsidR="00776316" w:rsidRDefault="00776316" w:rsidP="00776316">
      <w:pPr>
        <w:pStyle w:val="Body"/>
        <w:spacing w:after="0"/>
      </w:pPr>
    </w:p>
    <w:p w14:paraId="15C20153" w14:textId="77777777" w:rsidR="00776316" w:rsidRDefault="00BD36FC" w:rsidP="00776316">
      <w:pPr>
        <w:pStyle w:val="Body"/>
        <w:spacing w:after="0"/>
      </w:pPr>
      <w:r>
        <w:t>21</w:t>
      </w:r>
      <w:r w:rsidR="00776316">
        <w:t xml:space="preserve">. He W, Chen L, Chen L, Yuan G, Fang Y, Chen W, et al. COVID-19 in persons with </w:t>
      </w:r>
      <w:proofErr w:type="spellStart"/>
      <w:r w:rsidR="00776316">
        <w:t>haematological</w:t>
      </w:r>
      <w:proofErr w:type="spellEnd"/>
      <w:r w:rsidR="00776316">
        <w:t xml:space="preserve"> cancers. Leukemia 34, 1637–1645 (2020). </w:t>
      </w:r>
      <w:hyperlink r:id="rId26" w:history="1">
        <w:r w:rsidR="00776316">
          <w:rPr>
            <w:rStyle w:val="Hyperlink"/>
          </w:rPr>
          <w:t>https://doi.org/10.1038/s41375-020-0836-7</w:t>
        </w:r>
      </w:hyperlink>
    </w:p>
    <w:p w14:paraId="4EB998FB" w14:textId="77777777" w:rsidR="00776316" w:rsidRDefault="00776316" w:rsidP="00776316">
      <w:pPr>
        <w:pStyle w:val="Body"/>
        <w:spacing w:after="0"/>
      </w:pPr>
    </w:p>
    <w:p w14:paraId="412EA821" w14:textId="77777777" w:rsidR="00776316" w:rsidRDefault="00BD36FC" w:rsidP="00776316">
      <w:pPr>
        <w:pStyle w:val="Body"/>
        <w:spacing w:after="0"/>
      </w:pPr>
      <w:r>
        <w:t>22</w:t>
      </w:r>
      <w:r w:rsidR="00776316">
        <w:t>. Alicea J. COVID-19 and Hematological Diseases Linked to High Mortality Rate, Conference, American Society of Hematology. Accessed 6 December 2020.</w:t>
      </w:r>
    </w:p>
    <w:p w14:paraId="35F4D6C0" w14:textId="77777777" w:rsidR="00776316" w:rsidRDefault="00776316" w:rsidP="00776316">
      <w:pPr>
        <w:pStyle w:val="Body"/>
        <w:spacing w:after="0"/>
      </w:pPr>
      <w:r>
        <w:t xml:space="preserve">Available: </w:t>
      </w:r>
      <w:hyperlink r:id="rId27" w:history="1">
        <w:r>
          <w:rPr>
            <w:rStyle w:val="Hyperlink"/>
          </w:rPr>
          <w:t>https://www.hcplive.com/view/covid19-hematological-diseases-linked-high-mortality-rate</w:t>
        </w:r>
      </w:hyperlink>
    </w:p>
    <w:p w14:paraId="0CDF58A6" w14:textId="77777777" w:rsidR="00776316" w:rsidRDefault="00776316" w:rsidP="00776316">
      <w:pPr>
        <w:pStyle w:val="Body"/>
        <w:spacing w:after="0"/>
      </w:pPr>
    </w:p>
    <w:p w14:paraId="6F58840F" w14:textId="77777777" w:rsidR="00776316" w:rsidRDefault="00BD36FC" w:rsidP="00776316">
      <w:pPr>
        <w:pStyle w:val="Body"/>
        <w:spacing w:after="0"/>
      </w:pPr>
      <w:r>
        <w:t>23</w:t>
      </w:r>
      <w:r w:rsidR="00776316">
        <w:t xml:space="preserve">. Knight T, Edwards H, Taub J, Ge Y. Evaluating </w:t>
      </w:r>
      <w:proofErr w:type="spellStart"/>
      <w:r w:rsidR="00776316">
        <w:t>venetoclax</w:t>
      </w:r>
      <w:proofErr w:type="spellEnd"/>
      <w:r w:rsidR="00776316">
        <w:t xml:space="preserve"> and its potential in treatment-naïve acute myeloid leukemia, Cancer Management and Research 2019:11, 3197-3213. DOI: 10.2147/CMAR.S180724</w:t>
      </w:r>
    </w:p>
    <w:p w14:paraId="31CF36A6" w14:textId="77777777" w:rsidR="00776316" w:rsidRDefault="00776316" w:rsidP="00776316">
      <w:pPr>
        <w:pStyle w:val="Body"/>
        <w:spacing w:after="0"/>
      </w:pPr>
    </w:p>
    <w:p w14:paraId="75705A3D" w14:textId="77777777" w:rsidR="00776316" w:rsidRPr="00B20DD5" w:rsidRDefault="00BD36FC" w:rsidP="00776316">
      <w:pPr>
        <w:pStyle w:val="Body"/>
        <w:spacing w:after="0"/>
      </w:pPr>
      <w:r w:rsidRPr="00B20DD5">
        <w:t>24</w:t>
      </w:r>
      <w:r w:rsidR="00776316" w:rsidRPr="00B20DD5">
        <w:t xml:space="preserve">. </w:t>
      </w:r>
      <w:commentRangeStart w:id="6"/>
      <w:proofErr w:type="spellStart"/>
      <w:r w:rsidR="00776316" w:rsidRPr="00B20DD5">
        <w:t>Venclexta</w:t>
      </w:r>
      <w:proofErr w:type="spellEnd"/>
      <w:r w:rsidR="00776316" w:rsidRPr="00B20DD5">
        <w:t xml:space="preserve">, AML Information. Available: </w:t>
      </w:r>
      <w:hyperlink r:id="rId28" w:history="1">
        <w:r w:rsidR="00776316" w:rsidRPr="00B20DD5">
          <w:rPr>
            <w:rStyle w:val="Hyperlink"/>
          </w:rPr>
          <w:t>https://www.venclextahcp.com/aml.html</w:t>
        </w:r>
      </w:hyperlink>
      <w:commentRangeEnd w:id="6"/>
      <w:r w:rsidR="0083501A">
        <w:rPr>
          <w:rStyle w:val="CommentReference"/>
        </w:rPr>
        <w:commentReference w:id="6"/>
      </w:r>
    </w:p>
    <w:p w14:paraId="7242D17D" w14:textId="77777777" w:rsidR="00776316" w:rsidRDefault="00776316" w:rsidP="00776316">
      <w:pPr>
        <w:pStyle w:val="Body"/>
      </w:pPr>
    </w:p>
    <w:p w14:paraId="086BA804" w14:textId="77777777" w:rsidR="00776316" w:rsidRDefault="00776316" w:rsidP="00776316">
      <w:pPr>
        <w:pStyle w:val="Body"/>
      </w:pPr>
    </w:p>
    <w:p w14:paraId="251961D2" w14:textId="77777777" w:rsidR="00776316" w:rsidRDefault="00776316"/>
    <w:sectPr w:rsidR="00776316" w:rsidSect="001818E0">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utu Dewinta Darmada" w:date="2025-03-19T11:38:00Z" w:initials="PD">
    <w:p w14:paraId="6C7D443B" w14:textId="77777777" w:rsidR="003C3189" w:rsidRDefault="003C3189" w:rsidP="003C3189">
      <w:pPr>
        <w:pStyle w:val="CommentText"/>
      </w:pPr>
      <w:r>
        <w:rPr>
          <w:rStyle w:val="CommentReference"/>
        </w:rPr>
        <w:annotationRef/>
      </w:r>
      <w:r>
        <w:rPr>
          <w:b/>
          <w:bCs/>
          <w:lang w:val="fr-FR"/>
        </w:rPr>
        <w:t xml:space="preserve">text should be more specific to describe that this patient is AML patient with COVID-19 infection. </w:t>
      </w:r>
    </w:p>
  </w:comment>
  <w:comment w:id="1" w:author="Putu Dewinta Darmada" w:date="2025-03-19T11:35:00Z" w:initials="PD">
    <w:p w14:paraId="5E055399" w14:textId="13F644F8" w:rsidR="00205AC4" w:rsidRDefault="00205AC4" w:rsidP="00205AC4">
      <w:pPr>
        <w:pStyle w:val="CommentText"/>
      </w:pPr>
      <w:r>
        <w:rPr>
          <w:rStyle w:val="CommentReference"/>
        </w:rPr>
        <w:annotationRef/>
      </w:r>
      <w:r>
        <w:t>typos</w:t>
      </w:r>
    </w:p>
  </w:comment>
  <w:comment w:id="2" w:author="Putu Dewinta Darmada" w:date="2025-03-19T11:39:00Z" w:initials="PD">
    <w:p w14:paraId="3D441445" w14:textId="77777777" w:rsidR="003C3189" w:rsidRDefault="003C3189" w:rsidP="003C3189">
      <w:pPr>
        <w:pStyle w:val="CommentText"/>
      </w:pPr>
      <w:r>
        <w:rPr>
          <w:rStyle w:val="CommentReference"/>
        </w:rPr>
        <w:annotationRef/>
      </w:r>
      <w:r>
        <w:rPr>
          <w:b/>
          <w:bCs/>
          <w:lang w:val="fr-FR"/>
        </w:rPr>
        <w:t xml:space="preserve">text should be edited so it wont be self-duplicate from the case presentation section and the endocarditis story should be presented in different words, to make the reader won’t be confused. </w:t>
      </w:r>
    </w:p>
  </w:comment>
  <w:comment w:id="3" w:author="Putu Dewinta Darmada" w:date="2025-03-19T11:36:00Z" w:initials="PD">
    <w:p w14:paraId="3B2C4408" w14:textId="06DDDAF6" w:rsidR="00205AC4" w:rsidRDefault="00205AC4" w:rsidP="00205AC4">
      <w:pPr>
        <w:pStyle w:val="CommentText"/>
      </w:pPr>
      <w:r>
        <w:rPr>
          <w:rStyle w:val="CommentReference"/>
        </w:rPr>
        <w:annotationRef/>
      </w:r>
      <w:r>
        <w:t>typos</w:t>
      </w:r>
    </w:p>
  </w:comment>
  <w:comment w:id="4" w:author="Putu Dewinta Darmada" w:date="2025-03-19T11:37:00Z" w:initials="PD">
    <w:p w14:paraId="64C617C9" w14:textId="77777777" w:rsidR="003C3189" w:rsidRDefault="003C3189" w:rsidP="003C3189">
      <w:pPr>
        <w:pStyle w:val="CommentText"/>
      </w:pPr>
      <w:r>
        <w:rPr>
          <w:rStyle w:val="CommentReference"/>
        </w:rPr>
        <w:annotationRef/>
      </w:r>
      <w:r>
        <w:rPr>
          <w:b/>
          <w:bCs/>
          <w:lang w:val="en-GB"/>
        </w:rPr>
        <w:t>These sentences should be moved/re-arranged to make it more comprehensive with the next sentences in the paragraph</w:t>
      </w:r>
    </w:p>
  </w:comment>
  <w:comment w:id="6" w:author="Putu Dewinta Darmada" w:date="2025-03-19T11:43:00Z" w:initials="PD">
    <w:p w14:paraId="4846CACD" w14:textId="77777777" w:rsidR="0083501A" w:rsidRDefault="0083501A" w:rsidP="0083501A">
      <w:pPr>
        <w:pStyle w:val="CommentText"/>
      </w:pPr>
      <w:r>
        <w:rPr>
          <w:rStyle w:val="CommentReference"/>
        </w:rPr>
        <w:annotationRef/>
      </w:r>
      <w:r>
        <w:t xml:space="preserve">Should be edited to adjust to follow the citation rule (Vancouver style/APA style/Harvard style/etc.)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7D443B" w15:done="0"/>
  <w15:commentEx w15:paraId="5E055399" w15:done="0"/>
  <w15:commentEx w15:paraId="3D441445" w15:done="0"/>
  <w15:commentEx w15:paraId="3B2C4408" w15:done="0"/>
  <w15:commentEx w15:paraId="64C617C9" w15:done="0"/>
  <w15:commentEx w15:paraId="4846CA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39F354" w16cex:dateUtc="2025-03-19T03:38:00Z"/>
  <w16cex:commentExtensible w16cex:durableId="141C3035" w16cex:dateUtc="2025-03-19T03:35:00Z"/>
  <w16cex:commentExtensible w16cex:durableId="67F353A4" w16cex:dateUtc="2025-03-19T03:39:00Z"/>
  <w16cex:commentExtensible w16cex:durableId="403BFA8A" w16cex:dateUtc="2025-03-19T03:36:00Z"/>
  <w16cex:commentExtensible w16cex:durableId="130FCDCF" w16cex:dateUtc="2025-03-19T03:37:00Z"/>
  <w16cex:commentExtensible w16cex:durableId="280475DE" w16cex:dateUtc="2025-03-19T03: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7D443B" w16cid:durableId="7A39F354"/>
  <w16cid:commentId w16cid:paraId="5E055399" w16cid:durableId="141C3035"/>
  <w16cid:commentId w16cid:paraId="3D441445" w16cid:durableId="67F353A4"/>
  <w16cid:commentId w16cid:paraId="3B2C4408" w16cid:durableId="403BFA8A"/>
  <w16cid:commentId w16cid:paraId="64C617C9" w16cid:durableId="130FCDCF"/>
  <w16cid:commentId w16cid:paraId="4846CACD" w16cid:durableId="280475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5DBE3" w14:textId="77777777" w:rsidR="0087458A" w:rsidRDefault="0087458A" w:rsidP="00C6500E">
      <w:r>
        <w:separator/>
      </w:r>
    </w:p>
  </w:endnote>
  <w:endnote w:type="continuationSeparator" w:id="0">
    <w:p w14:paraId="54EEE77C" w14:textId="77777777" w:rsidR="0087458A" w:rsidRDefault="0087458A" w:rsidP="00C6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1458A" w14:textId="77777777" w:rsidR="00C6500E" w:rsidRDefault="00C6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6FDE1" w14:textId="77777777" w:rsidR="00C6500E" w:rsidRDefault="00C65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9DB3D" w14:textId="77777777" w:rsidR="00C6500E" w:rsidRDefault="00C6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D9A20" w14:textId="77777777" w:rsidR="0087458A" w:rsidRDefault="0087458A" w:rsidP="00C6500E">
      <w:r>
        <w:separator/>
      </w:r>
    </w:p>
  </w:footnote>
  <w:footnote w:type="continuationSeparator" w:id="0">
    <w:p w14:paraId="59A448D4" w14:textId="77777777" w:rsidR="0087458A" w:rsidRDefault="0087458A" w:rsidP="00C6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B0F9F" w14:textId="1E654B7D" w:rsidR="00C6500E" w:rsidRDefault="00000000">
    <w:pPr>
      <w:pStyle w:val="Header"/>
    </w:pPr>
    <w:r>
      <w:rPr>
        <w:noProof/>
      </w:rPr>
      <w:pict w14:anchorId="7CB09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3A08D" w14:textId="1F11C481" w:rsidR="00C6500E" w:rsidRDefault="00000000">
    <w:pPr>
      <w:pStyle w:val="Header"/>
    </w:pPr>
    <w:r>
      <w:rPr>
        <w:noProof/>
      </w:rPr>
      <w:pict w14:anchorId="5F8C29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AA96" w14:textId="30EE5F3A" w:rsidR="00C6500E" w:rsidRDefault="00000000">
    <w:pPr>
      <w:pStyle w:val="Header"/>
    </w:pPr>
    <w:r>
      <w:rPr>
        <w:noProof/>
      </w:rPr>
      <w:pict w14:anchorId="0E215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utu Dewinta Darmada">
    <w15:presenceInfo w15:providerId="Windows Live" w15:userId="200d87b045cebf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zM7W0MDIwMDAzNjZS0lEKTi0uzszPAykwrAUA9Rw/ASwAAAA="/>
  </w:docVars>
  <w:rsids>
    <w:rsidRoot w:val="00776316"/>
    <w:rsid w:val="00003427"/>
    <w:rsid w:val="0013331A"/>
    <w:rsid w:val="001818E0"/>
    <w:rsid w:val="00182274"/>
    <w:rsid w:val="001A355A"/>
    <w:rsid w:val="00205AC4"/>
    <w:rsid w:val="002351B2"/>
    <w:rsid w:val="00364F26"/>
    <w:rsid w:val="003A2D7A"/>
    <w:rsid w:val="003C3189"/>
    <w:rsid w:val="003F77B3"/>
    <w:rsid w:val="004345B8"/>
    <w:rsid w:val="004A60C2"/>
    <w:rsid w:val="004C22DC"/>
    <w:rsid w:val="005910EB"/>
    <w:rsid w:val="006221AA"/>
    <w:rsid w:val="006313BA"/>
    <w:rsid w:val="00685406"/>
    <w:rsid w:val="006854B4"/>
    <w:rsid w:val="006F3439"/>
    <w:rsid w:val="006F6626"/>
    <w:rsid w:val="0074474B"/>
    <w:rsid w:val="00776316"/>
    <w:rsid w:val="00796024"/>
    <w:rsid w:val="007F2B78"/>
    <w:rsid w:val="00804A1E"/>
    <w:rsid w:val="00805A31"/>
    <w:rsid w:val="0081486C"/>
    <w:rsid w:val="00834F4B"/>
    <w:rsid w:val="0083501A"/>
    <w:rsid w:val="00867625"/>
    <w:rsid w:val="0087458A"/>
    <w:rsid w:val="00884F93"/>
    <w:rsid w:val="00953F50"/>
    <w:rsid w:val="00957085"/>
    <w:rsid w:val="00966B05"/>
    <w:rsid w:val="00997B2D"/>
    <w:rsid w:val="00AE6346"/>
    <w:rsid w:val="00B20DD5"/>
    <w:rsid w:val="00BD36FC"/>
    <w:rsid w:val="00C62655"/>
    <w:rsid w:val="00C6500E"/>
    <w:rsid w:val="00C81BF1"/>
    <w:rsid w:val="00CA76A6"/>
    <w:rsid w:val="00CB3433"/>
    <w:rsid w:val="00D26282"/>
    <w:rsid w:val="00DA59C4"/>
    <w:rsid w:val="00E64077"/>
    <w:rsid w:val="00ED37AB"/>
    <w:rsid w:val="00F50F43"/>
    <w:rsid w:val="00F54CA2"/>
    <w:rsid w:val="00F64C3C"/>
    <w:rsid w:val="00FF4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E32DB7"/>
  <w15:docId w15:val="{18E00558-94CF-4B52-9231-0BD4EE32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316"/>
    <w:pPr>
      <w:spacing w:after="0" w:line="240" w:lineRule="auto"/>
    </w:pPr>
    <w:rPr>
      <w:rFonts w:ascii="Helvetica" w:eastAsia="Times New Roman" w:hAnsi="Helvetic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776316"/>
    <w:rPr>
      <w:color w:val="FF0080"/>
      <w:u w:val="single"/>
    </w:rPr>
  </w:style>
  <w:style w:type="paragraph" w:customStyle="1" w:styleId="Author">
    <w:name w:val="Author"/>
    <w:basedOn w:val="Normal"/>
    <w:rsid w:val="00776316"/>
    <w:pPr>
      <w:spacing w:line="280" w:lineRule="exact"/>
      <w:jc w:val="right"/>
    </w:pPr>
    <w:rPr>
      <w:b/>
      <w:sz w:val="24"/>
    </w:rPr>
  </w:style>
  <w:style w:type="paragraph" w:customStyle="1" w:styleId="Affiliation">
    <w:name w:val="Affiliation"/>
    <w:basedOn w:val="Normal"/>
    <w:rsid w:val="00776316"/>
    <w:pPr>
      <w:spacing w:after="240" w:line="240" w:lineRule="exact"/>
      <w:jc w:val="right"/>
    </w:pPr>
  </w:style>
  <w:style w:type="paragraph" w:customStyle="1" w:styleId="Body">
    <w:name w:val="Body"/>
    <w:basedOn w:val="Normal"/>
    <w:rsid w:val="00776316"/>
    <w:pPr>
      <w:spacing w:after="240"/>
      <w:jc w:val="both"/>
    </w:pPr>
  </w:style>
  <w:style w:type="paragraph" w:customStyle="1" w:styleId="Copyright">
    <w:name w:val="Copyright"/>
    <w:basedOn w:val="Normal"/>
    <w:rsid w:val="00776316"/>
    <w:pPr>
      <w:spacing w:after="960" w:line="200" w:lineRule="exact"/>
    </w:pPr>
    <w:rPr>
      <w:sz w:val="16"/>
    </w:rPr>
  </w:style>
  <w:style w:type="paragraph" w:customStyle="1" w:styleId="Head1">
    <w:name w:val="Head1"/>
    <w:basedOn w:val="Normal"/>
    <w:rsid w:val="00776316"/>
    <w:pPr>
      <w:keepNext/>
      <w:spacing w:after="240"/>
    </w:pPr>
    <w:rPr>
      <w:b/>
      <w:caps/>
      <w:sz w:val="22"/>
    </w:rPr>
  </w:style>
  <w:style w:type="paragraph" w:customStyle="1" w:styleId="ReferHead">
    <w:name w:val="Refer Head"/>
    <w:basedOn w:val="Normal"/>
    <w:rsid w:val="00776316"/>
    <w:pPr>
      <w:keepNext/>
      <w:spacing w:after="240"/>
    </w:pPr>
    <w:rPr>
      <w:b/>
      <w:caps/>
      <w:sz w:val="22"/>
    </w:rPr>
  </w:style>
  <w:style w:type="paragraph" w:customStyle="1" w:styleId="ConcHead">
    <w:name w:val="Conc Head"/>
    <w:basedOn w:val="Normal"/>
    <w:rsid w:val="00776316"/>
    <w:pPr>
      <w:keepNext/>
      <w:spacing w:after="240"/>
    </w:pPr>
    <w:rPr>
      <w:b/>
      <w:caps/>
      <w:sz w:val="22"/>
    </w:rPr>
  </w:style>
  <w:style w:type="paragraph" w:customStyle="1" w:styleId="AbstHead">
    <w:name w:val="Abst Head"/>
    <w:basedOn w:val="Normal"/>
    <w:rsid w:val="00776316"/>
    <w:pPr>
      <w:keepNext/>
      <w:spacing w:after="240"/>
    </w:pPr>
    <w:rPr>
      <w:b/>
      <w:caps/>
      <w:sz w:val="22"/>
    </w:rPr>
  </w:style>
  <w:style w:type="paragraph" w:styleId="BalloonText">
    <w:name w:val="Balloon Text"/>
    <w:basedOn w:val="Normal"/>
    <w:link w:val="BalloonTextChar"/>
    <w:uiPriority w:val="99"/>
    <w:semiHidden/>
    <w:unhideWhenUsed/>
    <w:rsid w:val="00776316"/>
    <w:rPr>
      <w:rFonts w:ascii="Tahoma" w:hAnsi="Tahoma" w:cs="Tahoma"/>
      <w:sz w:val="16"/>
      <w:szCs w:val="16"/>
    </w:rPr>
  </w:style>
  <w:style w:type="character" w:customStyle="1" w:styleId="BalloonTextChar">
    <w:name w:val="Balloon Text Char"/>
    <w:basedOn w:val="DefaultParagraphFont"/>
    <w:link w:val="BalloonText"/>
    <w:uiPriority w:val="99"/>
    <w:semiHidden/>
    <w:rsid w:val="00776316"/>
    <w:rPr>
      <w:rFonts w:ascii="Tahoma" w:eastAsia="Times New Roman" w:hAnsi="Tahoma" w:cs="Tahoma"/>
      <w:sz w:val="16"/>
      <w:szCs w:val="16"/>
    </w:rPr>
  </w:style>
  <w:style w:type="paragraph" w:styleId="Header">
    <w:name w:val="header"/>
    <w:basedOn w:val="Normal"/>
    <w:link w:val="HeaderChar"/>
    <w:uiPriority w:val="99"/>
    <w:unhideWhenUsed/>
    <w:rsid w:val="00C6500E"/>
    <w:pPr>
      <w:tabs>
        <w:tab w:val="center" w:pos="4680"/>
        <w:tab w:val="right" w:pos="9360"/>
      </w:tabs>
    </w:pPr>
  </w:style>
  <w:style w:type="character" w:customStyle="1" w:styleId="HeaderChar">
    <w:name w:val="Header Char"/>
    <w:basedOn w:val="DefaultParagraphFont"/>
    <w:link w:val="Header"/>
    <w:uiPriority w:val="99"/>
    <w:rsid w:val="00C6500E"/>
    <w:rPr>
      <w:rFonts w:ascii="Helvetica" w:eastAsia="Times New Roman" w:hAnsi="Helvetica" w:cs="Times New Roman"/>
      <w:sz w:val="20"/>
      <w:szCs w:val="20"/>
    </w:rPr>
  </w:style>
  <w:style w:type="paragraph" w:styleId="Footer">
    <w:name w:val="footer"/>
    <w:basedOn w:val="Normal"/>
    <w:link w:val="FooterChar"/>
    <w:uiPriority w:val="99"/>
    <w:unhideWhenUsed/>
    <w:rsid w:val="00C6500E"/>
    <w:pPr>
      <w:tabs>
        <w:tab w:val="center" w:pos="4680"/>
        <w:tab w:val="right" w:pos="9360"/>
      </w:tabs>
    </w:pPr>
  </w:style>
  <w:style w:type="character" w:customStyle="1" w:styleId="FooterChar">
    <w:name w:val="Footer Char"/>
    <w:basedOn w:val="DefaultParagraphFont"/>
    <w:link w:val="Footer"/>
    <w:uiPriority w:val="99"/>
    <w:rsid w:val="00C6500E"/>
    <w:rPr>
      <w:rFonts w:ascii="Helvetica" w:eastAsia="Times New Roman" w:hAnsi="Helvetica" w:cs="Times New Roman"/>
      <w:sz w:val="20"/>
      <w:szCs w:val="20"/>
    </w:rPr>
  </w:style>
  <w:style w:type="character" w:styleId="CommentReference">
    <w:name w:val="annotation reference"/>
    <w:basedOn w:val="DefaultParagraphFont"/>
    <w:uiPriority w:val="99"/>
    <w:semiHidden/>
    <w:unhideWhenUsed/>
    <w:rsid w:val="00205AC4"/>
    <w:rPr>
      <w:sz w:val="16"/>
      <w:szCs w:val="16"/>
    </w:rPr>
  </w:style>
  <w:style w:type="paragraph" w:styleId="CommentText">
    <w:name w:val="annotation text"/>
    <w:basedOn w:val="Normal"/>
    <w:link w:val="CommentTextChar"/>
    <w:uiPriority w:val="99"/>
    <w:unhideWhenUsed/>
    <w:rsid w:val="00205AC4"/>
  </w:style>
  <w:style w:type="character" w:customStyle="1" w:styleId="CommentTextChar">
    <w:name w:val="Comment Text Char"/>
    <w:basedOn w:val="DefaultParagraphFont"/>
    <w:link w:val="CommentText"/>
    <w:uiPriority w:val="99"/>
    <w:rsid w:val="00205AC4"/>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205AC4"/>
    <w:rPr>
      <w:b/>
      <w:bCs/>
    </w:rPr>
  </w:style>
  <w:style w:type="character" w:customStyle="1" w:styleId="CommentSubjectChar">
    <w:name w:val="Comment Subject Char"/>
    <w:basedOn w:val="CommentTextChar"/>
    <w:link w:val="CommentSubject"/>
    <w:uiPriority w:val="99"/>
    <w:semiHidden/>
    <w:rsid w:val="00205AC4"/>
    <w:rPr>
      <w:rFonts w:ascii="Helvetica" w:eastAsia="Times New Roman" w:hAnsi="Helvetic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28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ournalahrj.com/index.php/AHRJ/article/view/52" TargetMode="External"/><Relationship Id="rId18" Type="http://schemas.openxmlformats.org/officeDocument/2006/relationships/hyperlink" Target="https://pubmed.ncbi.nlm.nih.gov/32644129/" TargetMode="External"/><Relationship Id="rId26" Type="http://schemas.openxmlformats.org/officeDocument/2006/relationships/hyperlink" Target="https://doi.org/10.1038/s41375-020-0836-7" TargetMode="External"/><Relationship Id="rId21" Type="http://schemas.openxmlformats.org/officeDocument/2006/relationships/hyperlink" Target="https://coronavirus.jhu.edu/map.html" TargetMode="External"/><Relationship Id="rId34" Type="http://schemas.openxmlformats.org/officeDocument/2006/relationships/footer" Target="footer3.xml"/><Relationship Id="rId7" Type="http://schemas.microsoft.com/office/2011/relationships/commentsExtended" Target="commentsExtended.xml"/><Relationship Id="rId12" Type="http://schemas.openxmlformats.org/officeDocument/2006/relationships/chart" Target="charts/chart3.xml"/><Relationship Id="rId17" Type="http://schemas.openxmlformats.org/officeDocument/2006/relationships/hyperlink" Target="https://ec.europa.eu/commission/presscorner/detail/en/ip_20_1416" TargetMode="External"/><Relationship Id="rId25" Type="http://schemas.openxmlformats.org/officeDocument/2006/relationships/hyperlink" Target="https://www.karger.com/Article/FullText/508199" TargetMode="External"/><Relationship Id="rId33"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https://www.thelancet.com/journals/lanhae/article/PIIS2352-3026(20)30205-2/fulltext" TargetMode="External"/><Relationship Id="rId20" Type="http://schemas.openxmlformats.org/officeDocument/2006/relationships/hyperlink" Target="https://go.drugbank.com/drugs/DB01611/clinical_trials?conditions=DBCOND0034998&amp;phase=1&amp;purpose=treatment&amp;status=terminated"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24" Type="http://schemas.openxmlformats.org/officeDocument/2006/relationships/hyperlink" Target="http://www.cureleukaemia.co.uk/page/news/523/aml-working-party-covid-19-recommendations"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nas.ro/wp-content/uploads/2022/03/Ordin-MS-681-CNAS-117-modif-C2-val-01-03-2022.pdf" TargetMode="External"/><Relationship Id="rId23" Type="http://schemas.openxmlformats.org/officeDocument/2006/relationships/hyperlink" Target="https://www.thelancet.com/journals/lanhae/article/PIIS2352-3026(20)30251-9/fulltext" TargetMode="External"/><Relationship Id="rId28" Type="http://schemas.openxmlformats.org/officeDocument/2006/relationships/hyperlink" Target="https://www.venclextahcp.com/aml.html" TargetMode="External"/><Relationship Id="rId36" Type="http://schemas.microsoft.com/office/2011/relationships/people" Target="people.xml"/><Relationship Id="rId10" Type="http://schemas.openxmlformats.org/officeDocument/2006/relationships/chart" Target="charts/chart1.xml"/><Relationship Id="rId19" Type="http://schemas.openxmlformats.org/officeDocument/2006/relationships/hyperlink" Target="https://www.venclextahcp.com/covid-19.html" TargetMode="External"/><Relationship Id="rId31"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yperlink" Target="http://www.ms.ro/wp-content/uploads/2018/06/Ordin-privind-aprobarea-protocoalelor-terapeutice-1.pdf" TargetMode="External"/><Relationship Id="rId22" Type="http://schemas.openxmlformats.org/officeDocument/2006/relationships/hyperlink" Target="https://www.ncbi.nlm.nih.gov/pmc/articles/PMC7724904/" TargetMode="External"/><Relationship Id="rId27" Type="http://schemas.openxmlformats.org/officeDocument/2006/relationships/hyperlink" Target="https://www.hcplive.com/view/covid19-hematological-diseases-linked-high-mortality-rate" TargetMode="External"/><Relationship Id="rId30" Type="http://schemas.openxmlformats.org/officeDocument/2006/relationships/header" Target="header2.xml"/><Relationship Id="rId35" Type="http://schemas.openxmlformats.org/officeDocument/2006/relationships/fontTable" Target="fontTable.xml"/><Relationship Id="rId8" Type="http://schemas.microsoft.com/office/2016/09/relationships/commentsIds" Target="commentsIds.xml"/><Relationship Id="rId3"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aGaba\Downloads\grafic%20-%20Cop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aGaba\Downloads\grafic-NEU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naGaba\Downloads\grafic%20-%20LEUKO%20-%20Cop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Sheet1!$C$1</c:f>
              <c:strCache>
                <c:ptCount val="1"/>
                <c:pt idx="0">
                  <c:v>Monocytes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Sheet1!$B$2:$B$15</c:f>
              <c:numCache>
                <c:formatCode>General</c:formatCode>
                <c:ptCount val="14"/>
                <c:pt idx="0">
                  <c:v>0</c:v>
                </c:pt>
                <c:pt idx="1">
                  <c:v>1</c:v>
                </c:pt>
                <c:pt idx="2">
                  <c:v>2</c:v>
                </c:pt>
                <c:pt idx="3">
                  <c:v>3</c:v>
                </c:pt>
                <c:pt idx="4">
                  <c:v>4</c:v>
                </c:pt>
                <c:pt idx="5">
                  <c:v>5</c:v>
                </c:pt>
                <c:pt idx="6">
                  <c:v>6</c:v>
                </c:pt>
                <c:pt idx="7">
                  <c:v>7</c:v>
                </c:pt>
                <c:pt idx="8">
                  <c:v>8</c:v>
                </c:pt>
                <c:pt idx="9">
                  <c:v>9</c:v>
                </c:pt>
                <c:pt idx="10">
                  <c:v>10</c:v>
                </c:pt>
                <c:pt idx="11">
                  <c:v>11</c:v>
                </c:pt>
                <c:pt idx="12">
                  <c:v>11.5</c:v>
                </c:pt>
                <c:pt idx="13">
                  <c:v>12</c:v>
                </c:pt>
              </c:numCache>
            </c:numRef>
          </c:xVal>
          <c:yVal>
            <c:numRef>
              <c:f>Sheet1!$C$2:$C$15</c:f>
              <c:numCache>
                <c:formatCode>General</c:formatCode>
                <c:ptCount val="14"/>
                <c:pt idx="0">
                  <c:v>1.9800000000000004</c:v>
                </c:pt>
                <c:pt idx="1">
                  <c:v>0.41000000000000009</c:v>
                </c:pt>
                <c:pt idx="2">
                  <c:v>0.4</c:v>
                </c:pt>
                <c:pt idx="3">
                  <c:v>0.19</c:v>
                </c:pt>
                <c:pt idx="4">
                  <c:v>0.1</c:v>
                </c:pt>
                <c:pt idx="5">
                  <c:v>0.25</c:v>
                </c:pt>
                <c:pt idx="6">
                  <c:v>0.16</c:v>
                </c:pt>
                <c:pt idx="7">
                  <c:v>0.24000000000000005</c:v>
                </c:pt>
                <c:pt idx="8">
                  <c:v>0.2</c:v>
                </c:pt>
                <c:pt idx="9">
                  <c:v>0.35000000000000009</c:v>
                </c:pt>
                <c:pt idx="10">
                  <c:v>2.4899999999999998</c:v>
                </c:pt>
                <c:pt idx="11">
                  <c:v>3.13</c:v>
                </c:pt>
                <c:pt idx="12">
                  <c:v>12.62</c:v>
                </c:pt>
                <c:pt idx="13">
                  <c:v>2.36</c:v>
                </c:pt>
              </c:numCache>
            </c:numRef>
          </c:yVal>
          <c:smooth val="1"/>
          <c:extLst>
            <c:ext xmlns:c16="http://schemas.microsoft.com/office/drawing/2014/chart" uri="{C3380CC4-5D6E-409C-BE32-E72D297353CC}">
              <c16:uniqueId val="{00000000-4BA5-41F7-9632-078F52E6EF08}"/>
            </c:ext>
          </c:extLst>
        </c:ser>
        <c:dLbls>
          <c:showLegendKey val="0"/>
          <c:showVal val="1"/>
          <c:showCatName val="0"/>
          <c:showSerName val="0"/>
          <c:showPercent val="0"/>
          <c:showBubbleSize val="0"/>
        </c:dLbls>
        <c:axId val="87559552"/>
        <c:axId val="87615744"/>
      </c:scatterChart>
      <c:valAx>
        <c:axId val="875595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Time intervals (cycles)</a:t>
                </a:r>
                <a:endParaRPr lang="ro-RO" sz="1000" b="0" i="0" u="none" strike="noStrike" baseline="0">
                  <a:effectLst/>
                </a:endParaRPr>
              </a:p>
              <a:p>
                <a:pPr>
                  <a:defRPr sz="1000" b="0" i="0" u="none" strike="noStrike" kern="1200" baseline="0">
                    <a:solidFill>
                      <a:schemeClr val="tx1">
                        <a:lumMod val="65000"/>
                        <a:lumOff val="35000"/>
                      </a:schemeClr>
                    </a:solidFill>
                    <a:latin typeface="+mn-lt"/>
                    <a:ea typeface="+mn-ea"/>
                    <a:cs typeface="+mn-cs"/>
                  </a:defRPr>
                </a:pPr>
                <a:r>
                  <a:rPr lang="ro-RO" sz="1000" b="0" i="0" u="none" strike="noStrike" baseline="0">
                    <a:effectLst/>
                  </a:rPr>
                  <a:t>1 cycle = 28 days</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15744"/>
        <c:crosses val="autoZero"/>
        <c:crossBetween val="midCat"/>
      </c:valAx>
      <c:valAx>
        <c:axId val="87615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Monocytes (K/µL)</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5595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Sheet1!$C$1</c:f>
              <c:strCache>
                <c:ptCount val="1"/>
                <c:pt idx="0">
                  <c:v>Neutrophils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Sheet1!$B$2:$B$15</c:f>
              <c:numCache>
                <c:formatCode>General</c:formatCode>
                <c:ptCount val="14"/>
                <c:pt idx="0">
                  <c:v>0</c:v>
                </c:pt>
                <c:pt idx="1">
                  <c:v>1</c:v>
                </c:pt>
                <c:pt idx="2">
                  <c:v>2</c:v>
                </c:pt>
                <c:pt idx="3">
                  <c:v>3</c:v>
                </c:pt>
                <c:pt idx="4">
                  <c:v>4</c:v>
                </c:pt>
                <c:pt idx="5">
                  <c:v>5</c:v>
                </c:pt>
                <c:pt idx="6">
                  <c:v>6</c:v>
                </c:pt>
                <c:pt idx="7">
                  <c:v>7</c:v>
                </c:pt>
                <c:pt idx="8">
                  <c:v>8</c:v>
                </c:pt>
                <c:pt idx="9">
                  <c:v>9</c:v>
                </c:pt>
                <c:pt idx="10">
                  <c:v>10</c:v>
                </c:pt>
                <c:pt idx="11">
                  <c:v>11</c:v>
                </c:pt>
                <c:pt idx="12">
                  <c:v>11.5</c:v>
                </c:pt>
                <c:pt idx="13">
                  <c:v>12</c:v>
                </c:pt>
              </c:numCache>
            </c:numRef>
          </c:xVal>
          <c:yVal>
            <c:numRef>
              <c:f>Sheet1!$C$2:$C$15</c:f>
              <c:numCache>
                <c:formatCode>General</c:formatCode>
                <c:ptCount val="14"/>
                <c:pt idx="0">
                  <c:v>2.58</c:v>
                </c:pt>
                <c:pt idx="1">
                  <c:v>2.3099999999999992</c:v>
                </c:pt>
                <c:pt idx="2">
                  <c:v>2.2000000000000002</c:v>
                </c:pt>
                <c:pt idx="3">
                  <c:v>2.1</c:v>
                </c:pt>
                <c:pt idx="4">
                  <c:v>0.78</c:v>
                </c:pt>
                <c:pt idx="5">
                  <c:v>1.06</c:v>
                </c:pt>
                <c:pt idx="6">
                  <c:v>1.2</c:v>
                </c:pt>
                <c:pt idx="7">
                  <c:v>1.24</c:v>
                </c:pt>
                <c:pt idx="8">
                  <c:v>1.25</c:v>
                </c:pt>
                <c:pt idx="9">
                  <c:v>1.03</c:v>
                </c:pt>
                <c:pt idx="10">
                  <c:v>1.07</c:v>
                </c:pt>
                <c:pt idx="11">
                  <c:v>1.9700000000000004</c:v>
                </c:pt>
                <c:pt idx="12">
                  <c:v>8.39</c:v>
                </c:pt>
                <c:pt idx="13">
                  <c:v>1.59</c:v>
                </c:pt>
              </c:numCache>
            </c:numRef>
          </c:yVal>
          <c:smooth val="1"/>
          <c:extLst>
            <c:ext xmlns:c16="http://schemas.microsoft.com/office/drawing/2014/chart" uri="{C3380CC4-5D6E-409C-BE32-E72D297353CC}">
              <c16:uniqueId val="{00000000-4BA5-41F7-9632-078F52E6EF08}"/>
            </c:ext>
          </c:extLst>
        </c:ser>
        <c:dLbls>
          <c:showLegendKey val="0"/>
          <c:showVal val="1"/>
          <c:showCatName val="0"/>
          <c:showSerName val="0"/>
          <c:showPercent val="0"/>
          <c:showBubbleSize val="0"/>
        </c:dLbls>
        <c:axId val="90258432"/>
        <c:axId val="90306048"/>
      </c:scatterChart>
      <c:valAx>
        <c:axId val="902584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Time intervals (cycles)</a:t>
                </a:r>
                <a:endParaRPr lang="ro-RO" sz="1000" b="0" i="0" u="none" strike="noStrike" baseline="0">
                  <a:effectLst/>
                </a:endParaRPr>
              </a:p>
              <a:p>
                <a:pPr>
                  <a:defRPr sz="1000" b="0" i="0" u="none" strike="noStrike" kern="1200" baseline="0">
                    <a:solidFill>
                      <a:schemeClr val="tx1">
                        <a:lumMod val="65000"/>
                        <a:lumOff val="35000"/>
                      </a:schemeClr>
                    </a:solidFill>
                    <a:latin typeface="+mn-lt"/>
                    <a:ea typeface="+mn-ea"/>
                    <a:cs typeface="+mn-cs"/>
                  </a:defRPr>
                </a:pPr>
                <a:r>
                  <a:rPr lang="ro-RO" sz="1000" b="0" i="0" u="none" strike="noStrike" baseline="0">
                    <a:effectLst/>
                  </a:rPr>
                  <a:t>1 cycle = 28 days</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306048"/>
        <c:crosses val="autoZero"/>
        <c:crossBetween val="midCat"/>
      </c:valAx>
      <c:valAx>
        <c:axId val="903060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Neutrophils (K/µL)</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25843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Sheet1!$C$1</c:f>
              <c:strCache>
                <c:ptCount val="1"/>
                <c:pt idx="0">
                  <c:v>WBC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Sheet1!$B$2:$B$15</c:f>
              <c:numCache>
                <c:formatCode>General</c:formatCode>
                <c:ptCount val="14"/>
                <c:pt idx="0">
                  <c:v>0</c:v>
                </c:pt>
                <c:pt idx="1">
                  <c:v>1</c:v>
                </c:pt>
                <c:pt idx="2">
                  <c:v>2</c:v>
                </c:pt>
                <c:pt idx="3">
                  <c:v>3</c:v>
                </c:pt>
                <c:pt idx="4">
                  <c:v>4</c:v>
                </c:pt>
                <c:pt idx="5">
                  <c:v>5</c:v>
                </c:pt>
                <c:pt idx="6">
                  <c:v>6</c:v>
                </c:pt>
                <c:pt idx="7">
                  <c:v>7</c:v>
                </c:pt>
                <c:pt idx="8">
                  <c:v>8</c:v>
                </c:pt>
                <c:pt idx="9">
                  <c:v>9</c:v>
                </c:pt>
                <c:pt idx="10">
                  <c:v>10</c:v>
                </c:pt>
                <c:pt idx="11">
                  <c:v>11</c:v>
                </c:pt>
                <c:pt idx="12">
                  <c:v>11.5</c:v>
                </c:pt>
                <c:pt idx="13">
                  <c:v>12</c:v>
                </c:pt>
              </c:numCache>
            </c:numRef>
          </c:xVal>
          <c:yVal>
            <c:numRef>
              <c:f>Sheet1!$C$2:$C$15</c:f>
              <c:numCache>
                <c:formatCode>General</c:formatCode>
                <c:ptCount val="14"/>
                <c:pt idx="0">
                  <c:v>6.03</c:v>
                </c:pt>
                <c:pt idx="1">
                  <c:v>3.8499999999999992</c:v>
                </c:pt>
                <c:pt idx="2">
                  <c:v>3.51</c:v>
                </c:pt>
                <c:pt idx="3">
                  <c:v>2.86</c:v>
                </c:pt>
                <c:pt idx="4">
                  <c:v>1.4</c:v>
                </c:pt>
                <c:pt idx="5">
                  <c:v>1.9500000000000002</c:v>
                </c:pt>
                <c:pt idx="6">
                  <c:v>2.0099999999999998</c:v>
                </c:pt>
                <c:pt idx="7">
                  <c:v>2.25</c:v>
                </c:pt>
                <c:pt idx="8">
                  <c:v>2.1800000000000002</c:v>
                </c:pt>
                <c:pt idx="9">
                  <c:v>2.12</c:v>
                </c:pt>
                <c:pt idx="10">
                  <c:v>4.68</c:v>
                </c:pt>
                <c:pt idx="11">
                  <c:v>6.29</c:v>
                </c:pt>
                <c:pt idx="12">
                  <c:v>22.14</c:v>
                </c:pt>
                <c:pt idx="13">
                  <c:v>4.09</c:v>
                </c:pt>
              </c:numCache>
            </c:numRef>
          </c:yVal>
          <c:smooth val="1"/>
          <c:extLst>
            <c:ext xmlns:c16="http://schemas.microsoft.com/office/drawing/2014/chart" uri="{C3380CC4-5D6E-409C-BE32-E72D297353CC}">
              <c16:uniqueId val="{00000000-4BA5-41F7-9632-078F52E6EF08}"/>
            </c:ext>
          </c:extLst>
        </c:ser>
        <c:dLbls>
          <c:showLegendKey val="0"/>
          <c:showVal val="1"/>
          <c:showCatName val="0"/>
          <c:showSerName val="0"/>
          <c:showPercent val="0"/>
          <c:showBubbleSize val="0"/>
        </c:dLbls>
        <c:axId val="94253440"/>
        <c:axId val="94256512"/>
      </c:scatterChart>
      <c:valAx>
        <c:axId val="94253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Time intervals (cycles)</a:t>
                </a:r>
                <a:endParaRPr lang="ro-RO" sz="1000" b="0" i="0" u="none" strike="noStrike" baseline="0">
                  <a:effectLst/>
                </a:endParaRPr>
              </a:p>
              <a:p>
                <a:pPr>
                  <a:defRPr sz="1000" b="0" i="0" u="none" strike="noStrike" kern="1200" baseline="0">
                    <a:solidFill>
                      <a:schemeClr val="tx1">
                        <a:lumMod val="65000"/>
                        <a:lumOff val="35000"/>
                      </a:schemeClr>
                    </a:solidFill>
                    <a:latin typeface="+mn-lt"/>
                    <a:ea typeface="+mn-ea"/>
                    <a:cs typeface="+mn-cs"/>
                  </a:defRPr>
                </a:pPr>
                <a:r>
                  <a:rPr lang="ro-RO" sz="1000" b="0" i="0" u="none" strike="noStrike" baseline="0">
                    <a:effectLst/>
                  </a:rPr>
                  <a:t>1 cycle = 28 days</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56512"/>
        <c:crosses val="autoZero"/>
        <c:crossBetween val="midCat"/>
      </c:valAx>
      <c:valAx>
        <c:axId val="94256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Leukocytes (K/µL)</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2534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3499</Words>
  <Characters>19630</Characters>
  <Application>Microsoft Office Word</Application>
  <DocSecurity>0</DocSecurity>
  <Lines>785</Lines>
  <Paragraphs>625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DanaGaba</dc:creator>
  <cp:lastModifiedBy>Putu Dewinta Darmada</cp:lastModifiedBy>
  <cp:revision>7</cp:revision>
  <dcterms:created xsi:type="dcterms:W3CDTF">2025-03-17T02:40:00Z</dcterms:created>
  <dcterms:modified xsi:type="dcterms:W3CDTF">2025-03-19T03:44:00Z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fac36a9dea0cffed551dfada109931c7750486c8175355b584f532e490151169</vt:lpwstr>
  </property>
</Properties>
</file>