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11968" w14:paraId="1643A4CA" w14:textId="77777777" w:rsidTr="004847FF">
        <w:trPr>
          <w:trHeight w:val="450"/>
        </w:trPr>
        <w:tc>
          <w:tcPr>
            <w:tcW w:w="5000" w:type="pct"/>
            <w:gridSpan w:val="2"/>
            <w:tcBorders>
              <w:top w:val="nil"/>
              <w:left w:val="nil"/>
              <w:right w:val="nil"/>
            </w:tcBorders>
          </w:tcPr>
          <w:p w14:paraId="4C55E51F" w14:textId="77777777" w:rsidR="00602F7D" w:rsidRPr="00511968" w:rsidRDefault="00602F7D" w:rsidP="00F2643C">
            <w:pPr>
              <w:pStyle w:val="Heading2"/>
              <w:jc w:val="left"/>
              <w:rPr>
                <w:rFonts w:ascii="Arial" w:hAnsi="Arial" w:cs="Arial"/>
                <w:b w:val="0"/>
                <w:bCs w:val="0"/>
                <w:lang w:val="en-US"/>
              </w:rPr>
            </w:pPr>
          </w:p>
        </w:tc>
      </w:tr>
      <w:tr w:rsidR="0000007A" w:rsidRPr="00511968" w14:paraId="127EAD7E" w14:textId="77777777" w:rsidTr="00F33C84">
        <w:trPr>
          <w:trHeight w:val="413"/>
        </w:trPr>
        <w:tc>
          <w:tcPr>
            <w:tcW w:w="1234" w:type="pct"/>
          </w:tcPr>
          <w:p w14:paraId="3C159AA5" w14:textId="77777777" w:rsidR="0000007A" w:rsidRPr="00511968" w:rsidRDefault="00D27A79" w:rsidP="00696CAD">
            <w:pPr>
              <w:pStyle w:val="BodyText"/>
              <w:ind w:left="90"/>
              <w:jc w:val="left"/>
              <w:rPr>
                <w:rFonts w:ascii="Arial" w:hAnsi="Arial" w:cs="Arial"/>
                <w:bCs/>
                <w:sz w:val="20"/>
                <w:szCs w:val="20"/>
                <w:lang w:val="en-GB"/>
              </w:rPr>
            </w:pPr>
            <w:r w:rsidRPr="00511968">
              <w:rPr>
                <w:rFonts w:ascii="Arial" w:hAnsi="Arial" w:cs="Arial"/>
                <w:bCs/>
                <w:sz w:val="20"/>
                <w:szCs w:val="20"/>
                <w:lang w:val="en-GB"/>
              </w:rPr>
              <w:t xml:space="preserve">Book </w:t>
            </w:r>
            <w:r w:rsidR="0000007A" w:rsidRPr="0051196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3BE606" w:rsidR="0000007A" w:rsidRPr="00511968" w:rsidRDefault="004E63D7" w:rsidP="00054BC4">
            <w:pPr>
              <w:pStyle w:val="NormalWeb"/>
              <w:rPr>
                <w:rFonts w:ascii="Arial" w:hAnsi="Arial" w:cs="Arial"/>
                <w:b/>
                <w:bCs/>
                <w:sz w:val="20"/>
                <w:szCs w:val="20"/>
                <w:u w:val="single"/>
              </w:rPr>
            </w:pPr>
            <w:r w:rsidRPr="00511968">
              <w:rPr>
                <w:rFonts w:ascii="Arial" w:hAnsi="Arial" w:cs="Arial"/>
                <w:b/>
                <w:bCs/>
                <w:sz w:val="20"/>
                <w:szCs w:val="20"/>
                <w:u w:val="single"/>
              </w:rPr>
              <w:t>Quality Assurance Practices for Transformative Higher Education in Southern Africa</w:t>
            </w:r>
          </w:p>
        </w:tc>
      </w:tr>
      <w:tr w:rsidR="0000007A" w:rsidRPr="00511968" w14:paraId="73C90375" w14:textId="77777777" w:rsidTr="002E7787">
        <w:trPr>
          <w:trHeight w:val="290"/>
        </w:trPr>
        <w:tc>
          <w:tcPr>
            <w:tcW w:w="1234" w:type="pct"/>
          </w:tcPr>
          <w:p w14:paraId="20D28135" w14:textId="77777777" w:rsidR="0000007A" w:rsidRPr="00511968" w:rsidRDefault="0000007A" w:rsidP="00696CAD">
            <w:pPr>
              <w:pStyle w:val="BodyText"/>
              <w:ind w:left="90"/>
              <w:jc w:val="left"/>
              <w:rPr>
                <w:rFonts w:ascii="Arial" w:hAnsi="Arial" w:cs="Arial"/>
                <w:bCs/>
                <w:sz w:val="20"/>
                <w:szCs w:val="20"/>
                <w:lang w:val="en-GB"/>
              </w:rPr>
            </w:pPr>
            <w:r w:rsidRPr="0051196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134F8E6" w:rsidR="0000007A" w:rsidRPr="00511968" w:rsidRDefault="00E72A8E" w:rsidP="00F3669D">
            <w:pPr>
              <w:pStyle w:val="NormalWeb"/>
              <w:spacing w:before="0" w:beforeAutospacing="0" w:after="0" w:afterAutospacing="0"/>
              <w:rPr>
                <w:rFonts w:ascii="Arial" w:hAnsi="Arial" w:cs="Arial"/>
                <w:b/>
                <w:bCs/>
                <w:sz w:val="20"/>
                <w:szCs w:val="20"/>
                <w:highlight w:val="yellow"/>
                <w:lang w:val="en-GB"/>
              </w:rPr>
            </w:pPr>
            <w:r w:rsidRPr="00511968">
              <w:rPr>
                <w:rFonts w:ascii="Arial" w:hAnsi="Arial" w:cs="Arial"/>
                <w:b/>
                <w:bCs/>
                <w:sz w:val="20"/>
                <w:szCs w:val="20"/>
                <w:lang w:val="en-GB"/>
              </w:rPr>
              <w:t>Ms_BP</w:t>
            </w:r>
            <w:r w:rsidR="00FC432A" w:rsidRPr="00511968">
              <w:rPr>
                <w:rFonts w:ascii="Arial" w:hAnsi="Arial" w:cs="Arial"/>
                <w:b/>
                <w:bCs/>
                <w:sz w:val="20"/>
                <w:szCs w:val="20"/>
                <w:lang w:val="en-GB"/>
              </w:rPr>
              <w:t>R</w:t>
            </w:r>
            <w:r w:rsidRPr="00511968">
              <w:rPr>
                <w:rFonts w:ascii="Arial" w:hAnsi="Arial" w:cs="Arial"/>
                <w:b/>
                <w:bCs/>
                <w:sz w:val="20"/>
                <w:szCs w:val="20"/>
                <w:lang w:val="en-GB"/>
              </w:rPr>
              <w:t>_</w:t>
            </w:r>
            <w:r w:rsidR="00EF4261" w:rsidRPr="00511968">
              <w:rPr>
                <w:rFonts w:ascii="Arial" w:hAnsi="Arial" w:cs="Arial"/>
                <w:b/>
                <w:bCs/>
                <w:sz w:val="20"/>
                <w:szCs w:val="20"/>
                <w:lang w:val="en-GB"/>
              </w:rPr>
              <w:t>5086.2</w:t>
            </w:r>
          </w:p>
        </w:tc>
      </w:tr>
      <w:tr w:rsidR="0000007A" w:rsidRPr="00511968" w14:paraId="05B60576" w14:textId="77777777" w:rsidTr="002109D6">
        <w:trPr>
          <w:trHeight w:val="331"/>
        </w:trPr>
        <w:tc>
          <w:tcPr>
            <w:tcW w:w="1234" w:type="pct"/>
          </w:tcPr>
          <w:p w14:paraId="0196A627" w14:textId="77777777" w:rsidR="0000007A" w:rsidRPr="00511968" w:rsidRDefault="0000007A" w:rsidP="00696CAD">
            <w:pPr>
              <w:pStyle w:val="BodyText"/>
              <w:ind w:left="90"/>
              <w:jc w:val="left"/>
              <w:rPr>
                <w:rFonts w:ascii="Arial" w:hAnsi="Arial" w:cs="Arial"/>
                <w:bCs/>
                <w:sz w:val="20"/>
                <w:szCs w:val="20"/>
                <w:lang w:val="en-GB"/>
              </w:rPr>
            </w:pPr>
            <w:r w:rsidRPr="0051196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67F1D64" w:rsidR="0000007A" w:rsidRPr="00511968" w:rsidRDefault="00EF4261" w:rsidP="00EF4261">
            <w:pPr>
              <w:pStyle w:val="NormalWeb"/>
              <w:rPr>
                <w:rFonts w:ascii="Arial" w:hAnsi="Arial" w:cs="Arial"/>
                <w:b/>
                <w:sz w:val="20"/>
                <w:szCs w:val="20"/>
                <w:lang w:val="en-GB"/>
              </w:rPr>
            </w:pPr>
            <w:r w:rsidRPr="00511968">
              <w:rPr>
                <w:rFonts w:ascii="Arial" w:hAnsi="Arial" w:cs="Arial"/>
                <w:b/>
                <w:sz w:val="20"/>
                <w:szCs w:val="20"/>
                <w:lang w:val="en-GB"/>
              </w:rPr>
              <w:t>Institutional culture and its influence on quality assurance in higher education</w:t>
            </w:r>
          </w:p>
        </w:tc>
      </w:tr>
      <w:tr w:rsidR="00CF0BBB" w:rsidRPr="00511968" w14:paraId="6D508B1C" w14:textId="77777777" w:rsidTr="002E7787">
        <w:trPr>
          <w:trHeight w:val="332"/>
        </w:trPr>
        <w:tc>
          <w:tcPr>
            <w:tcW w:w="1234" w:type="pct"/>
          </w:tcPr>
          <w:p w14:paraId="32FC28F7" w14:textId="77777777" w:rsidR="00CF0BBB" w:rsidRPr="00511968" w:rsidRDefault="00CF0BBB" w:rsidP="00696CAD">
            <w:pPr>
              <w:pStyle w:val="BodyText"/>
              <w:ind w:left="90"/>
              <w:jc w:val="left"/>
              <w:rPr>
                <w:rFonts w:ascii="Arial" w:hAnsi="Arial" w:cs="Arial"/>
                <w:bCs/>
                <w:sz w:val="20"/>
                <w:szCs w:val="20"/>
                <w:lang w:val="en-GB"/>
              </w:rPr>
            </w:pPr>
            <w:r w:rsidRPr="0051196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BC43FE" w:rsidR="00CF0BBB" w:rsidRPr="00511968" w:rsidRDefault="00EF4261" w:rsidP="000450FC">
            <w:pPr>
              <w:pStyle w:val="NormalWeb"/>
              <w:spacing w:before="0" w:beforeAutospacing="0" w:after="0" w:afterAutospacing="0"/>
              <w:rPr>
                <w:rFonts w:ascii="Arial" w:hAnsi="Arial" w:cs="Arial"/>
                <w:b/>
                <w:sz w:val="20"/>
                <w:szCs w:val="20"/>
                <w:lang w:val="en-GB"/>
              </w:rPr>
            </w:pPr>
            <w:r w:rsidRPr="00511968">
              <w:rPr>
                <w:rFonts w:ascii="Arial" w:hAnsi="Arial" w:cs="Arial"/>
                <w:b/>
                <w:sz w:val="20"/>
                <w:szCs w:val="20"/>
                <w:lang w:val="en-GB"/>
              </w:rPr>
              <w:t>Book Chapter</w:t>
            </w:r>
          </w:p>
        </w:tc>
      </w:tr>
    </w:tbl>
    <w:p w14:paraId="45F5983C" w14:textId="77777777" w:rsidR="00037D52" w:rsidRPr="00511968" w:rsidRDefault="00037D52" w:rsidP="0000007A">
      <w:pPr>
        <w:pStyle w:val="BodyText"/>
        <w:rPr>
          <w:rFonts w:ascii="Arial" w:hAnsi="Arial" w:cs="Arial"/>
          <w:b/>
          <w:bCs/>
          <w:sz w:val="20"/>
          <w:szCs w:val="20"/>
          <w:u w:val="single"/>
          <w:lang w:val="en-GB"/>
        </w:rPr>
      </w:pPr>
    </w:p>
    <w:tbl>
      <w:tblPr>
        <w:tblpPr w:leftFromText="180" w:rightFromText="180" w:vertAnchor="text" w:horzAnchor="margin" w:tblpY="-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511968" w:rsidRPr="00511968" w14:paraId="04FE1519" w14:textId="77777777" w:rsidTr="00511968">
        <w:tc>
          <w:tcPr>
            <w:tcW w:w="5000" w:type="pct"/>
            <w:gridSpan w:val="3"/>
            <w:tcBorders>
              <w:top w:val="nil"/>
              <w:left w:val="nil"/>
              <w:right w:val="nil"/>
            </w:tcBorders>
            <w:noWrap/>
          </w:tcPr>
          <w:p w14:paraId="342C68AB" w14:textId="77777777" w:rsidR="00511968" w:rsidRPr="00511968" w:rsidRDefault="00511968" w:rsidP="00511968">
            <w:pPr>
              <w:pStyle w:val="Heading2"/>
              <w:jc w:val="left"/>
              <w:rPr>
                <w:rFonts w:ascii="Arial" w:hAnsi="Arial" w:cs="Arial"/>
                <w:lang w:val="en-GB"/>
              </w:rPr>
            </w:pPr>
            <w:r w:rsidRPr="00511968">
              <w:rPr>
                <w:rFonts w:ascii="Arial" w:hAnsi="Arial" w:cs="Arial"/>
                <w:highlight w:val="yellow"/>
                <w:lang w:val="en-GB"/>
              </w:rPr>
              <w:t>PART  1:</w:t>
            </w:r>
            <w:r w:rsidRPr="00511968">
              <w:rPr>
                <w:rFonts w:ascii="Arial" w:hAnsi="Arial" w:cs="Arial"/>
                <w:lang w:val="en-GB"/>
              </w:rPr>
              <w:t xml:space="preserve"> Comments</w:t>
            </w:r>
          </w:p>
          <w:p w14:paraId="26B83CB8" w14:textId="77777777" w:rsidR="00511968" w:rsidRPr="00511968" w:rsidRDefault="00511968" w:rsidP="00511968">
            <w:pPr>
              <w:rPr>
                <w:rFonts w:ascii="Arial" w:hAnsi="Arial" w:cs="Arial"/>
                <w:sz w:val="20"/>
                <w:szCs w:val="20"/>
                <w:lang w:val="en-GB"/>
              </w:rPr>
            </w:pPr>
          </w:p>
        </w:tc>
      </w:tr>
      <w:tr w:rsidR="00511968" w:rsidRPr="00511968" w14:paraId="3E1F37F8" w14:textId="77777777" w:rsidTr="00511968">
        <w:tc>
          <w:tcPr>
            <w:tcW w:w="1265" w:type="pct"/>
            <w:noWrap/>
          </w:tcPr>
          <w:p w14:paraId="227C00AE" w14:textId="77777777" w:rsidR="00511968" w:rsidRPr="00511968" w:rsidRDefault="00511968" w:rsidP="00511968">
            <w:pPr>
              <w:pStyle w:val="Heading2"/>
              <w:jc w:val="left"/>
              <w:rPr>
                <w:rFonts w:ascii="Arial" w:hAnsi="Arial" w:cs="Arial"/>
                <w:lang w:val="en-GB"/>
              </w:rPr>
            </w:pPr>
          </w:p>
        </w:tc>
        <w:tc>
          <w:tcPr>
            <w:tcW w:w="2212" w:type="pct"/>
          </w:tcPr>
          <w:p w14:paraId="0A32C737" w14:textId="77777777" w:rsidR="00511968" w:rsidRPr="00511968" w:rsidRDefault="00511968" w:rsidP="00511968">
            <w:pPr>
              <w:pStyle w:val="Heading2"/>
              <w:jc w:val="left"/>
              <w:rPr>
                <w:rFonts w:ascii="Arial" w:hAnsi="Arial" w:cs="Arial"/>
                <w:lang w:val="en-GB"/>
              </w:rPr>
            </w:pPr>
            <w:r w:rsidRPr="00511968">
              <w:rPr>
                <w:rFonts w:ascii="Arial" w:hAnsi="Arial" w:cs="Arial"/>
                <w:lang w:val="en-GB"/>
              </w:rPr>
              <w:t>Reviewer’s comment</w:t>
            </w:r>
          </w:p>
          <w:p w14:paraId="59113EB4" w14:textId="77777777" w:rsidR="00511968" w:rsidRPr="00511968" w:rsidRDefault="00511968" w:rsidP="00511968">
            <w:pPr>
              <w:rPr>
                <w:rFonts w:ascii="Arial" w:hAnsi="Arial" w:cs="Arial"/>
                <w:b/>
                <w:bCs/>
                <w:sz w:val="20"/>
                <w:szCs w:val="20"/>
              </w:rPr>
            </w:pPr>
            <w:r w:rsidRPr="00511968">
              <w:rPr>
                <w:rFonts w:ascii="Arial" w:hAnsi="Arial" w:cs="Arial"/>
                <w:b/>
                <w:bCs/>
                <w:sz w:val="20"/>
                <w:szCs w:val="20"/>
                <w:highlight w:val="yellow"/>
              </w:rPr>
              <w:t>Artificial Intelligence (AI) generated or assisted review comments are strictly prohibited during peer review.</w:t>
            </w:r>
          </w:p>
          <w:p w14:paraId="059F624D" w14:textId="77777777" w:rsidR="00511968" w:rsidRPr="00511968" w:rsidRDefault="00511968" w:rsidP="00511968">
            <w:pPr>
              <w:rPr>
                <w:rFonts w:ascii="Arial" w:hAnsi="Arial" w:cs="Arial"/>
                <w:sz w:val="20"/>
                <w:szCs w:val="20"/>
                <w:lang w:val="en-GB"/>
              </w:rPr>
            </w:pPr>
          </w:p>
        </w:tc>
        <w:tc>
          <w:tcPr>
            <w:tcW w:w="1523" w:type="pct"/>
          </w:tcPr>
          <w:p w14:paraId="4E8ACE75" w14:textId="77777777" w:rsidR="00511968" w:rsidRPr="00511968" w:rsidRDefault="00511968" w:rsidP="00511968">
            <w:pPr>
              <w:pStyle w:val="Heading2"/>
              <w:jc w:val="left"/>
              <w:rPr>
                <w:rFonts w:ascii="Arial" w:hAnsi="Arial" w:cs="Arial"/>
                <w:b w:val="0"/>
                <w:lang w:val="en-GB"/>
              </w:rPr>
            </w:pPr>
            <w:r w:rsidRPr="00511968">
              <w:rPr>
                <w:rFonts w:ascii="Arial" w:hAnsi="Arial" w:cs="Arial"/>
                <w:lang w:val="en-GB"/>
              </w:rPr>
              <w:t>Author’s Feedback</w:t>
            </w:r>
            <w:r w:rsidRPr="00511968">
              <w:rPr>
                <w:rFonts w:ascii="Arial" w:hAnsi="Arial" w:cs="Arial"/>
                <w:b w:val="0"/>
                <w:lang w:val="en-GB"/>
              </w:rPr>
              <w:t xml:space="preserve"> </w:t>
            </w:r>
            <w:r w:rsidRPr="00511968">
              <w:rPr>
                <w:rFonts w:ascii="Arial" w:hAnsi="Arial" w:cs="Arial"/>
                <w:b w:val="0"/>
                <w:i/>
                <w:lang w:val="en-GB"/>
              </w:rPr>
              <w:t>(Please correct the manuscript and highlight that part in the manuscript. It is mandatory that authors should write his/her feedback here)</w:t>
            </w:r>
          </w:p>
        </w:tc>
      </w:tr>
      <w:tr w:rsidR="00511968" w:rsidRPr="00511968" w14:paraId="07747018" w14:textId="77777777" w:rsidTr="00511968">
        <w:trPr>
          <w:trHeight w:val="1584"/>
        </w:trPr>
        <w:tc>
          <w:tcPr>
            <w:tcW w:w="1265" w:type="pct"/>
            <w:noWrap/>
            <w:vAlign w:val="center"/>
          </w:tcPr>
          <w:p w14:paraId="4EB2FA49" w14:textId="77777777" w:rsidR="00511968" w:rsidRPr="00511968" w:rsidRDefault="00511968" w:rsidP="00511968">
            <w:pPr>
              <w:ind w:left="360"/>
              <w:rPr>
                <w:rFonts w:ascii="Arial" w:hAnsi="Arial" w:cs="Arial"/>
                <w:b/>
                <w:bCs/>
                <w:sz w:val="20"/>
                <w:szCs w:val="20"/>
                <w:lang w:val="en-GB"/>
              </w:rPr>
            </w:pPr>
            <w:r w:rsidRPr="0051196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338B084" w14:textId="77777777" w:rsidR="00511968" w:rsidRPr="00511968" w:rsidRDefault="00511968" w:rsidP="00511968">
            <w:pPr>
              <w:ind w:left="360"/>
              <w:rPr>
                <w:rFonts w:ascii="Arial" w:eastAsia="MS Mincho" w:hAnsi="Arial" w:cs="Arial"/>
                <w:b/>
                <w:bCs/>
                <w:sz w:val="20"/>
                <w:szCs w:val="20"/>
                <w:lang w:val="en-GB"/>
              </w:rPr>
            </w:pPr>
          </w:p>
        </w:tc>
        <w:tc>
          <w:tcPr>
            <w:tcW w:w="2212" w:type="pct"/>
            <w:vAlign w:val="center"/>
          </w:tcPr>
          <w:p w14:paraId="70D8844D" w14:textId="77777777" w:rsidR="00511968" w:rsidRPr="00511968" w:rsidRDefault="00511968" w:rsidP="00511968">
            <w:pPr>
              <w:pStyle w:val="ListParagraph"/>
              <w:ind w:right="96"/>
              <w:jc w:val="both"/>
              <w:rPr>
                <w:rFonts w:ascii="Arial" w:hAnsi="Arial" w:cs="Arial"/>
                <w:color w:val="0070C0"/>
                <w:sz w:val="20"/>
                <w:szCs w:val="20"/>
                <w:lang w:val="en-PH"/>
              </w:rPr>
            </w:pPr>
            <w:r w:rsidRPr="00511968">
              <w:rPr>
                <w:rFonts w:ascii="Arial" w:hAnsi="Arial" w:cs="Arial"/>
                <w:color w:val="0070C0"/>
                <w:sz w:val="20"/>
                <w:szCs w:val="20"/>
                <w:lang w:val="en-PH"/>
              </w:rPr>
              <w:t>The important relationship between institutional culture and quality assurance in higher education is examined in the manuscript. It is useful to the scientific community because it offers methods for overcoming institutional resistance and enhancing stakeholder engagement. It also examines the effectiveness of governance structures, shared values, and quality assurance procedures. The study provides a comprehensive framework to assist administrators, educators, and legislators in implementing more effective, institution-specific quality assurance measures.</w:t>
            </w:r>
          </w:p>
        </w:tc>
        <w:tc>
          <w:tcPr>
            <w:tcW w:w="1523" w:type="pct"/>
            <w:vAlign w:val="center"/>
          </w:tcPr>
          <w:p w14:paraId="3D5881B2" w14:textId="77777777" w:rsidR="00511968" w:rsidRPr="00511968" w:rsidRDefault="00511968" w:rsidP="00511968">
            <w:pPr>
              <w:pStyle w:val="Heading2"/>
              <w:jc w:val="left"/>
              <w:rPr>
                <w:rFonts w:ascii="Arial" w:hAnsi="Arial" w:cs="Arial"/>
                <w:b w:val="0"/>
                <w:lang w:val="en-GB"/>
              </w:rPr>
            </w:pPr>
          </w:p>
        </w:tc>
      </w:tr>
      <w:tr w:rsidR="00511968" w:rsidRPr="00511968" w14:paraId="22F8B7B7" w14:textId="77777777" w:rsidTr="00511968">
        <w:trPr>
          <w:trHeight w:val="864"/>
        </w:trPr>
        <w:tc>
          <w:tcPr>
            <w:tcW w:w="1265" w:type="pct"/>
            <w:noWrap/>
            <w:vAlign w:val="center"/>
          </w:tcPr>
          <w:p w14:paraId="18FD07D0" w14:textId="77777777" w:rsidR="00511968" w:rsidRPr="00511968" w:rsidRDefault="00511968" w:rsidP="00511968">
            <w:pPr>
              <w:ind w:left="360"/>
              <w:rPr>
                <w:rFonts w:ascii="Arial" w:hAnsi="Arial" w:cs="Arial"/>
                <w:b/>
                <w:bCs/>
                <w:sz w:val="20"/>
                <w:szCs w:val="20"/>
                <w:lang w:val="en-GB"/>
              </w:rPr>
            </w:pPr>
            <w:r w:rsidRPr="00511968">
              <w:rPr>
                <w:rFonts w:ascii="Arial" w:hAnsi="Arial" w:cs="Arial"/>
                <w:b/>
                <w:bCs/>
                <w:sz w:val="20"/>
                <w:szCs w:val="20"/>
                <w:lang w:val="en-GB"/>
              </w:rPr>
              <w:t>Is the title of the article suitable?</w:t>
            </w:r>
          </w:p>
          <w:p w14:paraId="3E2167CA" w14:textId="77777777" w:rsidR="00511968" w:rsidRPr="00511968" w:rsidRDefault="00511968" w:rsidP="00511968">
            <w:pPr>
              <w:ind w:left="360"/>
              <w:rPr>
                <w:rFonts w:ascii="Arial" w:hAnsi="Arial" w:cs="Arial"/>
                <w:b/>
                <w:bCs/>
                <w:sz w:val="20"/>
                <w:szCs w:val="20"/>
                <w:lang w:val="en-GB"/>
              </w:rPr>
            </w:pPr>
            <w:r w:rsidRPr="00511968">
              <w:rPr>
                <w:rFonts w:ascii="Arial" w:hAnsi="Arial" w:cs="Arial"/>
                <w:b/>
                <w:bCs/>
                <w:sz w:val="20"/>
                <w:szCs w:val="20"/>
                <w:lang w:val="en-GB"/>
              </w:rPr>
              <w:t>(If not please suggest an alternative title)</w:t>
            </w:r>
          </w:p>
        </w:tc>
        <w:tc>
          <w:tcPr>
            <w:tcW w:w="2212" w:type="pct"/>
            <w:vAlign w:val="center"/>
          </w:tcPr>
          <w:p w14:paraId="22979730" w14:textId="77777777" w:rsidR="00511968" w:rsidRPr="00511968" w:rsidRDefault="00511968" w:rsidP="00511968">
            <w:pPr>
              <w:pStyle w:val="ListParagraph"/>
              <w:ind w:right="96"/>
              <w:jc w:val="both"/>
              <w:rPr>
                <w:rFonts w:ascii="Arial" w:hAnsi="Arial" w:cs="Arial"/>
                <w:color w:val="0070C0"/>
                <w:sz w:val="20"/>
                <w:szCs w:val="20"/>
                <w:lang w:val="en-GB"/>
              </w:rPr>
            </w:pPr>
            <w:r w:rsidRPr="00511968">
              <w:rPr>
                <w:rFonts w:ascii="Arial" w:hAnsi="Arial" w:cs="Arial"/>
                <w:color w:val="0070C0"/>
                <w:sz w:val="20"/>
                <w:szCs w:val="20"/>
                <w:lang w:val="en-PH"/>
              </w:rPr>
              <w:t xml:space="preserve">The title may be also </w:t>
            </w:r>
            <w:proofErr w:type="gramStart"/>
            <w:r w:rsidRPr="00511968">
              <w:rPr>
                <w:rFonts w:ascii="Arial" w:hAnsi="Arial" w:cs="Arial"/>
                <w:color w:val="0070C0"/>
                <w:sz w:val="20"/>
                <w:szCs w:val="20"/>
                <w:lang w:val="en-PH"/>
              </w:rPr>
              <w:t>reorganize</w:t>
            </w:r>
            <w:proofErr w:type="gramEnd"/>
            <w:r w:rsidRPr="00511968">
              <w:rPr>
                <w:rFonts w:ascii="Arial" w:hAnsi="Arial" w:cs="Arial"/>
                <w:color w:val="0070C0"/>
                <w:sz w:val="20"/>
                <w:szCs w:val="20"/>
                <w:lang w:val="en-PH"/>
              </w:rPr>
              <w:t xml:space="preserve"> as “The Role of Institutional Culture in Shaping Quality Assurance in Higher Education”</w:t>
            </w:r>
          </w:p>
        </w:tc>
        <w:tc>
          <w:tcPr>
            <w:tcW w:w="1523" w:type="pct"/>
            <w:vAlign w:val="center"/>
          </w:tcPr>
          <w:p w14:paraId="2C8FC802" w14:textId="77777777" w:rsidR="00511968" w:rsidRPr="00511968" w:rsidRDefault="00511968" w:rsidP="00511968">
            <w:pPr>
              <w:pStyle w:val="Heading2"/>
              <w:jc w:val="left"/>
              <w:rPr>
                <w:rFonts w:ascii="Arial" w:hAnsi="Arial" w:cs="Arial"/>
                <w:b w:val="0"/>
                <w:lang w:val="en-GB"/>
              </w:rPr>
            </w:pPr>
          </w:p>
        </w:tc>
      </w:tr>
      <w:tr w:rsidR="00511968" w:rsidRPr="00511968" w14:paraId="6B1DF6C7" w14:textId="77777777" w:rsidTr="00511968">
        <w:trPr>
          <w:trHeight w:val="1728"/>
        </w:trPr>
        <w:tc>
          <w:tcPr>
            <w:tcW w:w="1265" w:type="pct"/>
            <w:noWrap/>
            <w:vAlign w:val="center"/>
          </w:tcPr>
          <w:p w14:paraId="3AACA9CB" w14:textId="77777777" w:rsidR="00511968" w:rsidRPr="00511968" w:rsidRDefault="00511968" w:rsidP="00511968">
            <w:pPr>
              <w:pStyle w:val="Heading2"/>
              <w:ind w:left="360"/>
              <w:jc w:val="left"/>
              <w:rPr>
                <w:rFonts w:ascii="Arial" w:hAnsi="Arial" w:cs="Arial"/>
                <w:lang w:val="en-GB"/>
              </w:rPr>
            </w:pPr>
            <w:r w:rsidRPr="00511968">
              <w:rPr>
                <w:rFonts w:ascii="Arial" w:hAnsi="Arial" w:cs="Arial"/>
                <w:lang w:val="en-GB"/>
              </w:rPr>
              <w:t>Is the abstract of the article comprehensive? Do you suggest the addition (or deletion) of some points in this section? Please write your suggestions here.</w:t>
            </w:r>
          </w:p>
          <w:p w14:paraId="0CFAA113" w14:textId="77777777" w:rsidR="00511968" w:rsidRPr="00511968" w:rsidRDefault="00511968" w:rsidP="00511968">
            <w:pPr>
              <w:pStyle w:val="Heading2"/>
              <w:jc w:val="left"/>
              <w:rPr>
                <w:rFonts w:ascii="Arial" w:hAnsi="Arial" w:cs="Arial"/>
                <w:u w:val="single"/>
                <w:lang w:val="en-GB"/>
              </w:rPr>
            </w:pPr>
          </w:p>
        </w:tc>
        <w:tc>
          <w:tcPr>
            <w:tcW w:w="2212" w:type="pct"/>
            <w:vAlign w:val="center"/>
          </w:tcPr>
          <w:p w14:paraId="0601FE98" w14:textId="77777777" w:rsidR="00511968" w:rsidRPr="00511968" w:rsidRDefault="00511968" w:rsidP="00511968">
            <w:pPr>
              <w:pStyle w:val="ListParagraph"/>
              <w:ind w:right="96"/>
              <w:jc w:val="both"/>
              <w:rPr>
                <w:rFonts w:ascii="Arial" w:hAnsi="Arial" w:cs="Arial"/>
                <w:color w:val="0070C0"/>
                <w:sz w:val="20"/>
                <w:szCs w:val="20"/>
                <w:lang w:val="en-PH"/>
              </w:rPr>
            </w:pPr>
            <w:r w:rsidRPr="00511968">
              <w:rPr>
                <w:rFonts w:ascii="Arial" w:hAnsi="Arial" w:cs="Arial"/>
                <w:color w:val="0070C0"/>
                <w:sz w:val="20"/>
                <w:szCs w:val="20"/>
                <w:lang w:val="en-PH"/>
              </w:rPr>
              <w:t>The abstract is thorough in summarizing the main ideas of the chapter, such as the connection between institutional culture and QA, leadership, external accountability, stakeholder involvement, and institutional isomorphism. But a few tweaks could increase impact and clarity by including a stronger concluding statement summarizing the key takeaway—how institutions can actively shape QA through cultural strengths and instead of stating that institutions adopt similar QA practices due to external pressures, briefly mention the potential risks and benefits of this trend.</w:t>
            </w:r>
          </w:p>
        </w:tc>
        <w:tc>
          <w:tcPr>
            <w:tcW w:w="1523" w:type="pct"/>
            <w:vAlign w:val="center"/>
          </w:tcPr>
          <w:p w14:paraId="1590B289" w14:textId="77777777" w:rsidR="00511968" w:rsidRPr="00511968" w:rsidRDefault="00511968" w:rsidP="00511968">
            <w:pPr>
              <w:pStyle w:val="Heading2"/>
              <w:jc w:val="left"/>
              <w:rPr>
                <w:rFonts w:ascii="Arial" w:hAnsi="Arial" w:cs="Arial"/>
                <w:b w:val="0"/>
                <w:lang w:val="en-GB"/>
              </w:rPr>
            </w:pPr>
          </w:p>
        </w:tc>
      </w:tr>
      <w:tr w:rsidR="00511968" w:rsidRPr="00511968" w14:paraId="59608C59" w14:textId="77777777" w:rsidTr="00511968">
        <w:trPr>
          <w:trHeight w:val="2016"/>
        </w:trPr>
        <w:tc>
          <w:tcPr>
            <w:tcW w:w="1265" w:type="pct"/>
            <w:noWrap/>
            <w:vAlign w:val="center"/>
          </w:tcPr>
          <w:p w14:paraId="7791154B" w14:textId="77777777" w:rsidR="00511968" w:rsidRPr="00511968" w:rsidRDefault="00511968" w:rsidP="00511968">
            <w:pPr>
              <w:ind w:left="360"/>
              <w:rPr>
                <w:rFonts w:ascii="Arial" w:hAnsi="Arial" w:cs="Arial"/>
                <w:b/>
                <w:bCs/>
                <w:sz w:val="20"/>
                <w:szCs w:val="20"/>
                <w:u w:val="single"/>
                <w:lang w:val="en-GB"/>
              </w:rPr>
            </w:pPr>
            <w:r w:rsidRPr="00511968">
              <w:rPr>
                <w:rFonts w:ascii="Arial" w:hAnsi="Arial" w:cs="Arial"/>
                <w:b/>
                <w:bCs/>
                <w:sz w:val="20"/>
                <w:szCs w:val="20"/>
                <w:lang w:val="en-GB"/>
              </w:rPr>
              <w:t xml:space="preserve">Is the manuscript scientifically, correct? Please write here. </w:t>
            </w:r>
          </w:p>
        </w:tc>
        <w:tc>
          <w:tcPr>
            <w:tcW w:w="2212" w:type="pct"/>
            <w:vAlign w:val="center"/>
          </w:tcPr>
          <w:p w14:paraId="13EAD8C2" w14:textId="77777777" w:rsidR="00511968" w:rsidRPr="00511968" w:rsidRDefault="00511968" w:rsidP="00511968">
            <w:pPr>
              <w:pStyle w:val="ListParagraph"/>
              <w:ind w:right="96"/>
              <w:jc w:val="both"/>
              <w:rPr>
                <w:rFonts w:ascii="Arial" w:hAnsi="Arial" w:cs="Arial"/>
                <w:color w:val="0070C0"/>
                <w:sz w:val="20"/>
                <w:szCs w:val="20"/>
                <w:lang w:val="en-PH"/>
              </w:rPr>
            </w:pPr>
            <w:r w:rsidRPr="00511968">
              <w:rPr>
                <w:rFonts w:ascii="Arial" w:hAnsi="Arial" w:cs="Arial"/>
                <w:color w:val="0070C0"/>
                <w:sz w:val="20"/>
                <w:szCs w:val="20"/>
                <w:lang w:val="en-PH"/>
              </w:rPr>
              <w:t>Because it is coherently organized, backed up by pertinent research, and logically discusses the connection between institutional culture and quality assurance (QA) in higher education, the manuscript seems to be scientifically sound. It integrates well-established theories, cites reliable sources, and offers a thorough examination of important ideas like institutional isomorphism, stakeholder engagement, and leadership effectiveness. To ensure full scientific accuracy, a thorough examination of the methodology, claims-supporting data, and argumentation coherence would be required. If necessary, additional verification using case studies or empirical data could support its conclusions.</w:t>
            </w:r>
          </w:p>
        </w:tc>
        <w:tc>
          <w:tcPr>
            <w:tcW w:w="1523" w:type="pct"/>
            <w:vAlign w:val="center"/>
          </w:tcPr>
          <w:p w14:paraId="338A3D5B" w14:textId="77777777" w:rsidR="00511968" w:rsidRPr="00511968" w:rsidRDefault="00511968" w:rsidP="00511968">
            <w:pPr>
              <w:pStyle w:val="Heading2"/>
              <w:jc w:val="left"/>
              <w:rPr>
                <w:rFonts w:ascii="Arial" w:hAnsi="Arial" w:cs="Arial"/>
                <w:b w:val="0"/>
                <w:lang w:val="en-GB"/>
              </w:rPr>
            </w:pPr>
          </w:p>
        </w:tc>
      </w:tr>
      <w:tr w:rsidR="00511968" w:rsidRPr="00511968" w14:paraId="4DC753D6" w14:textId="77777777" w:rsidTr="00511968">
        <w:trPr>
          <w:trHeight w:val="1296"/>
        </w:trPr>
        <w:tc>
          <w:tcPr>
            <w:tcW w:w="1265" w:type="pct"/>
            <w:noWrap/>
            <w:vAlign w:val="center"/>
          </w:tcPr>
          <w:p w14:paraId="67F50653" w14:textId="77777777" w:rsidR="00511968" w:rsidRPr="00511968" w:rsidRDefault="00511968" w:rsidP="00511968">
            <w:pPr>
              <w:ind w:left="360"/>
              <w:rPr>
                <w:rFonts w:ascii="Arial" w:hAnsi="Arial" w:cs="Arial"/>
                <w:b/>
                <w:bCs/>
                <w:sz w:val="20"/>
                <w:szCs w:val="20"/>
                <w:lang w:val="en-GB"/>
              </w:rPr>
            </w:pPr>
            <w:r w:rsidRPr="00511968">
              <w:rPr>
                <w:rFonts w:ascii="Arial" w:hAnsi="Arial" w:cs="Arial"/>
                <w:b/>
                <w:bCs/>
                <w:sz w:val="20"/>
                <w:szCs w:val="20"/>
                <w:lang w:val="en-GB"/>
              </w:rPr>
              <w:t>Are the references sufficient and recent? If you have suggestions of additional references, please mention them in the review form.</w:t>
            </w:r>
          </w:p>
          <w:p w14:paraId="3E008FBE" w14:textId="77777777" w:rsidR="00511968" w:rsidRPr="00511968" w:rsidRDefault="00511968" w:rsidP="00511968">
            <w:pPr>
              <w:ind w:left="360"/>
              <w:rPr>
                <w:rFonts w:ascii="Arial" w:hAnsi="Arial" w:cs="Arial"/>
                <w:b/>
                <w:bCs/>
                <w:sz w:val="20"/>
                <w:szCs w:val="20"/>
                <w:u w:val="single"/>
                <w:lang w:val="en-GB"/>
              </w:rPr>
            </w:pPr>
            <w:r w:rsidRPr="00511968">
              <w:rPr>
                <w:rFonts w:ascii="Arial" w:hAnsi="Arial" w:cs="Arial"/>
                <w:b/>
                <w:bCs/>
                <w:sz w:val="20"/>
                <w:szCs w:val="20"/>
                <w:u w:val="single"/>
                <w:lang w:val="en-GB"/>
              </w:rPr>
              <w:t>-</w:t>
            </w:r>
          </w:p>
        </w:tc>
        <w:tc>
          <w:tcPr>
            <w:tcW w:w="2212" w:type="pct"/>
            <w:vAlign w:val="center"/>
          </w:tcPr>
          <w:p w14:paraId="369753F3" w14:textId="77777777" w:rsidR="00511968" w:rsidRPr="00511968" w:rsidRDefault="00511968" w:rsidP="00511968">
            <w:pPr>
              <w:pStyle w:val="ListParagraph"/>
              <w:ind w:right="96"/>
              <w:jc w:val="both"/>
              <w:rPr>
                <w:rFonts w:ascii="Arial" w:hAnsi="Arial" w:cs="Arial"/>
                <w:color w:val="0070C0"/>
                <w:sz w:val="20"/>
                <w:szCs w:val="20"/>
                <w:lang w:val="en-PH"/>
              </w:rPr>
            </w:pPr>
            <w:r w:rsidRPr="00511968">
              <w:rPr>
                <w:rFonts w:ascii="Arial" w:hAnsi="Arial" w:cs="Arial"/>
                <w:color w:val="0070C0"/>
                <w:sz w:val="20"/>
                <w:szCs w:val="20"/>
                <w:lang w:val="en-PH"/>
              </w:rPr>
              <w:t>With numerous citations from the previous five to ten years, the references in the manuscript are mostly adequate and include both foundational and recent studies. Nonetheless, it could be advantageous to add more recent research to some older sources (such as those published between 2010 and 2015), particularly in fields like institutional culture, quality assurance leadership, and stakeholder engagement in higher education.</w:t>
            </w:r>
          </w:p>
        </w:tc>
        <w:tc>
          <w:tcPr>
            <w:tcW w:w="1523" w:type="pct"/>
            <w:vAlign w:val="center"/>
          </w:tcPr>
          <w:p w14:paraId="667C68A4" w14:textId="77777777" w:rsidR="00511968" w:rsidRPr="00511968" w:rsidRDefault="00511968" w:rsidP="00511968">
            <w:pPr>
              <w:pStyle w:val="Heading2"/>
              <w:jc w:val="left"/>
              <w:rPr>
                <w:rFonts w:ascii="Arial" w:hAnsi="Arial" w:cs="Arial"/>
                <w:b w:val="0"/>
                <w:lang w:val="en-GB"/>
              </w:rPr>
            </w:pPr>
          </w:p>
        </w:tc>
      </w:tr>
      <w:tr w:rsidR="00511968" w:rsidRPr="00511968" w14:paraId="5A7A3E9B" w14:textId="77777777" w:rsidTr="00511968">
        <w:trPr>
          <w:trHeight w:val="1152"/>
        </w:trPr>
        <w:tc>
          <w:tcPr>
            <w:tcW w:w="1265" w:type="pct"/>
            <w:noWrap/>
            <w:vAlign w:val="center"/>
          </w:tcPr>
          <w:p w14:paraId="72E82709" w14:textId="77777777" w:rsidR="00511968" w:rsidRPr="00511968" w:rsidRDefault="00511968" w:rsidP="00511968">
            <w:pPr>
              <w:pStyle w:val="Heading2"/>
              <w:jc w:val="left"/>
              <w:rPr>
                <w:rFonts w:ascii="Arial" w:hAnsi="Arial" w:cs="Arial"/>
                <w:b w:val="0"/>
                <w:lang w:val="en-GB"/>
              </w:rPr>
            </w:pPr>
          </w:p>
          <w:p w14:paraId="4F2E6C7F" w14:textId="77777777" w:rsidR="00511968" w:rsidRPr="00511968" w:rsidRDefault="00511968" w:rsidP="00511968">
            <w:pPr>
              <w:pStyle w:val="Heading2"/>
              <w:ind w:left="360"/>
              <w:jc w:val="left"/>
              <w:rPr>
                <w:rFonts w:ascii="Arial" w:hAnsi="Arial" w:cs="Arial"/>
                <w:bCs w:val="0"/>
                <w:lang w:val="en-GB"/>
              </w:rPr>
            </w:pPr>
            <w:r w:rsidRPr="00511968">
              <w:rPr>
                <w:rFonts w:ascii="Arial" w:hAnsi="Arial" w:cs="Arial"/>
                <w:bCs w:val="0"/>
                <w:lang w:val="en-GB"/>
              </w:rPr>
              <w:t>Is the language/English quality of the article suitable for scholarly communications?</w:t>
            </w:r>
          </w:p>
          <w:p w14:paraId="43051117" w14:textId="77777777" w:rsidR="00511968" w:rsidRPr="00511968" w:rsidRDefault="00511968" w:rsidP="00511968">
            <w:pPr>
              <w:rPr>
                <w:rFonts w:ascii="Arial" w:hAnsi="Arial" w:cs="Arial"/>
                <w:sz w:val="20"/>
                <w:szCs w:val="20"/>
                <w:lang w:val="en-GB"/>
              </w:rPr>
            </w:pPr>
          </w:p>
        </w:tc>
        <w:tc>
          <w:tcPr>
            <w:tcW w:w="2212" w:type="pct"/>
            <w:vAlign w:val="center"/>
          </w:tcPr>
          <w:p w14:paraId="346D67BD" w14:textId="77777777" w:rsidR="00511968" w:rsidRPr="00511968" w:rsidRDefault="00511968" w:rsidP="00511968">
            <w:pPr>
              <w:pStyle w:val="ListParagraph"/>
              <w:ind w:right="96"/>
              <w:jc w:val="both"/>
              <w:rPr>
                <w:rFonts w:ascii="Arial" w:hAnsi="Arial" w:cs="Arial"/>
                <w:color w:val="0070C0"/>
                <w:sz w:val="20"/>
                <w:szCs w:val="20"/>
                <w:lang w:val="en-PH"/>
              </w:rPr>
            </w:pPr>
            <w:r w:rsidRPr="00511968">
              <w:rPr>
                <w:rFonts w:ascii="Arial" w:hAnsi="Arial" w:cs="Arial"/>
                <w:color w:val="0070C0"/>
                <w:sz w:val="20"/>
                <w:szCs w:val="20"/>
                <w:lang w:val="en-PH"/>
              </w:rPr>
              <w:t>For better readability and coherence, there are a few places where sentence structure, clarity, and conciseness could be strengthened. Some of the sentences are long and complicated, which makes comprehension more challenging. They would be easier to read if they were divided into shorter, more focused sentences.</w:t>
            </w:r>
          </w:p>
        </w:tc>
        <w:tc>
          <w:tcPr>
            <w:tcW w:w="1523" w:type="pct"/>
            <w:vAlign w:val="center"/>
          </w:tcPr>
          <w:p w14:paraId="643182F8" w14:textId="77777777" w:rsidR="00511968" w:rsidRPr="00511968" w:rsidRDefault="00511968" w:rsidP="00511968">
            <w:pPr>
              <w:rPr>
                <w:rFonts w:ascii="Arial" w:hAnsi="Arial" w:cs="Arial"/>
                <w:sz w:val="20"/>
                <w:szCs w:val="20"/>
                <w:lang w:val="en-GB"/>
              </w:rPr>
            </w:pPr>
          </w:p>
        </w:tc>
      </w:tr>
      <w:tr w:rsidR="00511968" w:rsidRPr="00511968" w14:paraId="4D8873EA" w14:textId="77777777" w:rsidTr="00511968">
        <w:trPr>
          <w:trHeight w:val="1178"/>
        </w:trPr>
        <w:tc>
          <w:tcPr>
            <w:tcW w:w="1265" w:type="pct"/>
            <w:noWrap/>
            <w:vAlign w:val="center"/>
          </w:tcPr>
          <w:p w14:paraId="1EC0AA56" w14:textId="77777777" w:rsidR="00511968" w:rsidRPr="00511968" w:rsidRDefault="00511968" w:rsidP="00511968">
            <w:pPr>
              <w:pStyle w:val="Heading2"/>
              <w:jc w:val="left"/>
              <w:rPr>
                <w:rFonts w:ascii="Arial" w:hAnsi="Arial" w:cs="Arial"/>
                <w:b w:val="0"/>
                <w:bCs w:val="0"/>
                <w:lang w:val="en-GB"/>
              </w:rPr>
            </w:pPr>
            <w:r w:rsidRPr="00511968">
              <w:rPr>
                <w:rFonts w:ascii="Arial" w:hAnsi="Arial" w:cs="Arial"/>
                <w:bCs w:val="0"/>
                <w:u w:val="single"/>
                <w:lang w:val="en-GB"/>
              </w:rPr>
              <w:lastRenderedPageBreak/>
              <w:t>Optional/General</w:t>
            </w:r>
            <w:r w:rsidRPr="00511968">
              <w:rPr>
                <w:rFonts w:ascii="Arial" w:hAnsi="Arial" w:cs="Arial"/>
                <w:bCs w:val="0"/>
                <w:lang w:val="en-GB"/>
              </w:rPr>
              <w:t xml:space="preserve"> </w:t>
            </w:r>
            <w:r w:rsidRPr="00511968">
              <w:rPr>
                <w:rFonts w:ascii="Arial" w:hAnsi="Arial" w:cs="Arial"/>
                <w:b w:val="0"/>
                <w:bCs w:val="0"/>
                <w:lang w:val="en-GB"/>
              </w:rPr>
              <w:t>comments</w:t>
            </w:r>
          </w:p>
          <w:p w14:paraId="6053598A" w14:textId="77777777" w:rsidR="00511968" w:rsidRPr="00511968" w:rsidRDefault="00511968" w:rsidP="00511968">
            <w:pPr>
              <w:pStyle w:val="Heading2"/>
              <w:jc w:val="left"/>
              <w:rPr>
                <w:rFonts w:ascii="Arial" w:hAnsi="Arial" w:cs="Arial"/>
                <w:b w:val="0"/>
                <w:lang w:val="en-GB"/>
              </w:rPr>
            </w:pPr>
          </w:p>
        </w:tc>
        <w:tc>
          <w:tcPr>
            <w:tcW w:w="2212" w:type="pct"/>
            <w:vAlign w:val="center"/>
          </w:tcPr>
          <w:p w14:paraId="789EFB17" w14:textId="77777777" w:rsidR="00511968" w:rsidRPr="00511968" w:rsidRDefault="00511968" w:rsidP="00511968">
            <w:pPr>
              <w:rPr>
                <w:rFonts w:ascii="Arial" w:hAnsi="Arial" w:cs="Arial"/>
                <w:sz w:val="20"/>
                <w:szCs w:val="20"/>
                <w:lang w:val="en-GB"/>
              </w:rPr>
            </w:pPr>
          </w:p>
          <w:p w14:paraId="06139A25" w14:textId="77777777" w:rsidR="00511968" w:rsidRPr="00511968" w:rsidRDefault="00511968" w:rsidP="00511968">
            <w:pPr>
              <w:jc w:val="center"/>
              <w:rPr>
                <w:rFonts w:ascii="Arial" w:hAnsi="Arial" w:cs="Arial"/>
                <w:color w:val="0070C0"/>
                <w:sz w:val="20"/>
                <w:szCs w:val="20"/>
                <w:lang w:val="en-GB"/>
              </w:rPr>
            </w:pPr>
            <w:r w:rsidRPr="00511968">
              <w:rPr>
                <w:rFonts w:ascii="Arial" w:hAnsi="Arial" w:cs="Arial"/>
                <w:color w:val="0070C0"/>
                <w:sz w:val="20"/>
                <w:szCs w:val="20"/>
                <w:lang w:val="en-GB"/>
              </w:rPr>
              <w:t>N/A</w:t>
            </w:r>
          </w:p>
          <w:p w14:paraId="390D296D" w14:textId="77777777" w:rsidR="00511968" w:rsidRPr="00511968" w:rsidRDefault="00511968" w:rsidP="00511968">
            <w:pPr>
              <w:rPr>
                <w:rFonts w:ascii="Arial" w:hAnsi="Arial" w:cs="Arial"/>
                <w:sz w:val="20"/>
                <w:szCs w:val="20"/>
                <w:lang w:val="en-GB"/>
              </w:rPr>
            </w:pPr>
          </w:p>
          <w:p w14:paraId="48FB05FA" w14:textId="77777777" w:rsidR="00511968" w:rsidRPr="00511968" w:rsidRDefault="00511968" w:rsidP="00511968">
            <w:pPr>
              <w:rPr>
                <w:rFonts w:ascii="Arial" w:hAnsi="Arial" w:cs="Arial"/>
                <w:sz w:val="20"/>
                <w:szCs w:val="20"/>
                <w:lang w:val="en-GB"/>
              </w:rPr>
            </w:pPr>
          </w:p>
        </w:tc>
        <w:tc>
          <w:tcPr>
            <w:tcW w:w="1523" w:type="pct"/>
            <w:vAlign w:val="center"/>
          </w:tcPr>
          <w:p w14:paraId="61211751" w14:textId="77777777" w:rsidR="00511968" w:rsidRPr="00511968" w:rsidRDefault="00511968" w:rsidP="00511968">
            <w:pPr>
              <w:rPr>
                <w:rFonts w:ascii="Arial" w:hAnsi="Arial" w:cs="Arial"/>
                <w:sz w:val="20"/>
                <w:szCs w:val="20"/>
                <w:lang w:val="en-GB"/>
              </w:rPr>
            </w:pPr>
          </w:p>
        </w:tc>
      </w:tr>
    </w:tbl>
    <w:p w14:paraId="0821307F" w14:textId="0146AFEC" w:rsidR="00F1171E" w:rsidRPr="00511968" w:rsidRDefault="00F1171E" w:rsidP="00511968">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1196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11968" w:rsidRDefault="00F1171E" w:rsidP="007222C8">
            <w:pPr>
              <w:pStyle w:val="NormalWeb"/>
              <w:spacing w:before="0" w:beforeAutospacing="0" w:after="0" w:afterAutospacing="0"/>
              <w:rPr>
                <w:rFonts w:ascii="Arial" w:hAnsi="Arial" w:cs="Arial"/>
                <w:b/>
                <w:sz w:val="20"/>
                <w:szCs w:val="20"/>
                <w:u w:val="single"/>
                <w:lang w:val="en-GB"/>
              </w:rPr>
            </w:pPr>
            <w:r w:rsidRPr="00511968">
              <w:rPr>
                <w:rFonts w:ascii="Arial" w:hAnsi="Arial" w:cs="Arial"/>
                <w:b/>
                <w:sz w:val="20"/>
                <w:szCs w:val="20"/>
                <w:highlight w:val="yellow"/>
                <w:u w:val="single"/>
                <w:lang w:val="en-GB"/>
              </w:rPr>
              <w:t>PART  2:</w:t>
            </w:r>
            <w:r w:rsidRPr="00511968">
              <w:rPr>
                <w:rFonts w:ascii="Arial" w:hAnsi="Arial" w:cs="Arial"/>
                <w:b/>
                <w:sz w:val="20"/>
                <w:szCs w:val="20"/>
                <w:u w:val="single"/>
                <w:lang w:val="en-GB"/>
              </w:rPr>
              <w:t xml:space="preserve"> </w:t>
            </w:r>
          </w:p>
          <w:p w14:paraId="5B767407" w14:textId="77777777" w:rsidR="00F1171E" w:rsidRPr="0051196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11968" w14:paraId="5356501F" w14:textId="77777777" w:rsidTr="00C418D2">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11968" w:rsidRDefault="00F1171E" w:rsidP="00C418D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4C8040F4" w14:textId="77777777" w:rsidR="00F1171E" w:rsidRPr="00511968" w:rsidRDefault="00F1171E" w:rsidP="00C418D2">
            <w:pPr>
              <w:pStyle w:val="Heading2"/>
              <w:jc w:val="left"/>
              <w:rPr>
                <w:rFonts w:ascii="Arial" w:hAnsi="Arial" w:cs="Arial"/>
                <w:lang w:val="en-GB"/>
              </w:rPr>
            </w:pPr>
            <w:r w:rsidRPr="00511968">
              <w:rPr>
                <w:rFonts w:ascii="Arial" w:hAnsi="Arial" w:cs="Arial"/>
                <w:lang w:val="en-GB"/>
              </w:rPr>
              <w:t>Reviewer’s comment</w:t>
            </w:r>
          </w:p>
        </w:tc>
        <w:tc>
          <w:tcPr>
            <w:tcW w:w="1342" w:type="pct"/>
            <w:shd w:val="clear" w:color="auto" w:fill="auto"/>
            <w:vAlign w:val="center"/>
          </w:tcPr>
          <w:p w14:paraId="6F48B50B" w14:textId="77777777" w:rsidR="00F1171E" w:rsidRPr="00511968" w:rsidRDefault="00F1171E" w:rsidP="00C418D2">
            <w:pPr>
              <w:pStyle w:val="Heading2"/>
              <w:jc w:val="left"/>
              <w:rPr>
                <w:rFonts w:ascii="Arial" w:hAnsi="Arial" w:cs="Arial"/>
                <w:b w:val="0"/>
                <w:lang w:val="en-GB"/>
              </w:rPr>
            </w:pPr>
            <w:r w:rsidRPr="00511968">
              <w:rPr>
                <w:rFonts w:ascii="Arial" w:hAnsi="Arial" w:cs="Arial"/>
                <w:lang w:val="en-GB"/>
              </w:rPr>
              <w:t>Author’s comment</w:t>
            </w:r>
            <w:r w:rsidRPr="00511968">
              <w:rPr>
                <w:rFonts w:ascii="Arial" w:hAnsi="Arial" w:cs="Arial"/>
                <w:b w:val="0"/>
                <w:lang w:val="en-GB"/>
              </w:rPr>
              <w:t xml:space="preserve"> </w:t>
            </w:r>
            <w:r w:rsidRPr="0051196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11968" w14:paraId="3944C8A3" w14:textId="77777777" w:rsidTr="00684EC4">
        <w:trPr>
          <w:trHeight w:val="1152"/>
        </w:trPr>
        <w:tc>
          <w:tcPr>
            <w:tcW w:w="1615" w:type="pct"/>
            <w:shd w:val="clear" w:color="auto" w:fill="auto"/>
            <w:noWrap/>
            <w:tcMar>
              <w:top w:w="0" w:type="dxa"/>
              <w:left w:w="108" w:type="dxa"/>
              <w:bottom w:w="0" w:type="dxa"/>
              <w:right w:w="108" w:type="dxa"/>
            </w:tcMar>
            <w:vAlign w:val="center"/>
          </w:tcPr>
          <w:p w14:paraId="314C891C" w14:textId="77777777" w:rsidR="00F1171E" w:rsidRPr="00511968" w:rsidRDefault="00F1171E" w:rsidP="00684EC4">
            <w:pPr>
              <w:pStyle w:val="NormalWeb"/>
              <w:spacing w:before="0" w:beforeAutospacing="0" w:after="0" w:afterAutospacing="0"/>
              <w:rPr>
                <w:rFonts w:ascii="Arial" w:hAnsi="Arial" w:cs="Arial"/>
                <w:b/>
                <w:sz w:val="20"/>
                <w:szCs w:val="20"/>
                <w:lang w:val="en-GB"/>
              </w:rPr>
            </w:pPr>
            <w:r w:rsidRPr="00511968">
              <w:rPr>
                <w:rFonts w:ascii="Arial" w:hAnsi="Arial" w:cs="Arial"/>
                <w:b/>
                <w:sz w:val="20"/>
                <w:szCs w:val="20"/>
                <w:lang w:val="en-GB"/>
              </w:rPr>
              <w:t xml:space="preserve">Are there ethical issues in this manuscript? </w:t>
            </w:r>
          </w:p>
          <w:p w14:paraId="6034B476" w14:textId="77777777" w:rsidR="00F1171E" w:rsidRPr="00511968" w:rsidRDefault="00F1171E" w:rsidP="00684EC4">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030DEF55" w:rsidR="00F1171E" w:rsidRPr="00511968" w:rsidRDefault="00F1171E" w:rsidP="00684EC4">
            <w:pPr>
              <w:pStyle w:val="ListParagraph"/>
              <w:ind w:right="96"/>
              <w:rPr>
                <w:rFonts w:ascii="Arial" w:hAnsi="Arial" w:cs="Arial"/>
                <w:color w:val="0070C0"/>
                <w:sz w:val="20"/>
                <w:szCs w:val="20"/>
                <w:lang w:val="en-PH"/>
              </w:rPr>
            </w:pPr>
          </w:p>
        </w:tc>
        <w:tc>
          <w:tcPr>
            <w:tcW w:w="1342" w:type="pct"/>
            <w:shd w:val="clear" w:color="auto" w:fill="auto"/>
            <w:vAlign w:val="center"/>
          </w:tcPr>
          <w:p w14:paraId="780A9F8E" w14:textId="77777777" w:rsidR="00F1171E" w:rsidRPr="00511968" w:rsidRDefault="00F1171E" w:rsidP="00684EC4">
            <w:pPr>
              <w:rPr>
                <w:rFonts w:ascii="Arial" w:eastAsia="Arial Unicode MS" w:hAnsi="Arial" w:cs="Arial"/>
                <w:sz w:val="20"/>
                <w:szCs w:val="20"/>
                <w:lang w:val="en-GB"/>
              </w:rPr>
            </w:pPr>
          </w:p>
          <w:p w14:paraId="4A981594" w14:textId="77777777" w:rsidR="00F1171E" w:rsidRPr="00511968" w:rsidRDefault="00F1171E" w:rsidP="00684EC4">
            <w:pPr>
              <w:rPr>
                <w:rFonts w:ascii="Arial" w:eastAsia="Arial Unicode MS" w:hAnsi="Arial" w:cs="Arial"/>
                <w:sz w:val="20"/>
                <w:szCs w:val="20"/>
                <w:lang w:val="en-GB"/>
              </w:rPr>
            </w:pPr>
          </w:p>
          <w:p w14:paraId="4780A682" w14:textId="77777777" w:rsidR="00F1171E" w:rsidRPr="00511968" w:rsidRDefault="00F1171E" w:rsidP="00684EC4">
            <w:pPr>
              <w:rPr>
                <w:rFonts w:ascii="Arial" w:eastAsia="Arial Unicode MS" w:hAnsi="Arial" w:cs="Arial"/>
                <w:sz w:val="20"/>
                <w:szCs w:val="20"/>
                <w:lang w:val="en-GB"/>
              </w:rPr>
            </w:pPr>
          </w:p>
          <w:p w14:paraId="2D80979A" w14:textId="77777777" w:rsidR="00F1171E" w:rsidRPr="00511968" w:rsidRDefault="00F1171E" w:rsidP="00684EC4">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481186CE" w14:textId="77777777" w:rsidR="00511968" w:rsidRPr="00DE46DF" w:rsidRDefault="00511968" w:rsidP="00511968">
      <w:pPr>
        <w:pStyle w:val="Affiliation"/>
        <w:spacing w:after="0" w:line="240" w:lineRule="auto"/>
        <w:jc w:val="left"/>
        <w:rPr>
          <w:rFonts w:ascii="Arial" w:hAnsi="Arial" w:cs="Arial"/>
          <w:b/>
        </w:rPr>
      </w:pPr>
      <w:r w:rsidRPr="00DE46DF">
        <w:rPr>
          <w:rFonts w:ascii="Arial" w:hAnsi="Arial" w:cs="Arial"/>
          <w:b/>
        </w:rPr>
        <w:t>Reviewers:</w:t>
      </w:r>
    </w:p>
    <w:p w14:paraId="636D7AE7" w14:textId="77777777" w:rsidR="00511968" w:rsidRPr="00DE46DF" w:rsidRDefault="00511968" w:rsidP="00511968">
      <w:pPr>
        <w:pStyle w:val="Affiliation"/>
        <w:spacing w:after="0" w:line="240" w:lineRule="auto"/>
        <w:jc w:val="left"/>
        <w:rPr>
          <w:rFonts w:ascii="Arial" w:hAnsi="Arial" w:cs="Arial"/>
          <w:b/>
        </w:rPr>
      </w:pPr>
      <w:r w:rsidRPr="00DE46DF">
        <w:rPr>
          <w:rFonts w:ascii="Arial" w:hAnsi="Arial" w:cs="Arial"/>
          <w:b/>
          <w:color w:val="000000"/>
        </w:rPr>
        <w:t xml:space="preserve">Ronnie B. Santelices, </w:t>
      </w:r>
      <w:proofErr w:type="spellStart"/>
      <w:r w:rsidRPr="00DE46DF">
        <w:rPr>
          <w:rFonts w:ascii="Arial" w:hAnsi="Arial" w:cs="Arial"/>
          <w:b/>
          <w:color w:val="000000"/>
        </w:rPr>
        <w:t>Catanduanes</w:t>
      </w:r>
      <w:proofErr w:type="spellEnd"/>
      <w:r w:rsidRPr="00DE46DF">
        <w:rPr>
          <w:rFonts w:ascii="Arial" w:hAnsi="Arial" w:cs="Arial"/>
          <w:b/>
          <w:color w:val="000000"/>
        </w:rPr>
        <w:t xml:space="preserve"> State University, Philippines</w:t>
      </w:r>
    </w:p>
    <w:p w14:paraId="3CC4A522" w14:textId="77777777" w:rsidR="00511968" w:rsidRPr="00511968" w:rsidRDefault="00511968">
      <w:pPr>
        <w:rPr>
          <w:rFonts w:ascii="Arial" w:hAnsi="Arial" w:cs="Arial"/>
          <w:b/>
          <w:sz w:val="20"/>
          <w:szCs w:val="20"/>
          <w:lang w:val="en-GB"/>
        </w:rPr>
      </w:pPr>
    </w:p>
    <w:sectPr w:rsidR="00511968" w:rsidRPr="00511968"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DDB5" w14:textId="77777777" w:rsidR="00F52551" w:rsidRPr="0000007A" w:rsidRDefault="00F52551" w:rsidP="0099583E">
      <w:r>
        <w:separator/>
      </w:r>
    </w:p>
  </w:endnote>
  <w:endnote w:type="continuationSeparator" w:id="0">
    <w:p w14:paraId="48DBC8B1" w14:textId="77777777" w:rsidR="00F52551" w:rsidRPr="0000007A" w:rsidRDefault="00F5255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A0240" w14:textId="77777777" w:rsidR="00F52551" w:rsidRPr="0000007A" w:rsidRDefault="00F52551" w:rsidP="0099583E">
      <w:r>
        <w:separator/>
      </w:r>
    </w:p>
  </w:footnote>
  <w:footnote w:type="continuationSeparator" w:id="0">
    <w:p w14:paraId="190B5722" w14:textId="77777777" w:rsidR="00F52551" w:rsidRPr="0000007A" w:rsidRDefault="00F5255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63355676">
    <w:abstractNumId w:val="3"/>
  </w:num>
  <w:num w:numId="2" w16cid:durableId="532235242">
    <w:abstractNumId w:val="6"/>
  </w:num>
  <w:num w:numId="3" w16cid:durableId="1840267871">
    <w:abstractNumId w:val="5"/>
  </w:num>
  <w:num w:numId="4" w16cid:durableId="542526911">
    <w:abstractNumId w:val="7"/>
  </w:num>
  <w:num w:numId="5" w16cid:durableId="1063718090">
    <w:abstractNumId w:val="4"/>
  </w:num>
  <w:num w:numId="6" w16cid:durableId="2007437133">
    <w:abstractNumId w:val="0"/>
  </w:num>
  <w:num w:numId="7" w16cid:durableId="1024408160">
    <w:abstractNumId w:val="1"/>
  </w:num>
  <w:num w:numId="8" w16cid:durableId="389351042">
    <w:abstractNumId w:val="9"/>
  </w:num>
  <w:num w:numId="9" w16cid:durableId="260527790">
    <w:abstractNumId w:val="8"/>
  </w:num>
  <w:num w:numId="10" w16cid:durableId="878858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5F0F"/>
    <w:rsid w:val="00033278"/>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3CD8"/>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604"/>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6CD"/>
    <w:rsid w:val="004D2E36"/>
    <w:rsid w:val="004E08E3"/>
    <w:rsid w:val="004E1D1A"/>
    <w:rsid w:val="004E4915"/>
    <w:rsid w:val="004E63D7"/>
    <w:rsid w:val="004F741F"/>
    <w:rsid w:val="004F78F5"/>
    <w:rsid w:val="004F7BF2"/>
    <w:rsid w:val="00503AB6"/>
    <w:rsid w:val="005047C5"/>
    <w:rsid w:val="0050495C"/>
    <w:rsid w:val="00510920"/>
    <w:rsid w:val="00511968"/>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27C"/>
    <w:rsid w:val="005A4F17"/>
    <w:rsid w:val="005B3509"/>
    <w:rsid w:val="005C25A0"/>
    <w:rsid w:val="005D230D"/>
    <w:rsid w:val="005E11DC"/>
    <w:rsid w:val="005E1CA7"/>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EC4"/>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94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4D1"/>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25A5"/>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2F4B"/>
    <w:rsid w:val="00C03A1D"/>
    <w:rsid w:val="00C10283"/>
    <w:rsid w:val="00C1187E"/>
    <w:rsid w:val="00C11905"/>
    <w:rsid w:val="00C1438B"/>
    <w:rsid w:val="00C150D6"/>
    <w:rsid w:val="00C22886"/>
    <w:rsid w:val="00C25C8F"/>
    <w:rsid w:val="00C263C6"/>
    <w:rsid w:val="00C268B8"/>
    <w:rsid w:val="00C418D2"/>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1D74"/>
    <w:rsid w:val="00CE5AC7"/>
    <w:rsid w:val="00CF0BBB"/>
    <w:rsid w:val="00CF0D07"/>
    <w:rsid w:val="00CF0E81"/>
    <w:rsid w:val="00CF7035"/>
    <w:rsid w:val="00D1283A"/>
    <w:rsid w:val="00D12970"/>
    <w:rsid w:val="00D17979"/>
    <w:rsid w:val="00D2075F"/>
    <w:rsid w:val="00D24CBE"/>
    <w:rsid w:val="00D24FC8"/>
    <w:rsid w:val="00D27A79"/>
    <w:rsid w:val="00D32AC2"/>
    <w:rsid w:val="00D40416"/>
    <w:rsid w:val="00D430AB"/>
    <w:rsid w:val="00D4782A"/>
    <w:rsid w:val="00D709EB"/>
    <w:rsid w:val="00D71EA2"/>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4510"/>
    <w:rsid w:val="00E57F4B"/>
    <w:rsid w:val="00E623E8"/>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261"/>
    <w:rsid w:val="00EF53FE"/>
    <w:rsid w:val="00F1171E"/>
    <w:rsid w:val="00F13071"/>
    <w:rsid w:val="00F2643C"/>
    <w:rsid w:val="00F32717"/>
    <w:rsid w:val="00F3295A"/>
    <w:rsid w:val="00F32A9A"/>
    <w:rsid w:val="00F33C84"/>
    <w:rsid w:val="00F3669D"/>
    <w:rsid w:val="00F405F8"/>
    <w:rsid w:val="00F4700F"/>
    <w:rsid w:val="00F52551"/>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51196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351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4195789">
      <w:bodyDiv w:val="1"/>
      <w:marLeft w:val="0"/>
      <w:marRight w:val="0"/>
      <w:marTop w:val="0"/>
      <w:marBottom w:val="0"/>
      <w:divBdr>
        <w:top w:val="none" w:sz="0" w:space="0" w:color="auto"/>
        <w:left w:val="none" w:sz="0" w:space="0" w:color="auto"/>
        <w:bottom w:val="none" w:sz="0" w:space="0" w:color="auto"/>
        <w:right w:val="none" w:sz="0" w:space="0" w:color="auto"/>
      </w:divBdr>
    </w:div>
    <w:div w:id="90525781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4901197">
      <w:bodyDiv w:val="1"/>
      <w:marLeft w:val="0"/>
      <w:marRight w:val="0"/>
      <w:marTop w:val="0"/>
      <w:marBottom w:val="0"/>
      <w:divBdr>
        <w:top w:val="none" w:sz="0" w:space="0" w:color="auto"/>
        <w:left w:val="none" w:sz="0" w:space="0" w:color="auto"/>
        <w:bottom w:val="none" w:sz="0" w:space="0" w:color="auto"/>
        <w:right w:val="none" w:sz="0" w:space="0" w:color="auto"/>
      </w:divBdr>
    </w:div>
    <w:div w:id="1538347427">
      <w:bodyDiv w:val="1"/>
      <w:marLeft w:val="0"/>
      <w:marRight w:val="0"/>
      <w:marTop w:val="0"/>
      <w:marBottom w:val="0"/>
      <w:divBdr>
        <w:top w:val="none" w:sz="0" w:space="0" w:color="auto"/>
        <w:left w:val="none" w:sz="0" w:space="0" w:color="auto"/>
        <w:bottom w:val="none" w:sz="0" w:space="0" w:color="auto"/>
        <w:right w:val="none" w:sz="0" w:space="0" w:color="auto"/>
      </w:divBdr>
    </w:div>
    <w:div w:id="171908726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5314646">
      <w:bodyDiv w:val="1"/>
      <w:marLeft w:val="0"/>
      <w:marRight w:val="0"/>
      <w:marTop w:val="0"/>
      <w:marBottom w:val="0"/>
      <w:divBdr>
        <w:top w:val="none" w:sz="0" w:space="0" w:color="auto"/>
        <w:left w:val="none" w:sz="0" w:space="0" w:color="auto"/>
        <w:bottom w:val="none" w:sz="0" w:space="0" w:color="auto"/>
        <w:right w:val="none" w:sz="0" w:space="0" w:color="auto"/>
      </w:divBdr>
    </w:div>
    <w:div w:id="195042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