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6848CB8B" w:rsidR="0000007A" w:rsidRPr="00DE7D30" w:rsidRDefault="00D555B7" w:rsidP="00054BC4">
            <w:pPr>
              <w:pStyle w:val="NormalWeb"/>
              <w:rPr>
                <w:rFonts w:ascii="Arial" w:hAnsi="Arial" w:cs="Arial"/>
                <w:b/>
                <w:bCs/>
                <w:szCs w:val="28"/>
                <w:u w:val="single"/>
              </w:rPr>
            </w:pPr>
            <w:r w:rsidRPr="00D555B7">
              <w:rPr>
                <w:rFonts w:ascii="Arial" w:hAnsi="Arial" w:cs="Arial"/>
                <w:b/>
                <w:bCs/>
                <w:szCs w:val="28"/>
                <w:u w:val="single"/>
              </w:rPr>
              <w:t>Quality Assurance Practices for Transformative Higher Education in Southern Africa</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6FC0DB43"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D555B7">
              <w:rPr>
                <w:rFonts w:ascii="Arial" w:hAnsi="Arial" w:cs="Arial"/>
                <w:b/>
                <w:bCs/>
                <w:szCs w:val="28"/>
                <w:lang w:val="en-GB"/>
              </w:rPr>
              <w:t>5086.</w:t>
            </w:r>
            <w:r w:rsidR="007B570E">
              <w:rPr>
                <w:rFonts w:ascii="Arial" w:hAnsi="Arial" w:cs="Arial"/>
                <w:b/>
                <w:bCs/>
                <w:szCs w:val="28"/>
                <w:lang w:val="en-GB"/>
              </w:rPr>
              <w:t>8</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897D840" w:rsidR="0000007A" w:rsidRPr="00DE7D30" w:rsidRDefault="00D555B7" w:rsidP="000450FC">
            <w:pPr>
              <w:pStyle w:val="NormalWeb"/>
              <w:spacing w:before="0" w:beforeAutospacing="0" w:after="0" w:afterAutospacing="0"/>
              <w:rPr>
                <w:rFonts w:ascii="Arial" w:hAnsi="Arial" w:cs="Arial"/>
                <w:b/>
                <w:szCs w:val="28"/>
                <w:highlight w:val="yellow"/>
                <w:lang w:val="en-GB"/>
              </w:rPr>
            </w:pPr>
            <w:r w:rsidRPr="00D555B7">
              <w:rPr>
                <w:rFonts w:ascii="Arial" w:hAnsi="Arial" w:cs="Arial"/>
                <w:b/>
                <w:szCs w:val="28"/>
                <w:lang w:val="en-GB"/>
              </w:rPr>
              <w:t>Quality matters: enhancing lecturer development for effective integration of quality assurance practices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39A2FD9A" w:rsidR="00CF0BBB" w:rsidRPr="00DE7D30" w:rsidRDefault="00D555B7"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74E0C21C" w14:textId="77777777" w:rsidR="00C807F9" w:rsidRDefault="00C807F9" w:rsidP="00EF2D65">
      <w:pPr>
        <w:pStyle w:val="BodyText"/>
        <w:rPr>
          <w:rFonts w:ascii="Arial" w:hAnsi="Arial" w:cs="Arial"/>
          <w:bCs/>
          <w:sz w:val="20"/>
          <w:szCs w:val="20"/>
          <w:lang w:val="en-GB"/>
        </w:rPr>
      </w:pPr>
    </w:p>
    <w:p w14:paraId="6F8FAF96" w14:textId="77777777" w:rsidR="00C807F9" w:rsidRPr="00DE7D30" w:rsidRDefault="00C807F9" w:rsidP="00D9392F">
      <w:pPr>
        <w:pStyle w:val="BodyText"/>
        <w:ind w:left="1440"/>
        <w:rPr>
          <w:rFonts w:ascii="Arial" w:hAnsi="Arial" w:cs="Arial"/>
          <w:bCs/>
          <w:sz w:val="20"/>
          <w:szCs w:val="20"/>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9358"/>
        <w:gridCol w:w="6441"/>
      </w:tblGrid>
      <w:tr w:rsidR="00F1171E" w:rsidRPr="00900E9B" w14:paraId="71A94C1F" w14:textId="77777777" w:rsidTr="00EF2D65">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EF2D65">
        <w:tc>
          <w:tcPr>
            <w:tcW w:w="1262"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4" w:type="pct"/>
          </w:tcPr>
          <w:p w14:paraId="5B8DBE06" w14:textId="77777777" w:rsidR="00F1171E"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p w14:paraId="693A9C4D" w14:textId="77777777" w:rsidR="00421DBF" w:rsidRDefault="00421DBF" w:rsidP="00421DBF">
            <w:pPr>
              <w:rPr>
                <w:rFonts w:ascii="Arial" w:hAnsi="Arial" w:cs="Arial"/>
                <w:b/>
                <w:bCs/>
                <w:sz w:val="20"/>
                <w:szCs w:val="20"/>
              </w:rPr>
            </w:pPr>
            <w:r w:rsidRPr="00421D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21DBF" w:rsidRDefault="00421DBF" w:rsidP="00421DBF">
            <w:pPr>
              <w:rPr>
                <w:lang w:val="en-GB"/>
              </w:rPr>
            </w:pPr>
          </w:p>
        </w:tc>
        <w:tc>
          <w:tcPr>
            <w:tcW w:w="1524"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EF2D65">
        <w:trPr>
          <w:trHeight w:val="1264"/>
        </w:trPr>
        <w:tc>
          <w:tcPr>
            <w:tcW w:w="1262"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4" w:type="pct"/>
          </w:tcPr>
          <w:p w14:paraId="7DBC9196" w14:textId="6721805A" w:rsidR="00F1171E" w:rsidRPr="00900E9B" w:rsidRDefault="0005229F" w:rsidP="007222C8">
            <w:pPr>
              <w:pStyle w:val="ListParagraph"/>
              <w:ind w:left="0"/>
              <w:rPr>
                <w:b/>
                <w:bCs/>
                <w:sz w:val="20"/>
                <w:szCs w:val="20"/>
                <w:lang w:val="en-GB"/>
              </w:rPr>
            </w:pPr>
            <w:r w:rsidRPr="0005229F">
              <w:rPr>
                <w:b/>
                <w:bCs/>
                <w:sz w:val="20"/>
                <w:szCs w:val="20"/>
              </w:rPr>
              <w:t>This manuscript is important for the academic community as it highlights the vital role of lecturer development in ensuring educational quality in higher education. It stresses the need for ongoing professional growth to enhance teaching, foster innovation, and address evolving educational standards. By examining the link between quality assurance and lecturer development, it offers actionable insights for improving teaching and research, ultimately contributing to the success of higher education systems.</w:t>
            </w:r>
          </w:p>
        </w:tc>
        <w:tc>
          <w:tcPr>
            <w:tcW w:w="1524"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EF2D65">
        <w:trPr>
          <w:trHeight w:val="872"/>
        </w:trPr>
        <w:tc>
          <w:tcPr>
            <w:tcW w:w="1262"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4" w:type="pct"/>
          </w:tcPr>
          <w:p w14:paraId="794AA9A7" w14:textId="1B249AC4" w:rsidR="00F1171E" w:rsidRPr="00900E9B" w:rsidRDefault="0005229F" w:rsidP="007222C8">
            <w:pPr>
              <w:ind w:left="360"/>
              <w:rPr>
                <w:b/>
                <w:bCs/>
                <w:sz w:val="20"/>
                <w:szCs w:val="20"/>
                <w:lang w:val="en-GB"/>
              </w:rPr>
            </w:pPr>
            <w:r w:rsidRPr="0005229F">
              <w:rPr>
                <w:b/>
                <w:bCs/>
                <w:sz w:val="20"/>
                <w:szCs w:val="20"/>
              </w:rPr>
              <w:t>"Enhancing Lecturer Development for Effective Quality Assurance Integration in Higher Education" This title is shorter while maintaining clarity on the subject.</w:t>
            </w:r>
          </w:p>
        </w:tc>
        <w:tc>
          <w:tcPr>
            <w:tcW w:w="1524"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EF2D65">
        <w:trPr>
          <w:trHeight w:val="1262"/>
        </w:trPr>
        <w:tc>
          <w:tcPr>
            <w:tcW w:w="1262"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4" w:type="pct"/>
          </w:tcPr>
          <w:p w14:paraId="0FB7E83A" w14:textId="54807969" w:rsidR="00F1171E" w:rsidRPr="00900E9B" w:rsidRDefault="0005229F" w:rsidP="007222C8">
            <w:pPr>
              <w:ind w:left="360"/>
              <w:rPr>
                <w:b/>
                <w:bCs/>
                <w:sz w:val="20"/>
                <w:szCs w:val="20"/>
                <w:lang w:val="en-GB"/>
              </w:rPr>
            </w:pPr>
            <w:r w:rsidRPr="0005229F">
              <w:rPr>
                <w:b/>
                <w:bCs/>
                <w:sz w:val="20"/>
                <w:szCs w:val="20"/>
              </w:rPr>
              <w:t>The abstract thoroughly addresses lecturer development and its role in enhancing educational quality. However, it would benefit from briefly discussing the challenges involved in implementing such initiatives, offering a more balanced perspective.</w:t>
            </w:r>
          </w:p>
        </w:tc>
        <w:tc>
          <w:tcPr>
            <w:tcW w:w="1524"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EF2D65">
        <w:trPr>
          <w:trHeight w:val="859"/>
        </w:trPr>
        <w:tc>
          <w:tcPr>
            <w:tcW w:w="1262"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4" w:type="pct"/>
          </w:tcPr>
          <w:p w14:paraId="2B5A7721" w14:textId="118F6983" w:rsidR="00F1171E" w:rsidRPr="00900E9B" w:rsidRDefault="00132869" w:rsidP="007222C8">
            <w:pPr>
              <w:pStyle w:val="ListParagraph"/>
              <w:ind w:left="0"/>
              <w:rPr>
                <w:b/>
                <w:bCs/>
                <w:sz w:val="20"/>
                <w:szCs w:val="20"/>
                <w:lang w:val="en-GB"/>
              </w:rPr>
            </w:pPr>
            <w:r w:rsidRPr="00132869">
              <w:rPr>
                <w:b/>
                <w:bCs/>
                <w:sz w:val="20"/>
                <w:szCs w:val="20"/>
              </w:rPr>
              <w:t>The script is academically correct, in that it presents well-argued assertions on the usefulness of lecturer development programs in enhancing the quality of education. It correctly links quality assurance and continuing professional development with improved teaching and learning at the university level.</w:t>
            </w:r>
          </w:p>
        </w:tc>
        <w:tc>
          <w:tcPr>
            <w:tcW w:w="1524"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EF2D65">
        <w:trPr>
          <w:trHeight w:val="703"/>
        </w:trPr>
        <w:tc>
          <w:tcPr>
            <w:tcW w:w="1262"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4" w:type="pct"/>
          </w:tcPr>
          <w:p w14:paraId="24FE0567" w14:textId="3CE13DBD" w:rsidR="00F1171E" w:rsidRPr="00900E9B" w:rsidRDefault="00132869" w:rsidP="007222C8">
            <w:pPr>
              <w:pStyle w:val="ListParagraph"/>
              <w:ind w:left="0"/>
              <w:rPr>
                <w:b/>
                <w:bCs/>
                <w:sz w:val="20"/>
                <w:szCs w:val="20"/>
                <w:lang w:val="en-GB"/>
              </w:rPr>
            </w:pPr>
            <w:r w:rsidRPr="00132869">
              <w:rPr>
                <w:b/>
                <w:bCs/>
                <w:sz w:val="20"/>
                <w:szCs w:val="20"/>
              </w:rPr>
              <w:t>The references cited within the document appear to consist of a mixture of older and newer sources, but may be enriched with additional modern studies or research on emerging trends in quality assurance and development for lecturers. To increase the relevance of the references, incorporating newer research may improve their timeliness and utility.</w:t>
            </w:r>
          </w:p>
        </w:tc>
        <w:tc>
          <w:tcPr>
            <w:tcW w:w="1524"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EF2D65">
        <w:trPr>
          <w:trHeight w:val="386"/>
        </w:trPr>
        <w:tc>
          <w:tcPr>
            <w:tcW w:w="1262"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4" w:type="pct"/>
          </w:tcPr>
          <w:p w14:paraId="0A07EA75" w14:textId="77777777" w:rsidR="00F1171E" w:rsidRPr="00900E9B" w:rsidRDefault="00F1171E" w:rsidP="007222C8">
            <w:pPr>
              <w:rPr>
                <w:sz w:val="20"/>
                <w:szCs w:val="20"/>
                <w:lang w:val="en-GB"/>
              </w:rPr>
            </w:pPr>
          </w:p>
          <w:p w14:paraId="6CBA4B2A" w14:textId="27E46829" w:rsidR="00F1171E" w:rsidRPr="00360D37" w:rsidRDefault="00132869" w:rsidP="007222C8">
            <w:pPr>
              <w:rPr>
                <w:b/>
                <w:bCs/>
                <w:sz w:val="20"/>
                <w:szCs w:val="20"/>
                <w:lang w:val="en-GB"/>
              </w:rPr>
            </w:pPr>
            <w:r w:rsidRPr="00360D37">
              <w:rPr>
                <w:b/>
                <w:bCs/>
                <w:sz w:val="20"/>
                <w:szCs w:val="20"/>
              </w:rPr>
              <w:t>The level of language used in the article is scholarly. It uses clear academic tone and language, as well as appropriate citations for substantiation, making it suitable for academic readers.</w:t>
            </w:r>
          </w:p>
          <w:p w14:paraId="41E28118" w14:textId="77777777" w:rsidR="00F1171E" w:rsidRPr="00900E9B" w:rsidRDefault="00F1171E" w:rsidP="007222C8">
            <w:pPr>
              <w:rPr>
                <w:sz w:val="20"/>
                <w:szCs w:val="20"/>
                <w:lang w:val="en-GB"/>
              </w:rPr>
            </w:pP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4" w:type="pct"/>
          </w:tcPr>
          <w:p w14:paraId="0351CA58" w14:textId="77777777" w:rsidR="00F1171E" w:rsidRPr="00900E9B" w:rsidRDefault="00F1171E" w:rsidP="007222C8">
            <w:pPr>
              <w:rPr>
                <w:sz w:val="20"/>
                <w:szCs w:val="20"/>
                <w:lang w:val="en-GB"/>
              </w:rPr>
            </w:pPr>
          </w:p>
        </w:tc>
      </w:tr>
      <w:tr w:rsidR="00F1171E" w:rsidRPr="00900E9B" w14:paraId="20A16C0C" w14:textId="77777777" w:rsidTr="00EF2D65">
        <w:trPr>
          <w:trHeight w:val="1178"/>
        </w:trPr>
        <w:tc>
          <w:tcPr>
            <w:tcW w:w="1262"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4" w:type="pct"/>
          </w:tcPr>
          <w:p w14:paraId="1E347C61" w14:textId="77777777" w:rsidR="00F1171E" w:rsidRPr="00900E9B" w:rsidRDefault="00F1171E" w:rsidP="007222C8">
            <w:pPr>
              <w:rPr>
                <w:sz w:val="20"/>
                <w:szCs w:val="20"/>
                <w:lang w:val="en-GB"/>
              </w:rPr>
            </w:pPr>
          </w:p>
          <w:p w14:paraId="5E946A0E" w14:textId="77777777" w:rsidR="00F1171E" w:rsidRPr="00900E9B" w:rsidRDefault="00F1171E" w:rsidP="007222C8">
            <w:pPr>
              <w:rPr>
                <w:sz w:val="20"/>
                <w:szCs w:val="20"/>
                <w:lang w:val="en-GB"/>
              </w:rPr>
            </w:pP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4"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821307F"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00E9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highlight w:val="yellow"/>
                <w:u w:val="single"/>
                <w:lang w:val="en-GB"/>
              </w:rPr>
              <w:lastRenderedPageBreak/>
              <w:t>PART  2:</w:t>
            </w:r>
            <w:r w:rsidRPr="00900E9B">
              <w:rPr>
                <w:rFonts w:ascii="Times New Roman" w:hAnsi="Times New Roman" w:cs="Times New Roman"/>
                <w:b/>
                <w:sz w:val="20"/>
                <w:szCs w:val="20"/>
                <w:u w:val="single"/>
                <w:lang w:val="en-GB"/>
              </w:rPr>
              <w:t xml:space="preserve"> </w:t>
            </w:r>
          </w:p>
          <w:p w14:paraId="5B767407"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p>
        </w:tc>
      </w:tr>
      <w:tr w:rsidR="00F1171E" w:rsidRPr="00900E9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342" w:type="pct"/>
            <w:shd w:val="clear" w:color="auto" w:fill="auto"/>
          </w:tcPr>
          <w:p w14:paraId="6F48B50B"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comment</w:t>
            </w:r>
            <w:r w:rsidRPr="00900E9B">
              <w:rPr>
                <w:rFonts w:ascii="Times New Roman" w:hAnsi="Times New Roman"/>
                <w:b w:val="0"/>
                <w:lang w:val="en-GB"/>
              </w:rPr>
              <w:t xml:space="preserve"> </w:t>
            </w:r>
            <w:r w:rsidRPr="00900E9B">
              <w:rPr>
                <w:rFonts w:ascii="Times New Roman" w:hAnsi="Times New Roman"/>
                <w:b w:val="0"/>
                <w:i/>
                <w:lang w:val="en-GB"/>
              </w:rPr>
              <w:t xml:space="preserve">(if agreed with </w:t>
            </w:r>
            <w:r>
              <w:rPr>
                <w:rFonts w:ascii="Times New Roman" w:hAnsi="Times New Roman"/>
                <w:b w:val="0"/>
                <w:i/>
                <w:lang w:val="en-GB"/>
              </w:rPr>
              <w:t xml:space="preserve">the </w:t>
            </w:r>
            <w:r w:rsidRPr="00900E9B">
              <w:rPr>
                <w:rFonts w:ascii="Times New Roman" w:hAnsi="Times New Roman"/>
                <w:b w:val="0"/>
                <w:i/>
                <w:lang w:val="en-GB"/>
              </w:rPr>
              <w:t>reviewer, correct the manuscript and highlight that part in the manuscript. It is mandatory that authors should write his/her feedback here)</w:t>
            </w:r>
          </w:p>
        </w:tc>
      </w:tr>
      <w:tr w:rsidR="00F1171E" w:rsidRPr="00900E9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Are there ethical issues in this manuscript? </w:t>
            </w:r>
          </w:p>
          <w:p w14:paraId="6034B476"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00E9B" w:rsidRDefault="00F1171E" w:rsidP="007222C8">
            <w:pPr>
              <w:pStyle w:val="NormalWeb"/>
              <w:spacing w:before="0" w:beforeAutospacing="0" w:after="0" w:afterAutospacing="0"/>
              <w:rPr>
                <w:rFonts w:ascii="Times New Roman" w:hAnsi="Times New Roman" w:cs="Times New Roman"/>
                <w:i/>
                <w:iCs/>
                <w:sz w:val="20"/>
                <w:szCs w:val="20"/>
                <w:u w:val="single"/>
                <w:lang w:val="en-GB"/>
              </w:rPr>
            </w:pPr>
            <w:r w:rsidRPr="00900E9B">
              <w:rPr>
                <w:rFonts w:ascii="Times New Roman" w:hAnsi="Times New Roman" w:cs="Times New Roman"/>
                <w:i/>
                <w:iCs/>
                <w:sz w:val="20"/>
                <w:szCs w:val="20"/>
                <w:u w:val="single"/>
                <w:lang w:val="en-GB"/>
              </w:rPr>
              <w:t xml:space="preserve">(If yes, Kindly please write down the ethical issues here in </w:t>
            </w:r>
            <w:r>
              <w:rPr>
                <w:rFonts w:ascii="Times New Roman" w:hAnsi="Times New Roman" w:cs="Times New Roman"/>
                <w:i/>
                <w:iCs/>
                <w:sz w:val="20"/>
                <w:szCs w:val="20"/>
                <w:u w:val="single"/>
                <w:lang w:val="en-GB"/>
              </w:rPr>
              <w:t>detail</w:t>
            </w:r>
            <w:r w:rsidRPr="00900E9B">
              <w:rPr>
                <w:rFonts w:ascii="Times New Roman" w:hAnsi="Times New Roman" w:cs="Times New Roman"/>
                <w:i/>
                <w:iCs/>
                <w:sz w:val="20"/>
                <w:szCs w:val="20"/>
                <w:u w:val="single"/>
                <w:lang w:val="en-GB"/>
              </w:rPr>
              <w:t>)</w:t>
            </w:r>
          </w:p>
          <w:p w14:paraId="3F0D46E3"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p w14:paraId="7B654B67" w14:textId="63011AC1"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1342" w:type="pct"/>
            <w:shd w:val="clear" w:color="auto" w:fill="auto"/>
            <w:vAlign w:val="center"/>
          </w:tcPr>
          <w:p w14:paraId="780A9F8E" w14:textId="77777777" w:rsidR="00F1171E" w:rsidRPr="00900E9B" w:rsidRDefault="00F1171E" w:rsidP="007222C8">
            <w:pPr>
              <w:rPr>
                <w:rFonts w:eastAsia="Arial Unicode MS"/>
                <w:sz w:val="20"/>
                <w:szCs w:val="20"/>
                <w:lang w:val="en-GB"/>
              </w:rPr>
            </w:pPr>
          </w:p>
          <w:p w14:paraId="4A981594" w14:textId="77777777" w:rsidR="00F1171E" w:rsidRPr="00900E9B" w:rsidRDefault="00F1171E" w:rsidP="007222C8">
            <w:pPr>
              <w:rPr>
                <w:rFonts w:eastAsia="Arial Unicode MS"/>
                <w:sz w:val="20"/>
                <w:szCs w:val="20"/>
                <w:lang w:val="en-GB"/>
              </w:rPr>
            </w:pPr>
          </w:p>
          <w:p w14:paraId="4780A682" w14:textId="77777777" w:rsidR="00F1171E" w:rsidRPr="00900E9B" w:rsidRDefault="00F1171E" w:rsidP="007222C8">
            <w:pPr>
              <w:rPr>
                <w:rFonts w:eastAsia="Arial Unicode MS"/>
                <w:sz w:val="20"/>
                <w:szCs w:val="20"/>
                <w:lang w:val="en-GB"/>
              </w:rPr>
            </w:pPr>
          </w:p>
          <w:p w14:paraId="2D80979A"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r>
    </w:tbl>
    <w:p w14:paraId="265A46BE" w14:textId="77777777" w:rsidR="00F1171E" w:rsidRPr="00900E9B" w:rsidRDefault="00F1171E" w:rsidP="00F1171E">
      <w:pPr>
        <w:rPr>
          <w:rFonts w:eastAsia="Arial Unicode MS"/>
          <w:b/>
          <w:bCs/>
          <w:sz w:val="20"/>
          <w:szCs w:val="20"/>
          <w:u w:val="single"/>
          <w:lang w:val="en-GB"/>
        </w:rPr>
      </w:pPr>
    </w:p>
    <w:p w14:paraId="070B656A" w14:textId="77777777" w:rsidR="00EF2D65" w:rsidRPr="00DF01FD" w:rsidRDefault="00EF2D65" w:rsidP="00EF2D65">
      <w:pPr>
        <w:pStyle w:val="Affiliation"/>
        <w:spacing w:after="0" w:line="240" w:lineRule="auto"/>
        <w:jc w:val="left"/>
        <w:rPr>
          <w:rFonts w:ascii="Arial" w:hAnsi="Arial" w:cs="Arial"/>
          <w:b/>
        </w:rPr>
      </w:pPr>
      <w:r w:rsidRPr="00DF01FD">
        <w:rPr>
          <w:rFonts w:ascii="Arial" w:hAnsi="Arial" w:cs="Arial"/>
          <w:b/>
        </w:rPr>
        <w:t>Reviewers:</w:t>
      </w:r>
    </w:p>
    <w:p w14:paraId="5B3E5166" w14:textId="77777777" w:rsidR="00EF2D65" w:rsidRDefault="00EF2D65" w:rsidP="00EF2D65">
      <w:proofErr w:type="spellStart"/>
      <w:r w:rsidRPr="00DF01FD">
        <w:rPr>
          <w:rFonts w:ascii="Arial" w:hAnsi="Arial" w:cs="Arial"/>
          <w:b/>
          <w:color w:val="000000"/>
          <w:sz w:val="20"/>
          <w:szCs w:val="20"/>
        </w:rPr>
        <w:t>Rimmi</w:t>
      </w:r>
      <w:proofErr w:type="spellEnd"/>
      <w:r w:rsidRPr="00DF01FD">
        <w:rPr>
          <w:rFonts w:ascii="Arial" w:hAnsi="Arial" w:cs="Arial"/>
          <w:b/>
          <w:color w:val="000000"/>
          <w:sz w:val="20"/>
          <w:szCs w:val="20"/>
        </w:rPr>
        <w:t xml:space="preserve"> Datta, Murshidabad University, India</w:t>
      </w:r>
    </w:p>
    <w:p w14:paraId="48DC05A4" w14:textId="77777777" w:rsidR="004C3DF1" w:rsidRPr="00DE7D30" w:rsidRDefault="004C3DF1">
      <w:pPr>
        <w:rPr>
          <w:rFonts w:ascii="Arial" w:hAnsi="Arial" w:cs="Arial"/>
          <w:b/>
          <w:sz w:val="20"/>
          <w:szCs w:val="20"/>
          <w:lang w:val="en-GB"/>
        </w:rPr>
      </w:pPr>
    </w:p>
    <w:sectPr w:rsidR="004C3DF1" w:rsidRPr="00DE7D3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13FC7" w14:textId="77777777" w:rsidR="0069331B" w:rsidRPr="0000007A" w:rsidRDefault="0069331B" w:rsidP="0099583E">
      <w:r>
        <w:separator/>
      </w:r>
    </w:p>
  </w:endnote>
  <w:endnote w:type="continuationSeparator" w:id="0">
    <w:p w14:paraId="14D1C644" w14:textId="77777777" w:rsidR="0069331B" w:rsidRPr="0000007A" w:rsidRDefault="0069331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4F93" w14:textId="77777777" w:rsidR="0069331B" w:rsidRPr="0000007A" w:rsidRDefault="0069331B" w:rsidP="0099583E">
      <w:r>
        <w:separator/>
      </w:r>
    </w:p>
  </w:footnote>
  <w:footnote w:type="continuationSeparator" w:id="0">
    <w:p w14:paraId="2B7B6B0F" w14:textId="77777777" w:rsidR="0069331B" w:rsidRPr="0000007A" w:rsidRDefault="0069331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45070478">
    <w:abstractNumId w:val="3"/>
  </w:num>
  <w:num w:numId="2" w16cid:durableId="1591619053">
    <w:abstractNumId w:val="6"/>
  </w:num>
  <w:num w:numId="3" w16cid:durableId="503864310">
    <w:abstractNumId w:val="5"/>
  </w:num>
  <w:num w:numId="4" w16cid:durableId="301690160">
    <w:abstractNumId w:val="7"/>
  </w:num>
  <w:num w:numId="5" w16cid:durableId="749500665">
    <w:abstractNumId w:val="4"/>
  </w:num>
  <w:num w:numId="6" w16cid:durableId="853542222">
    <w:abstractNumId w:val="0"/>
  </w:num>
  <w:num w:numId="7" w16cid:durableId="53356764">
    <w:abstractNumId w:val="1"/>
  </w:num>
  <w:num w:numId="8" w16cid:durableId="533734570">
    <w:abstractNumId w:val="9"/>
  </w:num>
  <w:num w:numId="9" w16cid:durableId="2070493644">
    <w:abstractNumId w:val="8"/>
  </w:num>
  <w:num w:numId="10" w16cid:durableId="910699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229F"/>
    <w:rsid w:val="00054BC4"/>
    <w:rsid w:val="00056CB0"/>
    <w:rsid w:val="0006257C"/>
    <w:rsid w:val="000627FE"/>
    <w:rsid w:val="0007151E"/>
    <w:rsid w:val="00071A28"/>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20DF"/>
    <w:rsid w:val="000E687F"/>
    <w:rsid w:val="000F6EA8"/>
    <w:rsid w:val="00101322"/>
    <w:rsid w:val="00115767"/>
    <w:rsid w:val="00121FFA"/>
    <w:rsid w:val="0012616A"/>
    <w:rsid w:val="00132869"/>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2D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0D37"/>
    <w:rsid w:val="003657B2"/>
    <w:rsid w:val="00374F93"/>
    <w:rsid w:val="00377F1D"/>
    <w:rsid w:val="00394901"/>
    <w:rsid w:val="003A04E7"/>
    <w:rsid w:val="003A1C45"/>
    <w:rsid w:val="003A4991"/>
    <w:rsid w:val="003A6E1A"/>
    <w:rsid w:val="003B1D0B"/>
    <w:rsid w:val="003B2172"/>
    <w:rsid w:val="003D1BDE"/>
    <w:rsid w:val="003E1AFC"/>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51DD"/>
    <w:rsid w:val="00495DBB"/>
    <w:rsid w:val="00497AF8"/>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2A54"/>
    <w:rsid w:val="005D230D"/>
    <w:rsid w:val="005E11DC"/>
    <w:rsid w:val="005E29CE"/>
    <w:rsid w:val="005E3241"/>
    <w:rsid w:val="005E7FB0"/>
    <w:rsid w:val="005F184C"/>
    <w:rsid w:val="00602F7D"/>
    <w:rsid w:val="00605952"/>
    <w:rsid w:val="00615672"/>
    <w:rsid w:val="00620677"/>
    <w:rsid w:val="00624032"/>
    <w:rsid w:val="00626025"/>
    <w:rsid w:val="006311A1"/>
    <w:rsid w:val="00640538"/>
    <w:rsid w:val="006439D6"/>
    <w:rsid w:val="00645A56"/>
    <w:rsid w:val="006478EB"/>
    <w:rsid w:val="006532DF"/>
    <w:rsid w:val="0065409E"/>
    <w:rsid w:val="0065579D"/>
    <w:rsid w:val="00663792"/>
    <w:rsid w:val="0067046C"/>
    <w:rsid w:val="006714A0"/>
    <w:rsid w:val="00673EEF"/>
    <w:rsid w:val="006749CF"/>
    <w:rsid w:val="00676845"/>
    <w:rsid w:val="00677B63"/>
    <w:rsid w:val="00680547"/>
    <w:rsid w:val="0068243C"/>
    <w:rsid w:val="0068446F"/>
    <w:rsid w:val="00686DCE"/>
    <w:rsid w:val="00690EDE"/>
    <w:rsid w:val="0069331B"/>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570E"/>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531F"/>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0574"/>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07F9"/>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4F4F"/>
    <w:rsid w:val="00D1283A"/>
    <w:rsid w:val="00D12970"/>
    <w:rsid w:val="00D17979"/>
    <w:rsid w:val="00D2075F"/>
    <w:rsid w:val="00D24CBE"/>
    <w:rsid w:val="00D27A79"/>
    <w:rsid w:val="00D32AC2"/>
    <w:rsid w:val="00D40416"/>
    <w:rsid w:val="00D430AB"/>
    <w:rsid w:val="00D4782A"/>
    <w:rsid w:val="00D555B7"/>
    <w:rsid w:val="00D709EB"/>
    <w:rsid w:val="00D7603E"/>
    <w:rsid w:val="00D90124"/>
    <w:rsid w:val="00D9392F"/>
    <w:rsid w:val="00D9427C"/>
    <w:rsid w:val="00DA2679"/>
    <w:rsid w:val="00DA3C3D"/>
    <w:rsid w:val="00DA41F5"/>
    <w:rsid w:val="00DB19A5"/>
    <w:rsid w:val="00DB7E1B"/>
    <w:rsid w:val="00DC1D81"/>
    <w:rsid w:val="00DC6FED"/>
    <w:rsid w:val="00DD0C4A"/>
    <w:rsid w:val="00DD274C"/>
    <w:rsid w:val="00DD295A"/>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2D65"/>
    <w:rsid w:val="00EF326D"/>
    <w:rsid w:val="00EF53FE"/>
    <w:rsid w:val="00F1171E"/>
    <w:rsid w:val="00F13071"/>
    <w:rsid w:val="00F17E91"/>
    <w:rsid w:val="00F23136"/>
    <w:rsid w:val="00F2643C"/>
    <w:rsid w:val="00F32717"/>
    <w:rsid w:val="00F3295A"/>
    <w:rsid w:val="00F32A9A"/>
    <w:rsid w:val="00F33C84"/>
    <w:rsid w:val="00F3669D"/>
    <w:rsid w:val="00F405F8"/>
    <w:rsid w:val="00F4700F"/>
    <w:rsid w:val="00F52B15"/>
    <w:rsid w:val="00F573EA"/>
    <w:rsid w:val="00F57E9D"/>
    <w:rsid w:val="00F73CF2"/>
    <w:rsid w:val="00F80C14"/>
    <w:rsid w:val="00F82AE5"/>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F2D6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904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120</cp:revision>
  <dcterms:created xsi:type="dcterms:W3CDTF">2023-08-30T09:21:00Z</dcterms:created>
  <dcterms:modified xsi:type="dcterms:W3CDTF">2025-04-02T07:39:00Z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