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F37C4" w14:textId="77777777" w:rsidR="004B6321" w:rsidRDefault="004B6321"/>
    <w:p w14:paraId="665B51DD" w14:textId="77777777" w:rsidR="004B6321" w:rsidRDefault="004B6321"/>
    <w:p w14:paraId="58606832" w14:textId="77777777" w:rsidR="004B6321" w:rsidRDefault="004B6321"/>
    <w:p w14:paraId="058A2900" w14:textId="77777777" w:rsidR="004B6321" w:rsidRDefault="00AC7D7F">
      <w:r>
        <w:rPr>
          <w:noProof/>
        </w:rPr>
        <mc:AlternateContent>
          <mc:Choice Requires="wpg">
            <w:drawing>
              <wp:anchor distT="0" distB="0" distL="0" distR="0" simplePos="0" relativeHeight="251658240" behindDoc="0" locked="0" layoutInCell="1" hidden="0" allowOverlap="1" wp14:anchorId="7E491CB0" wp14:editId="55DE7A9B">
                <wp:simplePos x="0" y="0"/>
                <wp:positionH relativeFrom="column">
                  <wp:posOffset>0</wp:posOffset>
                </wp:positionH>
                <wp:positionV relativeFrom="paragraph">
                  <wp:posOffset>80070</wp:posOffset>
                </wp:positionV>
                <wp:extent cx="5723890" cy="19050"/>
                <wp:effectExtent l="0" t="0" r="0" b="0"/>
                <wp:wrapTopAndBottom distT="0" distB="0"/>
                <wp:docPr id="1" name="Freeform: Shape 1"/>
                <wp:cNvGraphicFramePr/>
                <a:graphic xmlns:a="http://schemas.openxmlformats.org/drawingml/2006/main">
                  <a:graphicData uri="http://schemas.microsoft.com/office/word/2010/wordprocessingShape">
                    <wps:wsp>
                      <wps:cNvSpPr/>
                      <wps:spPr>
                        <a:xfrm>
                          <a:off x="2484055" y="3779365"/>
                          <a:ext cx="5723890" cy="1270"/>
                        </a:xfrm>
                        <a:custGeom>
                          <a:avLst/>
                          <a:gdLst/>
                          <a:ahLst/>
                          <a:cxnLst/>
                          <a:rect l="l" t="t" r="r" b="b"/>
                          <a:pathLst>
                            <a:path w="5723890" h="120000" extrusionOk="0">
                              <a:moveTo>
                                <a:pt x="0" y="0"/>
                              </a:moveTo>
                              <a:lnTo>
                                <a:pt x="5723890" y="0"/>
                              </a:lnTo>
                            </a:path>
                          </a:pathLst>
                        </a:custGeom>
                        <a:no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80070</wp:posOffset>
                </wp:positionV>
                <wp:extent cx="5723890" cy="19050"/>
                <wp:effectExtent b="0" l="0" r="0" t="0"/>
                <wp:wrapTopAndBottom distB="0" dist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723890" cy="19050"/>
                        </a:xfrm>
                        <a:prstGeom prst="rect"/>
                        <a:ln/>
                      </pic:spPr>
                    </pic:pic>
                  </a:graphicData>
                </a:graphic>
              </wp:anchor>
            </w:drawing>
          </mc:Fallback>
        </mc:AlternateContent>
      </w:r>
    </w:p>
    <w:p w14:paraId="20538885" w14:textId="77777777" w:rsidR="004B6321" w:rsidRDefault="00AC7D7F">
      <w:pPr>
        <w:rPr>
          <w:b/>
          <w:sz w:val="32"/>
          <w:szCs w:val="32"/>
        </w:rPr>
      </w:pPr>
      <w:proofErr w:type="spellStart"/>
      <w:proofErr w:type="gramStart"/>
      <w:r>
        <w:rPr>
          <w:b/>
          <w:sz w:val="32"/>
          <w:szCs w:val="32"/>
        </w:rPr>
        <w:t>K</w:t>
      </w:r>
      <w:r>
        <w:rPr>
          <w:b/>
          <w:sz w:val="32"/>
          <w:szCs w:val="32"/>
          <w:vertAlign w:val="subscript"/>
        </w:rPr>
        <w:t>a,e</w:t>
      </w:r>
      <w:proofErr w:type="spellEnd"/>
      <w:proofErr w:type="gramEnd"/>
      <w:r>
        <w:rPr>
          <w:b/>
          <w:sz w:val="32"/>
          <w:szCs w:val="32"/>
        </w:rPr>
        <w:t xml:space="preserve"> Measurement in X-ray Beam</w:t>
      </w:r>
      <w:r w:rsidRPr="00F23B56">
        <w:rPr>
          <w:b/>
          <w:color w:val="FF0000"/>
          <w:sz w:val="32"/>
          <w:szCs w:val="32"/>
        </w:rPr>
        <w:t>s</w:t>
      </w:r>
      <w:r>
        <w:rPr>
          <w:b/>
          <w:sz w:val="32"/>
          <w:szCs w:val="32"/>
        </w:rPr>
        <w:t xml:space="preserve"> for Optimizing Diagnostic Reference Levels</w:t>
      </w:r>
    </w:p>
    <w:p w14:paraId="3FA90D8A" w14:textId="77777777" w:rsidR="004B6321" w:rsidRDefault="004B6321">
      <w:pPr>
        <w:pBdr>
          <w:top w:val="nil"/>
          <w:left w:val="nil"/>
          <w:bottom w:val="nil"/>
          <w:right w:val="nil"/>
          <w:between w:val="nil"/>
        </w:pBdr>
        <w:spacing w:before="68"/>
        <w:rPr>
          <w:b/>
          <w:color w:val="000000"/>
        </w:rPr>
      </w:pPr>
    </w:p>
    <w:p w14:paraId="53793BF3" w14:textId="77777777" w:rsidR="004B6321" w:rsidRDefault="004B6321">
      <w:pPr>
        <w:ind w:right="23"/>
        <w:jc w:val="right"/>
        <w:rPr>
          <w:i/>
          <w:sz w:val="20"/>
          <w:szCs w:val="20"/>
        </w:rPr>
      </w:pPr>
    </w:p>
    <w:p w14:paraId="6CFDCACB" w14:textId="77777777" w:rsidR="00174F2E" w:rsidRDefault="00174F2E">
      <w:pPr>
        <w:ind w:right="23"/>
        <w:jc w:val="right"/>
        <w:rPr>
          <w:i/>
          <w:sz w:val="20"/>
          <w:szCs w:val="20"/>
        </w:rPr>
      </w:pPr>
    </w:p>
    <w:p w14:paraId="5F59AEB4" w14:textId="77777777" w:rsidR="004B6321" w:rsidRDefault="00AC7D7F">
      <w:pPr>
        <w:pBdr>
          <w:top w:val="nil"/>
          <w:left w:val="nil"/>
          <w:bottom w:val="nil"/>
          <w:right w:val="nil"/>
          <w:between w:val="nil"/>
        </w:pBdr>
        <w:spacing w:before="1"/>
        <w:rPr>
          <w:i/>
          <w:color w:val="000000"/>
          <w:sz w:val="20"/>
          <w:szCs w:val="20"/>
        </w:rPr>
      </w:pPr>
      <w:r>
        <w:rPr>
          <w:noProof/>
        </w:rPr>
        <mc:AlternateContent>
          <mc:Choice Requires="wpg">
            <w:drawing>
              <wp:anchor distT="0" distB="0" distL="0" distR="0" simplePos="0" relativeHeight="251659264" behindDoc="0" locked="0" layoutInCell="1" hidden="0" allowOverlap="1" wp14:anchorId="53127116" wp14:editId="05893E99">
                <wp:simplePos x="0" y="0"/>
                <wp:positionH relativeFrom="column">
                  <wp:posOffset>0</wp:posOffset>
                </wp:positionH>
                <wp:positionV relativeFrom="paragraph">
                  <wp:posOffset>635</wp:posOffset>
                </wp:positionV>
                <wp:extent cx="5723890" cy="19050"/>
                <wp:effectExtent l="0" t="0" r="0" b="0"/>
                <wp:wrapTopAndBottom distT="0" distB="0"/>
                <wp:docPr id="2" name="Freeform: Shape 2"/>
                <wp:cNvGraphicFramePr/>
                <a:graphic xmlns:a="http://schemas.openxmlformats.org/drawingml/2006/main">
                  <a:graphicData uri="http://schemas.microsoft.com/office/word/2010/wordprocessingShape">
                    <wps:wsp>
                      <wps:cNvSpPr/>
                      <wps:spPr>
                        <a:xfrm>
                          <a:off x="2484055" y="3779365"/>
                          <a:ext cx="5723890" cy="1270"/>
                        </a:xfrm>
                        <a:custGeom>
                          <a:avLst/>
                          <a:gdLst/>
                          <a:ahLst/>
                          <a:cxnLst/>
                          <a:rect l="l" t="t" r="r" b="b"/>
                          <a:pathLst>
                            <a:path w="5723890" h="120000" extrusionOk="0">
                              <a:moveTo>
                                <a:pt x="0" y="0"/>
                              </a:moveTo>
                              <a:lnTo>
                                <a:pt x="5723890" y="0"/>
                              </a:lnTo>
                            </a:path>
                          </a:pathLst>
                        </a:custGeom>
                        <a:no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635</wp:posOffset>
                </wp:positionV>
                <wp:extent cx="5723890" cy="19050"/>
                <wp:effectExtent b="0" l="0" r="0" t="0"/>
                <wp:wrapTopAndBottom distB="0" distT="0"/>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723890" cy="19050"/>
                        </a:xfrm>
                        <a:prstGeom prst="rect"/>
                        <a:ln/>
                      </pic:spPr>
                    </pic:pic>
                  </a:graphicData>
                </a:graphic>
              </wp:anchor>
            </w:drawing>
          </mc:Fallback>
        </mc:AlternateContent>
      </w:r>
    </w:p>
    <w:p w14:paraId="0E900B08" w14:textId="77777777" w:rsidR="004B6321" w:rsidRDefault="004B6321">
      <w:pPr>
        <w:pBdr>
          <w:top w:val="nil"/>
          <w:left w:val="nil"/>
          <w:bottom w:val="nil"/>
          <w:right w:val="nil"/>
          <w:between w:val="nil"/>
        </w:pBdr>
        <w:spacing w:before="1"/>
        <w:rPr>
          <w:b/>
          <w:i/>
          <w:color w:val="000000"/>
          <w:sz w:val="16"/>
          <w:szCs w:val="16"/>
        </w:rPr>
      </w:pPr>
    </w:p>
    <w:p w14:paraId="4703EB00" w14:textId="77777777" w:rsidR="004B6321" w:rsidRDefault="00AC7D7F">
      <w:pPr>
        <w:rPr>
          <w:b/>
          <w:sz w:val="20"/>
          <w:szCs w:val="20"/>
        </w:rPr>
      </w:pPr>
      <w:r>
        <w:rPr>
          <w:b/>
          <w:sz w:val="20"/>
          <w:szCs w:val="20"/>
        </w:rPr>
        <w:t>ABSTRACT</w:t>
      </w:r>
    </w:p>
    <w:p w14:paraId="7C5B4892" w14:textId="77777777" w:rsidR="004B6321" w:rsidRDefault="00AC7D7F">
      <w:pPr>
        <w:spacing w:before="193"/>
        <w:ind w:right="113"/>
        <w:jc w:val="both"/>
        <w:rPr>
          <w:sz w:val="18"/>
          <w:szCs w:val="18"/>
        </w:rPr>
      </w:pPr>
      <w:r>
        <w:rPr>
          <w:b/>
          <w:sz w:val="18"/>
          <w:szCs w:val="18"/>
        </w:rPr>
        <w:t xml:space="preserve">Aims: </w:t>
      </w:r>
      <w:r>
        <w:rPr>
          <w:sz w:val="18"/>
          <w:szCs w:val="18"/>
        </w:rPr>
        <w:t xml:space="preserve">This experimental study aimed to quantify the entrance surface air </w:t>
      </w:r>
      <w:proofErr w:type="spellStart"/>
      <w:r>
        <w:rPr>
          <w:sz w:val="18"/>
          <w:szCs w:val="18"/>
        </w:rPr>
        <w:t>kerma</w:t>
      </w:r>
      <w:proofErr w:type="spellEnd"/>
      <w:r>
        <w:rPr>
          <w:sz w:val="18"/>
          <w:szCs w:val="18"/>
        </w:rPr>
        <w:t xml:space="preserve"> (</w:t>
      </w:r>
      <w:proofErr w:type="spellStart"/>
      <w:proofErr w:type="gramStart"/>
      <w:r>
        <w:rPr>
          <w:sz w:val="18"/>
          <w:szCs w:val="18"/>
        </w:rPr>
        <w:t>K</w:t>
      </w:r>
      <w:r>
        <w:rPr>
          <w:sz w:val="18"/>
          <w:szCs w:val="18"/>
          <w:vertAlign w:val="subscript"/>
        </w:rPr>
        <w:t>a,e</w:t>
      </w:r>
      <w:proofErr w:type="spellEnd"/>
      <w:proofErr w:type="gramEnd"/>
      <w:r>
        <w:rPr>
          <w:sz w:val="18"/>
          <w:szCs w:val="18"/>
        </w:rPr>
        <w:t>) of X-ray beams in radiographic examinations, comparing the obtained values with national and international Diagnostic Reference Levels (DRLs).</w:t>
      </w:r>
    </w:p>
    <w:p w14:paraId="54FC069E" w14:textId="77777777" w:rsidR="004B6321" w:rsidRDefault="00AC7D7F">
      <w:pPr>
        <w:spacing w:before="2"/>
        <w:ind w:right="123"/>
        <w:jc w:val="both"/>
        <w:rPr>
          <w:sz w:val="18"/>
          <w:szCs w:val="18"/>
        </w:rPr>
      </w:pPr>
      <w:r>
        <w:rPr>
          <w:b/>
          <w:sz w:val="18"/>
          <w:szCs w:val="18"/>
        </w:rPr>
        <w:t xml:space="preserve">Place and Duration of Study: </w:t>
      </w:r>
      <w:r>
        <w:rPr>
          <w:sz w:val="18"/>
          <w:szCs w:val="18"/>
        </w:rPr>
        <w:t>The research was conducted at the Department of Medical Physics and Radiology of the Franciscan University (UFN) between June 2023 and August 2024.</w:t>
      </w:r>
    </w:p>
    <w:p w14:paraId="6396C5B8" w14:textId="77777777" w:rsidR="004B6321" w:rsidRDefault="00AC7D7F">
      <w:pPr>
        <w:spacing w:before="1"/>
        <w:ind w:right="119"/>
        <w:jc w:val="both"/>
        <w:rPr>
          <w:sz w:val="18"/>
          <w:szCs w:val="18"/>
        </w:rPr>
      </w:pPr>
      <w:r>
        <w:rPr>
          <w:b/>
          <w:sz w:val="18"/>
          <w:szCs w:val="18"/>
        </w:rPr>
        <w:t xml:space="preserve">Methodology: </w:t>
      </w:r>
      <w:r>
        <w:rPr>
          <w:sz w:val="18"/>
          <w:szCs w:val="18"/>
        </w:rPr>
        <w:t xml:space="preserve">The X-ray beam evaluation used a </w:t>
      </w:r>
      <w:proofErr w:type="spellStart"/>
      <w:r>
        <w:rPr>
          <w:sz w:val="18"/>
          <w:szCs w:val="18"/>
        </w:rPr>
        <w:t>dosimetric</w:t>
      </w:r>
      <w:proofErr w:type="spellEnd"/>
      <w:r>
        <w:rPr>
          <w:sz w:val="18"/>
          <w:szCs w:val="18"/>
        </w:rPr>
        <w:t xml:space="preserve"> set to measure the Air Kerma Rate (K</w:t>
      </w:r>
      <w:r>
        <w:rPr>
          <w:sz w:val="18"/>
          <w:szCs w:val="18"/>
          <w:vertAlign w:val="subscript"/>
        </w:rPr>
        <w:t>AIR</w:t>
      </w:r>
      <w:r>
        <w:rPr>
          <w:sz w:val="18"/>
          <w:szCs w:val="18"/>
        </w:rPr>
        <w:t xml:space="preserve">) and determine the X-ray tube output. A phantom without water and another filled with water were employed to calculate the backscatter factor (BSF) and estimate </w:t>
      </w:r>
      <w:proofErr w:type="spellStart"/>
      <w:proofErr w:type="gramStart"/>
      <w:r>
        <w:rPr>
          <w:sz w:val="18"/>
          <w:szCs w:val="18"/>
        </w:rPr>
        <w:t>K</w:t>
      </w:r>
      <w:r>
        <w:rPr>
          <w:sz w:val="18"/>
          <w:szCs w:val="18"/>
          <w:vertAlign w:val="subscript"/>
        </w:rPr>
        <w:t>a,e</w:t>
      </w:r>
      <w:proofErr w:type="spellEnd"/>
      <w:proofErr w:type="gramEnd"/>
      <w:r>
        <w:rPr>
          <w:sz w:val="18"/>
          <w:szCs w:val="18"/>
        </w:rPr>
        <w:t xml:space="preserve"> for the main radiographic examinations.</w:t>
      </w:r>
    </w:p>
    <w:p w14:paraId="2A2C1A62" w14:textId="77777777" w:rsidR="004B6321" w:rsidRDefault="00AC7D7F">
      <w:pPr>
        <w:ind w:right="115"/>
        <w:jc w:val="both"/>
        <w:rPr>
          <w:sz w:val="18"/>
          <w:szCs w:val="18"/>
        </w:rPr>
      </w:pPr>
      <w:r>
        <w:rPr>
          <w:b/>
          <w:sz w:val="18"/>
          <w:szCs w:val="18"/>
        </w:rPr>
        <w:t xml:space="preserve">Results: </w:t>
      </w:r>
      <w:r>
        <w:rPr>
          <w:sz w:val="18"/>
          <w:szCs w:val="18"/>
        </w:rPr>
        <w:t xml:space="preserve">The results identified anatomical regions with the highest radiation exposure, reinforcing the need for optimization. It was observed that, although </w:t>
      </w:r>
      <w:proofErr w:type="spellStart"/>
      <w:proofErr w:type="gramStart"/>
      <w:r>
        <w:rPr>
          <w:sz w:val="18"/>
          <w:szCs w:val="18"/>
        </w:rPr>
        <w:t>K</w:t>
      </w:r>
      <w:r>
        <w:rPr>
          <w:sz w:val="18"/>
          <w:szCs w:val="18"/>
          <w:vertAlign w:val="subscript"/>
        </w:rPr>
        <w:t>a,e</w:t>
      </w:r>
      <w:proofErr w:type="spellEnd"/>
      <w:proofErr w:type="gramEnd"/>
      <w:r>
        <w:rPr>
          <w:sz w:val="18"/>
          <w:szCs w:val="18"/>
        </w:rPr>
        <w:t xml:space="preserve"> values were within national limits, they exceeded the reference values of the United Kingdom and Japan in the skull, abdomen, and lumbar spine regions. This difference highlights the importance of periodically updating DRLs in accordance with international recommendations and technological advancements. Dose optimization requires continuous assessment of image quality, proper selection of technical parameters, and implementation of specific dose protocols. Ongoing training for radiology professionals is essential to ensure the correct application of imaging techniques and reduce patient exposure to ionizing radiation.</w:t>
      </w:r>
    </w:p>
    <w:p w14:paraId="78FCE2B6" w14:textId="77777777" w:rsidR="004B6321" w:rsidRDefault="00AC7D7F">
      <w:pPr>
        <w:ind w:right="122"/>
        <w:jc w:val="both"/>
        <w:rPr>
          <w:sz w:val="18"/>
          <w:szCs w:val="18"/>
        </w:rPr>
        <w:sectPr w:rsidR="004B6321">
          <w:headerReference w:type="even" r:id="rId8"/>
          <w:headerReference w:type="default" r:id="rId9"/>
          <w:footerReference w:type="even" r:id="rId10"/>
          <w:footerReference w:type="default" r:id="rId11"/>
          <w:headerReference w:type="first" r:id="rId12"/>
          <w:footerReference w:type="first" r:id="rId13"/>
          <w:pgSz w:w="11910" w:h="16840"/>
          <w:pgMar w:top="1000" w:right="1417" w:bottom="280" w:left="1417" w:header="360" w:footer="360" w:gutter="0"/>
          <w:pgNumType w:start="1"/>
          <w:cols w:space="720"/>
        </w:sectPr>
      </w:pPr>
      <w:r>
        <w:rPr>
          <w:b/>
          <w:sz w:val="18"/>
          <w:szCs w:val="18"/>
        </w:rPr>
        <w:t xml:space="preserve">Conclusion: </w:t>
      </w:r>
      <w:r>
        <w:rPr>
          <w:sz w:val="18"/>
          <w:szCs w:val="18"/>
        </w:rPr>
        <w:t>This study emphasizes the need for a multidisciplinary approach to dose optimization, combined with quality assurance programs and continuous professional training, ensuring greater patient safety and high-quality diagnostic imaging.</w:t>
      </w:r>
    </w:p>
    <w:p w14:paraId="18925A67" w14:textId="77777777" w:rsidR="004B6321" w:rsidRDefault="00AC7D7F">
      <w:pPr>
        <w:rPr>
          <w:i/>
          <w:sz w:val="18"/>
          <w:szCs w:val="18"/>
        </w:rPr>
      </w:pPr>
      <w:r>
        <w:rPr>
          <w:i/>
          <w:sz w:val="18"/>
          <w:szCs w:val="18"/>
        </w:rPr>
        <w:t>Keywords: Radiation dose, Diagnostic Reference, Levels (DRLs), X-ray imaging, Dose optimization, Radiological safety.</w:t>
      </w:r>
    </w:p>
    <w:p w14:paraId="41A2E5AE" w14:textId="77777777" w:rsidR="004B6321" w:rsidRDefault="004B6321">
      <w:pPr>
        <w:ind w:right="23"/>
        <w:jc w:val="center"/>
        <w:rPr>
          <w:b/>
        </w:rPr>
        <w:sectPr w:rsidR="004B6321">
          <w:type w:val="continuous"/>
          <w:pgSz w:w="11910" w:h="16840"/>
          <w:pgMar w:top="1000" w:right="1417" w:bottom="280" w:left="1417" w:header="1440" w:footer="1068" w:gutter="0"/>
          <w:cols w:space="720" w:equalWidth="0">
            <w:col w:w="9071" w:space="0"/>
          </w:cols>
        </w:sectPr>
      </w:pPr>
    </w:p>
    <w:p w14:paraId="215209E5" w14:textId="77777777" w:rsidR="004B6321" w:rsidRDefault="00AC7D7F">
      <w:pPr>
        <w:numPr>
          <w:ilvl w:val="0"/>
          <w:numId w:val="3"/>
        </w:numPr>
        <w:tabs>
          <w:tab w:val="left" w:pos="267"/>
        </w:tabs>
        <w:spacing w:before="183"/>
        <w:ind w:left="267" w:hanging="244"/>
        <w:rPr>
          <w:sz w:val="20"/>
          <w:szCs w:val="20"/>
        </w:rPr>
      </w:pPr>
      <w:r>
        <w:rPr>
          <w:b/>
          <w:sz w:val="20"/>
          <w:szCs w:val="20"/>
        </w:rPr>
        <w:t>INTRODUCTION</w:t>
      </w:r>
    </w:p>
    <w:p w14:paraId="63526D2E" w14:textId="77777777" w:rsidR="004B6321" w:rsidRDefault="00AC7D7F">
      <w:pPr>
        <w:pBdr>
          <w:top w:val="nil"/>
          <w:left w:val="nil"/>
          <w:bottom w:val="nil"/>
          <w:right w:val="nil"/>
          <w:between w:val="nil"/>
        </w:pBdr>
        <w:spacing w:before="184"/>
        <w:ind w:left="23"/>
        <w:jc w:val="both"/>
        <w:rPr>
          <w:color w:val="000000"/>
          <w:sz w:val="18"/>
          <w:szCs w:val="18"/>
        </w:rPr>
      </w:pPr>
      <w:r>
        <w:rPr>
          <w:color w:val="000000"/>
          <w:sz w:val="18"/>
          <w:szCs w:val="18"/>
        </w:rPr>
        <w:t>The characterization of the X-ray beam (kVp, mAs, filtration, focus-skin distance), the patient's anthropometric characteristics (thickness, beam projection) and the anatomical region of interest allows an estimation of skin entrance dose (</w:t>
      </w:r>
      <w:proofErr w:type="spellStart"/>
      <w:proofErr w:type="gramStart"/>
      <w:r>
        <w:rPr>
          <w:color w:val="000000"/>
          <w:sz w:val="18"/>
          <w:szCs w:val="18"/>
        </w:rPr>
        <w:t>K</w:t>
      </w:r>
      <w:r>
        <w:rPr>
          <w:color w:val="000000"/>
          <w:sz w:val="18"/>
          <w:szCs w:val="18"/>
          <w:vertAlign w:val="subscript"/>
        </w:rPr>
        <w:t>a,e</w:t>
      </w:r>
      <w:proofErr w:type="spellEnd"/>
      <w:proofErr w:type="gramEnd"/>
      <w:r>
        <w:rPr>
          <w:color w:val="000000"/>
          <w:sz w:val="18"/>
          <w:szCs w:val="18"/>
        </w:rPr>
        <w:t>) [1]. Currently, the comparison of values obtained with Diagnostic Reference Levels (DRLs) makes it possible to identify opportunities to reduce the dose of ionizing radiation, contributing to safe and efficient radiological practice [2].</w:t>
      </w:r>
    </w:p>
    <w:p w14:paraId="6C33797D" w14:textId="77777777" w:rsidR="004B6321" w:rsidRDefault="00AC7D7F">
      <w:pPr>
        <w:pBdr>
          <w:top w:val="nil"/>
          <w:left w:val="nil"/>
          <w:bottom w:val="nil"/>
          <w:right w:val="nil"/>
          <w:between w:val="nil"/>
        </w:pBdr>
        <w:spacing w:before="184"/>
        <w:ind w:left="23"/>
        <w:jc w:val="both"/>
        <w:rPr>
          <w:color w:val="000000"/>
          <w:sz w:val="18"/>
          <w:szCs w:val="18"/>
        </w:rPr>
      </w:pPr>
      <w:r>
        <w:rPr>
          <w:color w:val="000000"/>
          <w:sz w:val="18"/>
          <w:szCs w:val="18"/>
        </w:rPr>
        <w:t>DRLs are reference values established by the International Commission on Radiological Protection (ICRP) for the amount of radiation used in imaging examinations, such as radiography and computed tomography [1,2]. These indicators are recommended for identifying unusually high radiation doses in typical diagnostic radiology procedures [2]. However, exceeding a DRL does not necessarily</w:t>
      </w:r>
      <w:r>
        <w:rPr>
          <w:sz w:val="18"/>
          <w:szCs w:val="18"/>
        </w:rPr>
        <w:t xml:space="preserve"> </w:t>
      </w:r>
      <w:r>
        <w:rPr>
          <w:color w:val="000000"/>
          <w:sz w:val="18"/>
          <w:szCs w:val="18"/>
        </w:rPr>
        <w:t>imply that the exam is inadequate, nor does meeting a DRL guarantee that the practice is correct, as image quality (IQ) must also be considered [3].</w:t>
      </w:r>
    </w:p>
    <w:p w14:paraId="0DC8B350" w14:textId="77777777" w:rsidR="004B6321" w:rsidRDefault="00AC7D7F">
      <w:pPr>
        <w:pBdr>
          <w:top w:val="nil"/>
          <w:left w:val="nil"/>
          <w:bottom w:val="nil"/>
          <w:right w:val="nil"/>
          <w:between w:val="nil"/>
        </w:pBdr>
        <w:spacing w:before="184"/>
        <w:ind w:left="23" w:right="25"/>
        <w:jc w:val="both"/>
        <w:rPr>
          <w:color w:val="000000"/>
          <w:sz w:val="18"/>
          <w:szCs w:val="18"/>
        </w:rPr>
      </w:pPr>
      <w:r>
        <w:rPr>
          <w:color w:val="000000"/>
          <w:sz w:val="18"/>
          <w:szCs w:val="18"/>
        </w:rPr>
        <w:t>These values serve as a benchmark to assess whether the radiation dose applied in an examination falls within an acceptable range, thereby contributing to the safety of both patients and healthcare professionals, as exposure to ionizing radiation, even at low doses, can pose health risks [2,3].</w:t>
      </w:r>
    </w:p>
    <w:p w14:paraId="6793C420" w14:textId="77777777" w:rsidR="004B6321" w:rsidRDefault="00AC7D7F">
      <w:pPr>
        <w:pBdr>
          <w:top w:val="nil"/>
          <w:left w:val="nil"/>
          <w:bottom w:val="nil"/>
          <w:right w:val="nil"/>
          <w:between w:val="nil"/>
        </w:pBdr>
        <w:spacing w:before="186"/>
        <w:ind w:left="23" w:right="20"/>
        <w:jc w:val="both"/>
        <w:rPr>
          <w:sz w:val="18"/>
          <w:szCs w:val="18"/>
        </w:rPr>
      </w:pPr>
      <w:r>
        <w:rPr>
          <w:color w:val="000000"/>
          <w:sz w:val="18"/>
          <w:szCs w:val="18"/>
        </w:rPr>
        <w:t xml:space="preserve">Other studies, such as those by Alvarez </w:t>
      </w:r>
      <w:r>
        <w:rPr>
          <w:i/>
          <w:color w:val="000000"/>
          <w:sz w:val="18"/>
          <w:szCs w:val="18"/>
        </w:rPr>
        <w:t xml:space="preserve">et al. </w:t>
      </w:r>
      <w:r>
        <w:rPr>
          <w:color w:val="000000"/>
          <w:sz w:val="18"/>
          <w:szCs w:val="18"/>
        </w:rPr>
        <w:t xml:space="preserve">[4] and Diop </w:t>
      </w:r>
      <w:r>
        <w:rPr>
          <w:i/>
          <w:color w:val="000000"/>
          <w:sz w:val="18"/>
          <w:szCs w:val="18"/>
        </w:rPr>
        <w:t xml:space="preserve">et al. </w:t>
      </w:r>
      <w:r>
        <w:rPr>
          <w:color w:val="000000"/>
          <w:sz w:val="18"/>
          <w:szCs w:val="18"/>
        </w:rPr>
        <w:t>[5], highlight that DRL values account for various factors, including beam geometry, the anatomical region of the patient, tissue thickness, and the contribution of scattered radiation. The optimization of radiation protection, therefore, requires radiology professionals to balance dose and image quality, considering both DRLs and diagnostic needs.</w:t>
      </w:r>
    </w:p>
    <w:p w14:paraId="2AD7E514" w14:textId="77777777" w:rsidR="004B6321" w:rsidRDefault="00AC7D7F">
      <w:pPr>
        <w:pBdr>
          <w:top w:val="nil"/>
          <w:left w:val="nil"/>
          <w:bottom w:val="nil"/>
          <w:right w:val="nil"/>
          <w:between w:val="nil"/>
        </w:pBdr>
        <w:spacing w:before="186"/>
        <w:ind w:right="20"/>
        <w:jc w:val="both"/>
        <w:rPr>
          <w:color w:val="000000"/>
          <w:sz w:val="18"/>
          <w:szCs w:val="18"/>
        </w:rPr>
      </w:pPr>
      <w:r>
        <w:rPr>
          <w:color w:val="000000"/>
          <w:sz w:val="18"/>
          <w:szCs w:val="18"/>
        </w:rPr>
        <w:t xml:space="preserve">The application of the ALARA principle (As Low </w:t>
      </w:r>
      <w:proofErr w:type="gramStart"/>
      <w:r>
        <w:rPr>
          <w:color w:val="000000"/>
          <w:sz w:val="18"/>
          <w:szCs w:val="18"/>
        </w:rPr>
        <w:t>As</w:t>
      </w:r>
      <w:proofErr w:type="gramEnd"/>
      <w:r>
        <w:rPr>
          <w:color w:val="000000"/>
          <w:sz w:val="18"/>
          <w:szCs w:val="18"/>
        </w:rPr>
        <w:t xml:space="preserve"> Reasonably Achievable) is fundamental in this context, aiming to reduce the patient's radiation dose to the lowest possible level without compromising image quality.</w:t>
      </w:r>
    </w:p>
    <w:p w14:paraId="377C07DC" w14:textId="77777777" w:rsidR="004B6321" w:rsidRDefault="00AC7D7F">
      <w:pPr>
        <w:pBdr>
          <w:top w:val="nil"/>
          <w:left w:val="nil"/>
          <w:bottom w:val="nil"/>
          <w:right w:val="nil"/>
          <w:between w:val="nil"/>
        </w:pBdr>
        <w:spacing w:before="161"/>
        <w:ind w:left="23" w:right="1"/>
        <w:jc w:val="both"/>
        <w:rPr>
          <w:color w:val="000000"/>
          <w:sz w:val="18"/>
          <w:szCs w:val="18"/>
        </w:rPr>
      </w:pPr>
      <w:r>
        <w:rPr>
          <w:color w:val="000000"/>
          <w:sz w:val="18"/>
          <w:szCs w:val="18"/>
        </w:rPr>
        <w:t>To achieve this balance, it is necessary to adopt practices such as the appropriate selection of technical parameters, precise collimation, and dose reduction techniques, including filtration and image processing. In this regard, DRLs act as an essential tool for managing good radiological protection practices, provided they are properly understood and applied by radiology technicians and technologists [1-3].</w:t>
      </w:r>
    </w:p>
    <w:p w14:paraId="2C46435D" w14:textId="77777777" w:rsidR="004B6321" w:rsidRDefault="00AC7D7F">
      <w:pPr>
        <w:pBdr>
          <w:top w:val="nil"/>
          <w:left w:val="nil"/>
          <w:bottom w:val="nil"/>
          <w:right w:val="nil"/>
          <w:between w:val="nil"/>
        </w:pBdr>
        <w:spacing w:before="162"/>
        <w:ind w:left="23"/>
        <w:jc w:val="both"/>
        <w:rPr>
          <w:color w:val="000000"/>
          <w:sz w:val="18"/>
          <w:szCs w:val="18"/>
        </w:rPr>
      </w:pPr>
      <w:r>
        <w:rPr>
          <w:color w:val="000000"/>
          <w:sz w:val="18"/>
          <w:szCs w:val="18"/>
        </w:rPr>
        <w:t xml:space="preserve">Considering the principle of ALARA radiological protection, this study aims to characterize the X- ray beams used in radiographic examinations, focusing on the estimation of </w:t>
      </w:r>
      <w:proofErr w:type="spellStart"/>
      <w:proofErr w:type="gramStart"/>
      <w:r>
        <w:rPr>
          <w:color w:val="000000"/>
          <w:sz w:val="18"/>
          <w:szCs w:val="18"/>
        </w:rPr>
        <w:t>K</w:t>
      </w:r>
      <w:r>
        <w:rPr>
          <w:color w:val="000000"/>
          <w:sz w:val="18"/>
          <w:szCs w:val="18"/>
          <w:vertAlign w:val="subscript"/>
        </w:rPr>
        <w:t>a,e</w:t>
      </w:r>
      <w:proofErr w:type="spellEnd"/>
      <w:r>
        <w:rPr>
          <w:color w:val="000000"/>
          <w:sz w:val="18"/>
          <w:szCs w:val="18"/>
        </w:rPr>
        <w:t>.</w:t>
      </w:r>
      <w:proofErr w:type="gramEnd"/>
      <w:r>
        <w:rPr>
          <w:color w:val="000000"/>
          <w:sz w:val="18"/>
          <w:szCs w:val="18"/>
        </w:rPr>
        <w:t xml:space="preserve"> The results will be compared with Brazilian and international DRLs.</w:t>
      </w:r>
    </w:p>
    <w:p w14:paraId="1E93025B" w14:textId="77777777" w:rsidR="004B6321" w:rsidRDefault="00AC7D7F">
      <w:pPr>
        <w:numPr>
          <w:ilvl w:val="0"/>
          <w:numId w:val="3"/>
        </w:numPr>
        <w:tabs>
          <w:tab w:val="left" w:pos="267"/>
        </w:tabs>
        <w:spacing w:before="162"/>
        <w:ind w:left="267" w:hanging="244"/>
        <w:rPr>
          <w:sz w:val="20"/>
          <w:szCs w:val="20"/>
        </w:rPr>
      </w:pPr>
      <w:r>
        <w:rPr>
          <w:b/>
          <w:sz w:val="20"/>
          <w:szCs w:val="20"/>
        </w:rPr>
        <w:t>MATERIALS AND METHODS</w:t>
      </w:r>
    </w:p>
    <w:p w14:paraId="08CE200C" w14:textId="77777777" w:rsidR="004B6321" w:rsidRDefault="004B6321">
      <w:pPr>
        <w:pBdr>
          <w:top w:val="nil"/>
          <w:left w:val="nil"/>
          <w:bottom w:val="nil"/>
          <w:right w:val="nil"/>
          <w:between w:val="nil"/>
        </w:pBdr>
        <w:ind w:right="1"/>
        <w:jc w:val="both"/>
        <w:rPr>
          <w:sz w:val="18"/>
          <w:szCs w:val="18"/>
        </w:rPr>
      </w:pPr>
    </w:p>
    <w:p w14:paraId="66B02EAB" w14:textId="03D7FD74" w:rsidR="004B6321" w:rsidRPr="00B526BD" w:rsidRDefault="00AC7D7F">
      <w:pPr>
        <w:numPr>
          <w:ilvl w:val="1"/>
          <w:numId w:val="3"/>
        </w:numPr>
        <w:tabs>
          <w:tab w:val="left" w:pos="392"/>
        </w:tabs>
        <w:spacing w:before="164"/>
        <w:ind w:left="392" w:hanging="369"/>
        <w:rPr>
          <w:color w:val="FF0000"/>
          <w:sz w:val="18"/>
          <w:szCs w:val="18"/>
        </w:rPr>
      </w:pPr>
      <w:proofErr w:type="spellStart"/>
      <w:r w:rsidRPr="00B526BD">
        <w:rPr>
          <w:b/>
          <w:color w:val="FF0000"/>
          <w:sz w:val="18"/>
          <w:szCs w:val="18"/>
        </w:rPr>
        <w:t>Equipments</w:t>
      </w:r>
      <w:proofErr w:type="spellEnd"/>
      <w:r w:rsidR="00B526BD">
        <w:rPr>
          <w:b/>
          <w:color w:val="FF0000"/>
          <w:sz w:val="18"/>
          <w:szCs w:val="18"/>
        </w:rPr>
        <w:t xml:space="preserve"> </w:t>
      </w:r>
    </w:p>
    <w:p w14:paraId="0FFB4CD0" w14:textId="102309DC" w:rsidR="004B6321" w:rsidRDefault="00AC7D7F">
      <w:pPr>
        <w:pBdr>
          <w:top w:val="nil"/>
          <w:left w:val="nil"/>
          <w:bottom w:val="nil"/>
          <w:right w:val="nil"/>
          <w:between w:val="nil"/>
        </w:pBdr>
        <w:spacing w:before="160"/>
        <w:ind w:left="23"/>
        <w:jc w:val="both"/>
        <w:rPr>
          <w:color w:val="000000"/>
          <w:sz w:val="18"/>
          <w:szCs w:val="18"/>
        </w:rPr>
      </w:pPr>
      <w:r>
        <w:rPr>
          <w:color w:val="000000"/>
          <w:sz w:val="18"/>
          <w:szCs w:val="18"/>
        </w:rPr>
        <w:t xml:space="preserve">In this study, an </w:t>
      </w:r>
      <w:proofErr w:type="spellStart"/>
      <w:r w:rsidRPr="00B526BD">
        <w:rPr>
          <w:color w:val="FF0000"/>
          <w:sz w:val="18"/>
          <w:szCs w:val="18"/>
        </w:rPr>
        <w:t>Intercal</w:t>
      </w:r>
      <w:proofErr w:type="spellEnd"/>
      <w:r>
        <w:rPr>
          <w:color w:val="000000"/>
          <w:sz w:val="18"/>
          <w:szCs w:val="18"/>
        </w:rPr>
        <w:t xml:space="preserve"> M</w:t>
      </w:r>
      <w:r>
        <w:rPr>
          <w:sz w:val="18"/>
          <w:szCs w:val="18"/>
        </w:rPr>
        <w:t>AAF</w:t>
      </w:r>
      <w:r>
        <w:rPr>
          <w:color w:val="000000"/>
          <w:sz w:val="18"/>
          <w:szCs w:val="18"/>
        </w:rPr>
        <w:t xml:space="preserve"> radiographic </w:t>
      </w:r>
      <w:r>
        <w:rPr>
          <w:sz w:val="18"/>
          <w:szCs w:val="18"/>
        </w:rPr>
        <w:t>system</w:t>
      </w:r>
      <w:r>
        <w:rPr>
          <w:color w:val="000000"/>
          <w:sz w:val="18"/>
          <w:szCs w:val="18"/>
        </w:rPr>
        <w:t xml:space="preserve"> was u</w:t>
      </w:r>
      <w:r>
        <w:rPr>
          <w:sz w:val="18"/>
          <w:szCs w:val="18"/>
        </w:rPr>
        <w:t>tilized</w:t>
      </w:r>
      <w:r>
        <w:rPr>
          <w:color w:val="000000"/>
          <w:sz w:val="18"/>
          <w:szCs w:val="18"/>
        </w:rPr>
        <w:t>, operating in a voltage range (kV) between 40 and 120 and a current range of 100</w:t>
      </w:r>
      <w:r>
        <w:rPr>
          <w:sz w:val="18"/>
          <w:szCs w:val="18"/>
        </w:rPr>
        <w:t>-</w:t>
      </w:r>
      <w:r>
        <w:rPr>
          <w:color w:val="000000"/>
          <w:sz w:val="18"/>
          <w:szCs w:val="18"/>
        </w:rPr>
        <w:t xml:space="preserve">630 mA, coupled with a high-frequency generator. For the X-ray beam measurements, a </w:t>
      </w:r>
      <w:r>
        <w:rPr>
          <w:sz w:val="18"/>
          <w:szCs w:val="18"/>
        </w:rPr>
        <w:t xml:space="preserve">dosimetry </w:t>
      </w:r>
      <w:proofErr w:type="gramStart"/>
      <w:r>
        <w:rPr>
          <w:sz w:val="18"/>
          <w:szCs w:val="18"/>
        </w:rPr>
        <w:t xml:space="preserve">system </w:t>
      </w:r>
      <w:r>
        <w:rPr>
          <w:color w:val="000000"/>
          <w:sz w:val="18"/>
          <w:szCs w:val="18"/>
        </w:rPr>
        <w:t xml:space="preserve"> from</w:t>
      </w:r>
      <w:proofErr w:type="gramEnd"/>
      <w:r>
        <w:rPr>
          <w:color w:val="000000"/>
          <w:sz w:val="18"/>
          <w:szCs w:val="18"/>
        </w:rPr>
        <w:t xml:space="preserve"> RADCAL,</w:t>
      </w:r>
      <w:r>
        <w:rPr>
          <w:sz w:val="18"/>
          <w:szCs w:val="18"/>
        </w:rPr>
        <w:t xml:space="preserve"> </w:t>
      </w:r>
      <w:r>
        <w:rPr>
          <w:color w:val="000000"/>
          <w:sz w:val="18"/>
          <w:szCs w:val="18"/>
        </w:rPr>
        <w:t xml:space="preserve">model 9015, calibrated in a reference laboratory, </w:t>
      </w:r>
      <w:r>
        <w:rPr>
          <w:sz w:val="18"/>
          <w:szCs w:val="18"/>
        </w:rPr>
        <w:t>was employed</w:t>
      </w:r>
      <w:r>
        <w:rPr>
          <w:color w:val="000000"/>
          <w:sz w:val="18"/>
          <w:szCs w:val="18"/>
        </w:rPr>
        <w:t>.</w:t>
      </w:r>
    </w:p>
    <w:p w14:paraId="36BE7040" w14:textId="77777777" w:rsidR="004B6321" w:rsidRDefault="004B6321">
      <w:pPr>
        <w:pBdr>
          <w:top w:val="nil"/>
          <w:left w:val="nil"/>
          <w:bottom w:val="nil"/>
          <w:right w:val="nil"/>
          <w:between w:val="nil"/>
        </w:pBdr>
        <w:spacing w:before="160"/>
        <w:ind w:left="23"/>
        <w:jc w:val="both"/>
        <w:rPr>
          <w:sz w:val="18"/>
          <w:szCs w:val="18"/>
        </w:rPr>
      </w:pPr>
    </w:p>
    <w:p w14:paraId="42E512ED" w14:textId="77777777" w:rsidR="004B6321" w:rsidRDefault="00AC7D7F">
      <w:pPr>
        <w:numPr>
          <w:ilvl w:val="1"/>
          <w:numId w:val="3"/>
        </w:numPr>
        <w:tabs>
          <w:tab w:val="left" w:pos="412"/>
        </w:tabs>
        <w:ind w:left="425" w:hanging="425"/>
        <w:rPr>
          <w:sz w:val="18"/>
          <w:szCs w:val="18"/>
        </w:rPr>
      </w:pPr>
      <w:r>
        <w:rPr>
          <w:b/>
          <w:sz w:val="18"/>
          <w:szCs w:val="18"/>
        </w:rPr>
        <w:t>Methodology</w:t>
      </w:r>
    </w:p>
    <w:p w14:paraId="6913F978" w14:textId="77777777" w:rsidR="004B6321" w:rsidRDefault="004B6321">
      <w:pPr>
        <w:tabs>
          <w:tab w:val="left" w:pos="412"/>
        </w:tabs>
        <w:ind w:left="393"/>
        <w:rPr>
          <w:b/>
          <w:sz w:val="18"/>
          <w:szCs w:val="18"/>
        </w:rPr>
      </w:pPr>
    </w:p>
    <w:p w14:paraId="3E565599" w14:textId="77777777" w:rsidR="004B6321" w:rsidRDefault="00AC7D7F">
      <w:pPr>
        <w:jc w:val="both"/>
        <w:rPr>
          <w:sz w:val="18"/>
          <w:szCs w:val="18"/>
        </w:rPr>
      </w:pPr>
      <w:r>
        <w:rPr>
          <w:sz w:val="18"/>
          <w:szCs w:val="18"/>
        </w:rPr>
        <w:t>The research was structured to systematically evaluate the radiographic output, air KERMA (K</w:t>
      </w:r>
      <w:r>
        <w:rPr>
          <w:sz w:val="18"/>
          <w:szCs w:val="18"/>
          <w:vertAlign w:val="subscript"/>
        </w:rPr>
        <w:t>AIR</w:t>
      </w:r>
      <w:r>
        <w:rPr>
          <w:sz w:val="18"/>
          <w:szCs w:val="18"/>
        </w:rPr>
        <w:t>), backscatter factor (BSF), and entrance skin dose (</w:t>
      </w:r>
      <w:proofErr w:type="spellStart"/>
      <w:proofErr w:type="gramStart"/>
      <w:r>
        <w:rPr>
          <w:sz w:val="18"/>
          <w:szCs w:val="18"/>
        </w:rPr>
        <w:t>K</w:t>
      </w:r>
      <w:r>
        <w:rPr>
          <w:sz w:val="18"/>
          <w:szCs w:val="18"/>
          <w:vertAlign w:val="subscript"/>
        </w:rPr>
        <w:t>a,e</w:t>
      </w:r>
      <w:proofErr w:type="spellEnd"/>
      <w:proofErr w:type="gramEnd"/>
      <w:r>
        <w:rPr>
          <w:sz w:val="18"/>
          <w:szCs w:val="18"/>
        </w:rPr>
        <w:t>), as illustrated in Figure 1.</w:t>
      </w:r>
    </w:p>
    <w:p w14:paraId="111EA2BB" w14:textId="77777777" w:rsidR="004B6321" w:rsidRDefault="00AC7D7F">
      <w:pPr>
        <w:spacing w:before="115"/>
        <w:jc w:val="center"/>
        <w:rPr>
          <w:sz w:val="18"/>
          <w:szCs w:val="18"/>
        </w:rPr>
      </w:pPr>
      <w:r>
        <w:rPr>
          <w:noProof/>
          <w:sz w:val="18"/>
          <w:szCs w:val="18"/>
        </w:rPr>
        <w:drawing>
          <wp:inline distT="114300" distB="114300" distL="114300" distR="114300" wp14:anchorId="7D3332BE" wp14:editId="302EA7F3">
            <wp:extent cx="3124123" cy="246582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3124123" cy="2465825"/>
                    </a:xfrm>
                    <a:prstGeom prst="rect">
                      <a:avLst/>
                    </a:prstGeom>
                    <a:ln/>
                  </pic:spPr>
                </pic:pic>
              </a:graphicData>
            </a:graphic>
          </wp:inline>
        </w:drawing>
      </w:r>
    </w:p>
    <w:p w14:paraId="5F5592BC" w14:textId="77777777" w:rsidR="004B6321" w:rsidRDefault="00AC7D7F">
      <w:pPr>
        <w:spacing w:before="1"/>
        <w:ind w:left="3" w:right="11"/>
        <w:jc w:val="center"/>
        <w:rPr>
          <w:b/>
          <w:sz w:val="18"/>
          <w:szCs w:val="18"/>
        </w:rPr>
      </w:pPr>
      <w:r>
        <w:rPr>
          <w:b/>
          <w:sz w:val="18"/>
          <w:szCs w:val="18"/>
        </w:rPr>
        <w:t>Fig. 1. Representation of the methodology in the form of a flowchart</w:t>
      </w:r>
    </w:p>
    <w:p w14:paraId="70EB15FA" w14:textId="77777777" w:rsidR="004B6321" w:rsidRDefault="004B6321">
      <w:pPr>
        <w:spacing w:before="1"/>
        <w:ind w:left="3" w:right="11"/>
        <w:jc w:val="center"/>
        <w:rPr>
          <w:b/>
          <w:sz w:val="18"/>
          <w:szCs w:val="18"/>
        </w:rPr>
      </w:pPr>
    </w:p>
    <w:p w14:paraId="05B7164E" w14:textId="77777777" w:rsidR="004B6321" w:rsidRDefault="00AC7D7F">
      <w:pPr>
        <w:numPr>
          <w:ilvl w:val="1"/>
          <w:numId w:val="3"/>
        </w:numPr>
        <w:tabs>
          <w:tab w:val="left" w:pos="390"/>
        </w:tabs>
        <w:rPr>
          <w:sz w:val="18"/>
          <w:szCs w:val="18"/>
        </w:rPr>
      </w:pPr>
      <w:r>
        <w:rPr>
          <w:b/>
          <w:sz w:val="18"/>
          <w:szCs w:val="18"/>
        </w:rPr>
        <w:t>Quality Control of the Radiographic Equipment</w:t>
      </w:r>
    </w:p>
    <w:p w14:paraId="5BDF52D3" w14:textId="77777777" w:rsidR="004B6321" w:rsidRDefault="00AC7D7F">
      <w:pPr>
        <w:pBdr>
          <w:top w:val="nil"/>
          <w:left w:val="nil"/>
          <w:bottom w:val="nil"/>
          <w:right w:val="nil"/>
          <w:between w:val="nil"/>
        </w:pBdr>
        <w:spacing w:before="160"/>
        <w:ind w:left="23" w:right="24"/>
        <w:jc w:val="both"/>
        <w:rPr>
          <w:color w:val="000000"/>
          <w:sz w:val="18"/>
          <w:szCs w:val="18"/>
        </w:rPr>
      </w:pPr>
      <w:r>
        <w:rPr>
          <w:color w:val="000000"/>
          <w:sz w:val="18"/>
          <w:szCs w:val="18"/>
        </w:rPr>
        <w:t>Before the start of the study, quality control (QC) procedures for the radiographic equipment were carried out according to current guidelines and regulations [6,7] to ensure accurate and reliable results. Performing these procedures helps identify any technical failures and/or deviations in the operating parameters of the radiographic equipment.</w:t>
      </w:r>
    </w:p>
    <w:p w14:paraId="2179541A" w14:textId="77777777" w:rsidR="004B6321" w:rsidRDefault="004B6321">
      <w:pPr>
        <w:pBdr>
          <w:top w:val="nil"/>
          <w:left w:val="nil"/>
          <w:bottom w:val="nil"/>
          <w:right w:val="nil"/>
          <w:between w:val="nil"/>
        </w:pBdr>
        <w:spacing w:before="160"/>
        <w:ind w:left="23" w:right="24"/>
        <w:jc w:val="both"/>
        <w:rPr>
          <w:sz w:val="18"/>
          <w:szCs w:val="18"/>
        </w:rPr>
      </w:pPr>
    </w:p>
    <w:p w14:paraId="469C2F0E" w14:textId="77777777" w:rsidR="004B6321" w:rsidRDefault="00AC7D7F">
      <w:pPr>
        <w:numPr>
          <w:ilvl w:val="1"/>
          <w:numId w:val="3"/>
        </w:numPr>
        <w:tabs>
          <w:tab w:val="left" w:pos="390"/>
        </w:tabs>
        <w:rPr>
          <w:sz w:val="18"/>
          <w:szCs w:val="18"/>
        </w:rPr>
      </w:pPr>
      <w:r>
        <w:rPr>
          <w:b/>
          <w:sz w:val="18"/>
          <w:szCs w:val="18"/>
        </w:rPr>
        <w:t>Air KERMA Measurement</w:t>
      </w:r>
      <w:r w:rsidRPr="00B526BD">
        <w:rPr>
          <w:b/>
          <w:color w:val="FF0000"/>
          <w:sz w:val="18"/>
          <w:szCs w:val="18"/>
        </w:rPr>
        <w:t>s</w:t>
      </w:r>
    </w:p>
    <w:p w14:paraId="70C5FC1B" w14:textId="30B8A31A" w:rsidR="004B6321" w:rsidRDefault="00AC7D7F">
      <w:pPr>
        <w:pBdr>
          <w:top w:val="nil"/>
          <w:left w:val="nil"/>
          <w:bottom w:val="nil"/>
          <w:right w:val="nil"/>
          <w:between w:val="nil"/>
        </w:pBdr>
        <w:spacing w:before="162"/>
        <w:ind w:left="23" w:right="25"/>
        <w:jc w:val="both"/>
        <w:rPr>
          <w:color w:val="000000"/>
          <w:sz w:val="18"/>
          <w:szCs w:val="18"/>
        </w:rPr>
      </w:pPr>
      <w:r>
        <w:rPr>
          <w:sz w:val="18"/>
          <w:szCs w:val="18"/>
        </w:rPr>
        <w:t>Air KERMA was measured for nine different voltage values selected on the control panel of the radiographic unit. The radiation field size was standardized at 25 cm × 25 cm, and three measurements were recorded for each voltage setting while maintaining a constant tube current (mA) and exposure (</w:t>
      </w:r>
      <w:proofErr w:type="spellStart"/>
      <w:proofErr w:type="gramStart"/>
      <w:r w:rsidRPr="00B526BD">
        <w:rPr>
          <w:color w:val="FF0000"/>
          <w:sz w:val="18"/>
          <w:szCs w:val="18"/>
        </w:rPr>
        <w:t>mA.s</w:t>
      </w:r>
      <w:proofErr w:type="spellEnd"/>
      <w:proofErr w:type="gramEnd"/>
      <w:r>
        <w:rPr>
          <w:sz w:val="18"/>
          <w:szCs w:val="18"/>
        </w:rPr>
        <w:t>)</w:t>
      </w:r>
      <w:r w:rsidR="00B526BD" w:rsidRPr="00B526BD">
        <w:rPr>
          <w:color w:val="1F497D" w:themeColor="text2"/>
          <w:sz w:val="18"/>
          <w:szCs w:val="18"/>
        </w:rPr>
        <w:t>mAs</w:t>
      </w:r>
      <w:r>
        <w:rPr>
          <w:sz w:val="18"/>
          <w:szCs w:val="18"/>
        </w:rPr>
        <w:t>. The selected electrical parameters used in the measurement</w:t>
      </w:r>
      <w:r w:rsidRPr="00B526BD">
        <w:rPr>
          <w:color w:val="FF0000"/>
          <w:sz w:val="18"/>
          <w:szCs w:val="18"/>
        </w:rPr>
        <w:t>s</w:t>
      </w:r>
      <w:r>
        <w:rPr>
          <w:sz w:val="18"/>
          <w:szCs w:val="18"/>
        </w:rPr>
        <w:t xml:space="preserve"> are detailed in Table 1.</w:t>
      </w:r>
    </w:p>
    <w:p w14:paraId="766597B5" w14:textId="77777777" w:rsidR="004B6321" w:rsidRDefault="00AC7D7F">
      <w:pPr>
        <w:ind w:left="8" w:right="8"/>
        <w:jc w:val="center"/>
        <w:rPr>
          <w:b/>
          <w:sz w:val="18"/>
          <w:szCs w:val="18"/>
        </w:rPr>
      </w:pPr>
      <w:r>
        <w:rPr>
          <w:b/>
          <w:sz w:val="18"/>
          <w:szCs w:val="18"/>
        </w:rPr>
        <w:t>Table 1. Selected electrical parameters for Air KERMA measurements</w:t>
      </w:r>
    </w:p>
    <w:p w14:paraId="3279FD5B" w14:textId="77777777" w:rsidR="004B6321" w:rsidRDefault="004B6321">
      <w:pPr>
        <w:spacing w:before="1"/>
        <w:rPr>
          <w:b/>
          <w:sz w:val="18"/>
          <w:szCs w:val="18"/>
        </w:rPr>
      </w:pPr>
    </w:p>
    <w:tbl>
      <w:tblPr>
        <w:tblStyle w:val="a"/>
        <w:tblW w:w="9026" w:type="dxa"/>
        <w:tblInd w:w="23" w:type="dxa"/>
        <w:tblBorders>
          <w:top w:val="nil"/>
          <w:left w:val="nil"/>
          <w:bottom w:val="nil"/>
          <w:right w:val="nil"/>
          <w:insideH w:val="nil"/>
          <w:insideV w:val="nil"/>
        </w:tblBorders>
        <w:tblLayout w:type="fixed"/>
        <w:tblLook w:val="0000" w:firstRow="0" w:lastRow="0" w:firstColumn="0" w:lastColumn="0" w:noHBand="0" w:noVBand="0"/>
      </w:tblPr>
      <w:tblGrid>
        <w:gridCol w:w="2482"/>
        <w:gridCol w:w="1017"/>
        <w:gridCol w:w="548"/>
        <w:gridCol w:w="693"/>
        <w:gridCol w:w="693"/>
        <w:gridCol w:w="693"/>
        <w:gridCol w:w="693"/>
        <w:gridCol w:w="765"/>
        <w:gridCol w:w="675"/>
        <w:gridCol w:w="767"/>
      </w:tblGrid>
      <w:tr w:rsidR="004B6321" w14:paraId="36EDBC33" w14:textId="77777777">
        <w:trPr>
          <w:trHeight w:val="230"/>
        </w:trPr>
        <w:tc>
          <w:tcPr>
            <w:tcW w:w="2482" w:type="dxa"/>
            <w:tcBorders>
              <w:top w:val="single" w:sz="4" w:space="0" w:color="000000"/>
              <w:bottom w:val="single" w:sz="4" w:space="0" w:color="000000"/>
            </w:tcBorders>
          </w:tcPr>
          <w:p w14:paraId="0CF9569E" w14:textId="77777777" w:rsidR="004B6321" w:rsidRDefault="00AC7D7F">
            <w:pPr>
              <w:spacing w:line="210" w:lineRule="auto"/>
              <w:ind w:left="122"/>
              <w:rPr>
                <w:b/>
                <w:sz w:val="18"/>
                <w:szCs w:val="18"/>
              </w:rPr>
            </w:pPr>
            <w:r>
              <w:rPr>
                <w:b/>
                <w:sz w:val="18"/>
                <w:szCs w:val="18"/>
              </w:rPr>
              <w:t>Electrical Factors</w:t>
            </w:r>
          </w:p>
        </w:tc>
        <w:tc>
          <w:tcPr>
            <w:tcW w:w="1017" w:type="dxa"/>
            <w:tcBorders>
              <w:top w:val="single" w:sz="4" w:space="0" w:color="000000"/>
              <w:bottom w:val="single" w:sz="4" w:space="0" w:color="000000"/>
            </w:tcBorders>
          </w:tcPr>
          <w:p w14:paraId="547C949C" w14:textId="77777777" w:rsidR="004B6321" w:rsidRDefault="004B6321">
            <w:pPr>
              <w:rPr>
                <w:sz w:val="18"/>
                <w:szCs w:val="18"/>
              </w:rPr>
            </w:pPr>
          </w:p>
        </w:tc>
        <w:tc>
          <w:tcPr>
            <w:tcW w:w="548" w:type="dxa"/>
            <w:tcBorders>
              <w:top w:val="single" w:sz="4" w:space="0" w:color="000000"/>
              <w:bottom w:val="single" w:sz="4" w:space="0" w:color="000000"/>
            </w:tcBorders>
          </w:tcPr>
          <w:p w14:paraId="4A5DFAC4" w14:textId="77777777" w:rsidR="004B6321" w:rsidRDefault="004B6321">
            <w:pPr>
              <w:rPr>
                <w:sz w:val="18"/>
                <w:szCs w:val="18"/>
              </w:rPr>
            </w:pPr>
          </w:p>
        </w:tc>
        <w:tc>
          <w:tcPr>
            <w:tcW w:w="3537" w:type="dxa"/>
            <w:gridSpan w:val="5"/>
            <w:tcBorders>
              <w:top w:val="single" w:sz="4" w:space="0" w:color="000000"/>
              <w:bottom w:val="single" w:sz="4" w:space="0" w:color="000000"/>
            </w:tcBorders>
          </w:tcPr>
          <w:p w14:paraId="1269FFBB" w14:textId="77777777" w:rsidR="004B6321" w:rsidRDefault="00AC7D7F">
            <w:pPr>
              <w:spacing w:line="210" w:lineRule="auto"/>
              <w:ind w:left="467"/>
              <w:rPr>
                <w:b/>
                <w:sz w:val="18"/>
                <w:szCs w:val="18"/>
              </w:rPr>
            </w:pPr>
            <w:r>
              <w:rPr>
                <w:b/>
                <w:sz w:val="18"/>
                <w:szCs w:val="18"/>
              </w:rPr>
              <w:t>Selected Electrical Parameters</w:t>
            </w:r>
          </w:p>
        </w:tc>
        <w:tc>
          <w:tcPr>
            <w:tcW w:w="675" w:type="dxa"/>
            <w:tcBorders>
              <w:top w:val="single" w:sz="4" w:space="0" w:color="000000"/>
              <w:bottom w:val="single" w:sz="4" w:space="0" w:color="000000"/>
            </w:tcBorders>
          </w:tcPr>
          <w:p w14:paraId="07846A33" w14:textId="77777777" w:rsidR="004B6321" w:rsidRDefault="004B6321">
            <w:pPr>
              <w:rPr>
                <w:sz w:val="18"/>
                <w:szCs w:val="18"/>
              </w:rPr>
            </w:pPr>
          </w:p>
        </w:tc>
        <w:tc>
          <w:tcPr>
            <w:tcW w:w="767" w:type="dxa"/>
            <w:tcBorders>
              <w:top w:val="single" w:sz="4" w:space="0" w:color="000000"/>
              <w:bottom w:val="single" w:sz="4" w:space="0" w:color="000000"/>
            </w:tcBorders>
          </w:tcPr>
          <w:p w14:paraId="7DEAE204" w14:textId="77777777" w:rsidR="004B6321" w:rsidRDefault="004B6321">
            <w:pPr>
              <w:rPr>
                <w:sz w:val="18"/>
                <w:szCs w:val="18"/>
              </w:rPr>
            </w:pPr>
          </w:p>
        </w:tc>
      </w:tr>
      <w:tr w:rsidR="004B6321" w14:paraId="0F14ADD3" w14:textId="77777777">
        <w:trPr>
          <w:trHeight w:val="233"/>
        </w:trPr>
        <w:tc>
          <w:tcPr>
            <w:tcW w:w="2482" w:type="dxa"/>
            <w:tcBorders>
              <w:top w:val="single" w:sz="4" w:space="0" w:color="000000"/>
            </w:tcBorders>
          </w:tcPr>
          <w:p w14:paraId="5959B709" w14:textId="77777777" w:rsidR="004B6321" w:rsidRDefault="00AC7D7F">
            <w:pPr>
              <w:spacing w:line="213" w:lineRule="auto"/>
              <w:ind w:left="122"/>
              <w:rPr>
                <w:sz w:val="18"/>
                <w:szCs w:val="18"/>
              </w:rPr>
            </w:pPr>
            <w:r>
              <w:rPr>
                <w:sz w:val="18"/>
                <w:szCs w:val="18"/>
              </w:rPr>
              <w:t>Voltage (kV)</w:t>
            </w:r>
          </w:p>
        </w:tc>
        <w:tc>
          <w:tcPr>
            <w:tcW w:w="1017" w:type="dxa"/>
            <w:tcBorders>
              <w:top w:val="single" w:sz="4" w:space="0" w:color="000000"/>
            </w:tcBorders>
          </w:tcPr>
          <w:p w14:paraId="61CFAB2F" w14:textId="77777777" w:rsidR="004B6321" w:rsidRDefault="00AC7D7F">
            <w:pPr>
              <w:spacing w:line="213" w:lineRule="auto"/>
              <w:ind w:left="540"/>
              <w:rPr>
                <w:sz w:val="18"/>
                <w:szCs w:val="18"/>
              </w:rPr>
            </w:pPr>
            <w:r>
              <w:rPr>
                <w:sz w:val="18"/>
                <w:szCs w:val="18"/>
              </w:rPr>
              <w:t>40</w:t>
            </w:r>
          </w:p>
        </w:tc>
        <w:tc>
          <w:tcPr>
            <w:tcW w:w="548" w:type="dxa"/>
            <w:tcBorders>
              <w:top w:val="single" w:sz="4" w:space="0" w:color="000000"/>
            </w:tcBorders>
          </w:tcPr>
          <w:p w14:paraId="76E71EE2" w14:textId="77777777" w:rsidR="004B6321" w:rsidRDefault="00AC7D7F">
            <w:pPr>
              <w:spacing w:line="213" w:lineRule="auto"/>
              <w:ind w:left="91"/>
              <w:rPr>
                <w:sz w:val="18"/>
                <w:szCs w:val="18"/>
              </w:rPr>
            </w:pPr>
            <w:r>
              <w:rPr>
                <w:sz w:val="18"/>
                <w:szCs w:val="18"/>
              </w:rPr>
              <w:t>50</w:t>
            </w:r>
          </w:p>
        </w:tc>
        <w:tc>
          <w:tcPr>
            <w:tcW w:w="693" w:type="dxa"/>
            <w:tcBorders>
              <w:top w:val="single" w:sz="4" w:space="0" w:color="000000"/>
            </w:tcBorders>
          </w:tcPr>
          <w:p w14:paraId="1B98CB20" w14:textId="77777777" w:rsidR="004B6321" w:rsidRDefault="00AC7D7F">
            <w:pPr>
              <w:spacing w:line="213" w:lineRule="auto"/>
              <w:ind w:left="7" w:right="5"/>
              <w:jc w:val="center"/>
              <w:rPr>
                <w:sz w:val="18"/>
                <w:szCs w:val="18"/>
              </w:rPr>
            </w:pPr>
            <w:r>
              <w:rPr>
                <w:sz w:val="18"/>
                <w:szCs w:val="18"/>
              </w:rPr>
              <w:t>60</w:t>
            </w:r>
          </w:p>
        </w:tc>
        <w:tc>
          <w:tcPr>
            <w:tcW w:w="693" w:type="dxa"/>
            <w:tcBorders>
              <w:top w:val="single" w:sz="4" w:space="0" w:color="000000"/>
            </w:tcBorders>
          </w:tcPr>
          <w:p w14:paraId="4FB54A63" w14:textId="77777777" w:rsidR="004B6321" w:rsidRDefault="00AC7D7F">
            <w:pPr>
              <w:spacing w:line="213" w:lineRule="auto"/>
              <w:ind w:left="7" w:right="3"/>
              <w:jc w:val="center"/>
              <w:rPr>
                <w:sz w:val="18"/>
                <w:szCs w:val="18"/>
              </w:rPr>
            </w:pPr>
            <w:r>
              <w:rPr>
                <w:sz w:val="18"/>
                <w:szCs w:val="18"/>
              </w:rPr>
              <w:t>70</w:t>
            </w:r>
          </w:p>
        </w:tc>
        <w:tc>
          <w:tcPr>
            <w:tcW w:w="693" w:type="dxa"/>
            <w:tcBorders>
              <w:top w:val="single" w:sz="4" w:space="0" w:color="000000"/>
            </w:tcBorders>
          </w:tcPr>
          <w:p w14:paraId="78F3A7E8" w14:textId="77777777" w:rsidR="004B6321" w:rsidRDefault="00AC7D7F">
            <w:pPr>
              <w:spacing w:line="213" w:lineRule="auto"/>
              <w:ind w:left="7" w:right="1"/>
              <w:jc w:val="center"/>
              <w:rPr>
                <w:sz w:val="18"/>
                <w:szCs w:val="18"/>
              </w:rPr>
            </w:pPr>
            <w:r>
              <w:rPr>
                <w:sz w:val="18"/>
                <w:szCs w:val="18"/>
              </w:rPr>
              <w:t>81</w:t>
            </w:r>
          </w:p>
        </w:tc>
        <w:tc>
          <w:tcPr>
            <w:tcW w:w="693" w:type="dxa"/>
            <w:tcBorders>
              <w:top w:val="single" w:sz="4" w:space="0" w:color="000000"/>
            </w:tcBorders>
          </w:tcPr>
          <w:p w14:paraId="367D575C" w14:textId="77777777" w:rsidR="004B6321" w:rsidRDefault="00AC7D7F">
            <w:pPr>
              <w:spacing w:line="213" w:lineRule="auto"/>
              <w:ind w:left="7"/>
              <w:jc w:val="center"/>
              <w:rPr>
                <w:sz w:val="18"/>
                <w:szCs w:val="18"/>
              </w:rPr>
            </w:pPr>
            <w:r>
              <w:rPr>
                <w:sz w:val="18"/>
                <w:szCs w:val="18"/>
              </w:rPr>
              <w:t>90</w:t>
            </w:r>
          </w:p>
        </w:tc>
        <w:tc>
          <w:tcPr>
            <w:tcW w:w="765" w:type="dxa"/>
            <w:tcBorders>
              <w:top w:val="single" w:sz="4" w:space="0" w:color="000000"/>
            </w:tcBorders>
          </w:tcPr>
          <w:p w14:paraId="018D2371" w14:textId="77777777" w:rsidR="004B6321" w:rsidRDefault="00AC7D7F">
            <w:pPr>
              <w:spacing w:line="213" w:lineRule="auto"/>
              <w:ind w:left="240"/>
              <w:rPr>
                <w:sz w:val="18"/>
                <w:szCs w:val="18"/>
              </w:rPr>
            </w:pPr>
            <w:r>
              <w:rPr>
                <w:sz w:val="18"/>
                <w:szCs w:val="18"/>
              </w:rPr>
              <w:t>102</w:t>
            </w:r>
          </w:p>
        </w:tc>
        <w:tc>
          <w:tcPr>
            <w:tcW w:w="675" w:type="dxa"/>
            <w:tcBorders>
              <w:top w:val="single" w:sz="4" w:space="0" w:color="000000"/>
            </w:tcBorders>
          </w:tcPr>
          <w:p w14:paraId="1E955050" w14:textId="77777777" w:rsidR="004B6321" w:rsidRDefault="00AC7D7F">
            <w:pPr>
              <w:spacing w:line="213" w:lineRule="auto"/>
              <w:ind w:left="167"/>
              <w:rPr>
                <w:sz w:val="18"/>
                <w:szCs w:val="18"/>
              </w:rPr>
            </w:pPr>
            <w:r>
              <w:rPr>
                <w:sz w:val="18"/>
                <w:szCs w:val="18"/>
              </w:rPr>
              <w:t>109</w:t>
            </w:r>
          </w:p>
        </w:tc>
        <w:tc>
          <w:tcPr>
            <w:tcW w:w="767" w:type="dxa"/>
            <w:tcBorders>
              <w:top w:val="single" w:sz="4" w:space="0" w:color="000000"/>
            </w:tcBorders>
          </w:tcPr>
          <w:p w14:paraId="6136D19F" w14:textId="77777777" w:rsidR="004B6321" w:rsidRDefault="00AC7D7F">
            <w:pPr>
              <w:spacing w:line="213" w:lineRule="auto"/>
              <w:ind w:left="185"/>
              <w:rPr>
                <w:sz w:val="18"/>
                <w:szCs w:val="18"/>
              </w:rPr>
            </w:pPr>
            <w:r>
              <w:rPr>
                <w:sz w:val="18"/>
                <w:szCs w:val="18"/>
              </w:rPr>
              <w:t>120</w:t>
            </w:r>
          </w:p>
        </w:tc>
      </w:tr>
      <w:tr w:rsidR="004B6321" w14:paraId="7EBF66FB" w14:textId="77777777">
        <w:trPr>
          <w:trHeight w:val="230"/>
        </w:trPr>
        <w:tc>
          <w:tcPr>
            <w:tcW w:w="2482" w:type="dxa"/>
          </w:tcPr>
          <w:p w14:paraId="275D2669" w14:textId="77777777" w:rsidR="004B6321" w:rsidRDefault="00AC7D7F">
            <w:pPr>
              <w:spacing w:line="210" w:lineRule="auto"/>
              <w:ind w:left="122"/>
              <w:rPr>
                <w:sz w:val="18"/>
                <w:szCs w:val="18"/>
              </w:rPr>
            </w:pPr>
            <w:r>
              <w:rPr>
                <w:sz w:val="18"/>
                <w:szCs w:val="18"/>
              </w:rPr>
              <w:t>Electric current (mA)</w:t>
            </w:r>
          </w:p>
        </w:tc>
        <w:tc>
          <w:tcPr>
            <w:tcW w:w="1017" w:type="dxa"/>
          </w:tcPr>
          <w:p w14:paraId="3B974ACF" w14:textId="77777777" w:rsidR="004B6321" w:rsidRDefault="00AC7D7F">
            <w:pPr>
              <w:spacing w:line="210" w:lineRule="auto"/>
              <w:ind w:left="595"/>
              <w:rPr>
                <w:sz w:val="18"/>
                <w:szCs w:val="18"/>
              </w:rPr>
            </w:pPr>
            <w:r>
              <w:rPr>
                <w:sz w:val="18"/>
                <w:szCs w:val="18"/>
              </w:rPr>
              <w:t>200</w:t>
            </w:r>
          </w:p>
        </w:tc>
        <w:tc>
          <w:tcPr>
            <w:tcW w:w="548" w:type="dxa"/>
          </w:tcPr>
          <w:p w14:paraId="361DB7AC" w14:textId="77777777" w:rsidR="004B6321" w:rsidRDefault="004B6321">
            <w:pPr>
              <w:rPr>
                <w:sz w:val="18"/>
                <w:szCs w:val="18"/>
              </w:rPr>
            </w:pPr>
          </w:p>
        </w:tc>
        <w:tc>
          <w:tcPr>
            <w:tcW w:w="693" w:type="dxa"/>
          </w:tcPr>
          <w:p w14:paraId="2D1C1E79" w14:textId="77777777" w:rsidR="004B6321" w:rsidRDefault="004B6321">
            <w:pPr>
              <w:rPr>
                <w:sz w:val="18"/>
                <w:szCs w:val="18"/>
              </w:rPr>
            </w:pPr>
          </w:p>
        </w:tc>
        <w:tc>
          <w:tcPr>
            <w:tcW w:w="693" w:type="dxa"/>
          </w:tcPr>
          <w:p w14:paraId="2AC9CB65" w14:textId="77777777" w:rsidR="004B6321" w:rsidRDefault="004B6321">
            <w:pPr>
              <w:rPr>
                <w:sz w:val="18"/>
                <w:szCs w:val="18"/>
              </w:rPr>
            </w:pPr>
          </w:p>
        </w:tc>
        <w:tc>
          <w:tcPr>
            <w:tcW w:w="693" w:type="dxa"/>
          </w:tcPr>
          <w:p w14:paraId="1A8CA774" w14:textId="77777777" w:rsidR="004B6321" w:rsidRDefault="004B6321">
            <w:pPr>
              <w:rPr>
                <w:sz w:val="18"/>
                <w:szCs w:val="18"/>
              </w:rPr>
            </w:pPr>
          </w:p>
        </w:tc>
        <w:tc>
          <w:tcPr>
            <w:tcW w:w="693" w:type="dxa"/>
          </w:tcPr>
          <w:p w14:paraId="2100C4BD" w14:textId="77777777" w:rsidR="004B6321" w:rsidRDefault="004B6321">
            <w:pPr>
              <w:rPr>
                <w:sz w:val="18"/>
                <w:szCs w:val="18"/>
              </w:rPr>
            </w:pPr>
          </w:p>
        </w:tc>
        <w:tc>
          <w:tcPr>
            <w:tcW w:w="765" w:type="dxa"/>
          </w:tcPr>
          <w:p w14:paraId="358857F5" w14:textId="77777777" w:rsidR="004B6321" w:rsidRDefault="004B6321">
            <w:pPr>
              <w:rPr>
                <w:sz w:val="18"/>
                <w:szCs w:val="18"/>
              </w:rPr>
            </w:pPr>
          </w:p>
        </w:tc>
        <w:tc>
          <w:tcPr>
            <w:tcW w:w="675" w:type="dxa"/>
          </w:tcPr>
          <w:p w14:paraId="4AA32EEA" w14:textId="77777777" w:rsidR="004B6321" w:rsidRDefault="004B6321">
            <w:pPr>
              <w:rPr>
                <w:sz w:val="18"/>
                <w:szCs w:val="18"/>
              </w:rPr>
            </w:pPr>
          </w:p>
        </w:tc>
        <w:tc>
          <w:tcPr>
            <w:tcW w:w="767" w:type="dxa"/>
          </w:tcPr>
          <w:p w14:paraId="714BA9D6" w14:textId="77777777" w:rsidR="004B6321" w:rsidRDefault="004B6321">
            <w:pPr>
              <w:rPr>
                <w:sz w:val="18"/>
                <w:szCs w:val="18"/>
              </w:rPr>
            </w:pPr>
          </w:p>
        </w:tc>
      </w:tr>
      <w:tr w:rsidR="004B6321" w14:paraId="7A78A173" w14:textId="77777777">
        <w:trPr>
          <w:trHeight w:val="227"/>
        </w:trPr>
        <w:tc>
          <w:tcPr>
            <w:tcW w:w="2482" w:type="dxa"/>
            <w:tcBorders>
              <w:bottom w:val="single" w:sz="4" w:space="0" w:color="000000"/>
            </w:tcBorders>
          </w:tcPr>
          <w:p w14:paraId="0FDEAF49" w14:textId="77777777" w:rsidR="004B6321" w:rsidRDefault="00AC7D7F">
            <w:pPr>
              <w:spacing w:line="207" w:lineRule="auto"/>
              <w:ind w:left="122"/>
              <w:rPr>
                <w:sz w:val="18"/>
                <w:szCs w:val="18"/>
              </w:rPr>
            </w:pPr>
            <w:proofErr w:type="spellStart"/>
            <w:proofErr w:type="gramStart"/>
            <w:r w:rsidRPr="00B526BD">
              <w:rPr>
                <w:color w:val="FF0000"/>
                <w:sz w:val="18"/>
                <w:szCs w:val="18"/>
              </w:rPr>
              <w:t>mA.s</w:t>
            </w:r>
            <w:proofErr w:type="spellEnd"/>
            <w:proofErr w:type="gramEnd"/>
          </w:p>
        </w:tc>
        <w:tc>
          <w:tcPr>
            <w:tcW w:w="1017" w:type="dxa"/>
            <w:tcBorders>
              <w:bottom w:val="single" w:sz="4" w:space="0" w:color="000000"/>
            </w:tcBorders>
          </w:tcPr>
          <w:p w14:paraId="6CF73FFC" w14:textId="77777777" w:rsidR="004B6321" w:rsidRDefault="00AC7D7F">
            <w:pPr>
              <w:spacing w:line="207" w:lineRule="auto"/>
              <w:ind w:left="595"/>
              <w:rPr>
                <w:sz w:val="18"/>
                <w:szCs w:val="18"/>
              </w:rPr>
            </w:pPr>
            <w:r>
              <w:rPr>
                <w:sz w:val="18"/>
                <w:szCs w:val="18"/>
              </w:rPr>
              <w:t>40</w:t>
            </w:r>
          </w:p>
        </w:tc>
        <w:tc>
          <w:tcPr>
            <w:tcW w:w="548" w:type="dxa"/>
            <w:tcBorders>
              <w:bottom w:val="single" w:sz="4" w:space="0" w:color="000000"/>
            </w:tcBorders>
          </w:tcPr>
          <w:p w14:paraId="645E96CA" w14:textId="77777777" w:rsidR="004B6321" w:rsidRDefault="004B6321">
            <w:pPr>
              <w:rPr>
                <w:sz w:val="18"/>
                <w:szCs w:val="18"/>
              </w:rPr>
            </w:pPr>
          </w:p>
        </w:tc>
        <w:tc>
          <w:tcPr>
            <w:tcW w:w="693" w:type="dxa"/>
            <w:tcBorders>
              <w:bottom w:val="single" w:sz="4" w:space="0" w:color="000000"/>
            </w:tcBorders>
          </w:tcPr>
          <w:p w14:paraId="1BCBA11F" w14:textId="77777777" w:rsidR="004B6321" w:rsidRDefault="004B6321">
            <w:pPr>
              <w:rPr>
                <w:sz w:val="18"/>
                <w:szCs w:val="18"/>
              </w:rPr>
            </w:pPr>
          </w:p>
        </w:tc>
        <w:tc>
          <w:tcPr>
            <w:tcW w:w="693" w:type="dxa"/>
            <w:tcBorders>
              <w:bottom w:val="single" w:sz="4" w:space="0" w:color="000000"/>
            </w:tcBorders>
          </w:tcPr>
          <w:p w14:paraId="6DF0DEA7" w14:textId="77777777" w:rsidR="004B6321" w:rsidRDefault="004B6321">
            <w:pPr>
              <w:rPr>
                <w:sz w:val="18"/>
                <w:szCs w:val="18"/>
              </w:rPr>
            </w:pPr>
          </w:p>
        </w:tc>
        <w:tc>
          <w:tcPr>
            <w:tcW w:w="693" w:type="dxa"/>
            <w:tcBorders>
              <w:bottom w:val="single" w:sz="4" w:space="0" w:color="000000"/>
            </w:tcBorders>
          </w:tcPr>
          <w:p w14:paraId="4C9A95F1" w14:textId="77777777" w:rsidR="004B6321" w:rsidRDefault="004B6321">
            <w:pPr>
              <w:rPr>
                <w:sz w:val="18"/>
                <w:szCs w:val="18"/>
              </w:rPr>
            </w:pPr>
          </w:p>
        </w:tc>
        <w:tc>
          <w:tcPr>
            <w:tcW w:w="693" w:type="dxa"/>
            <w:tcBorders>
              <w:bottom w:val="single" w:sz="4" w:space="0" w:color="000000"/>
            </w:tcBorders>
          </w:tcPr>
          <w:p w14:paraId="61772055" w14:textId="77777777" w:rsidR="004B6321" w:rsidRDefault="004B6321">
            <w:pPr>
              <w:rPr>
                <w:sz w:val="18"/>
                <w:szCs w:val="18"/>
              </w:rPr>
            </w:pPr>
          </w:p>
        </w:tc>
        <w:tc>
          <w:tcPr>
            <w:tcW w:w="765" w:type="dxa"/>
            <w:tcBorders>
              <w:bottom w:val="single" w:sz="4" w:space="0" w:color="000000"/>
            </w:tcBorders>
          </w:tcPr>
          <w:p w14:paraId="3220384B" w14:textId="77777777" w:rsidR="004B6321" w:rsidRDefault="004B6321">
            <w:pPr>
              <w:rPr>
                <w:sz w:val="18"/>
                <w:szCs w:val="18"/>
              </w:rPr>
            </w:pPr>
          </w:p>
        </w:tc>
        <w:tc>
          <w:tcPr>
            <w:tcW w:w="675" w:type="dxa"/>
            <w:tcBorders>
              <w:bottom w:val="single" w:sz="4" w:space="0" w:color="000000"/>
            </w:tcBorders>
          </w:tcPr>
          <w:p w14:paraId="191C5FCD" w14:textId="77777777" w:rsidR="004B6321" w:rsidRDefault="004B6321">
            <w:pPr>
              <w:rPr>
                <w:sz w:val="18"/>
                <w:szCs w:val="18"/>
              </w:rPr>
            </w:pPr>
          </w:p>
        </w:tc>
        <w:tc>
          <w:tcPr>
            <w:tcW w:w="767" w:type="dxa"/>
            <w:tcBorders>
              <w:bottom w:val="single" w:sz="4" w:space="0" w:color="000000"/>
            </w:tcBorders>
          </w:tcPr>
          <w:p w14:paraId="70940B0B" w14:textId="77777777" w:rsidR="004B6321" w:rsidRDefault="004B6321">
            <w:pPr>
              <w:rPr>
                <w:sz w:val="18"/>
                <w:szCs w:val="18"/>
              </w:rPr>
            </w:pPr>
          </w:p>
        </w:tc>
      </w:tr>
    </w:tbl>
    <w:p w14:paraId="00D6ADBF" w14:textId="77777777" w:rsidR="004B6321" w:rsidRDefault="004B6321">
      <w:pPr>
        <w:spacing w:before="10"/>
        <w:rPr>
          <w:b/>
          <w:sz w:val="18"/>
          <w:szCs w:val="18"/>
        </w:rPr>
      </w:pPr>
    </w:p>
    <w:p w14:paraId="46D41A54" w14:textId="77777777" w:rsidR="004B6321" w:rsidRDefault="004B6321">
      <w:pPr>
        <w:pBdr>
          <w:top w:val="nil"/>
          <w:left w:val="nil"/>
          <w:bottom w:val="nil"/>
          <w:right w:val="nil"/>
          <w:between w:val="nil"/>
        </w:pBdr>
        <w:spacing w:before="162"/>
        <w:ind w:left="23" w:right="25"/>
        <w:jc w:val="both"/>
        <w:rPr>
          <w:sz w:val="18"/>
          <w:szCs w:val="18"/>
        </w:rPr>
      </w:pPr>
    </w:p>
    <w:p w14:paraId="5202ED38" w14:textId="77777777" w:rsidR="004B6321" w:rsidRDefault="00AC7D7F">
      <w:pPr>
        <w:pBdr>
          <w:top w:val="nil"/>
          <w:left w:val="nil"/>
          <w:bottom w:val="nil"/>
          <w:right w:val="nil"/>
          <w:between w:val="nil"/>
        </w:pBdr>
        <w:spacing w:before="160"/>
        <w:ind w:left="23" w:right="24"/>
        <w:jc w:val="both"/>
        <w:rPr>
          <w:b/>
          <w:color w:val="000000"/>
          <w:sz w:val="18"/>
          <w:szCs w:val="18"/>
        </w:rPr>
        <w:sectPr w:rsidR="004B6321">
          <w:headerReference w:type="even" r:id="rId15"/>
          <w:headerReference w:type="default" r:id="rId16"/>
          <w:footerReference w:type="default" r:id="rId17"/>
          <w:headerReference w:type="first" r:id="rId18"/>
          <w:pgSz w:w="11910" w:h="16840"/>
          <w:pgMar w:top="1640" w:right="1417" w:bottom="1260" w:left="1417" w:header="1440" w:footer="1068" w:gutter="0"/>
          <w:pgNumType w:start="66"/>
          <w:cols w:space="720"/>
        </w:sectPr>
      </w:pPr>
      <w:r>
        <w:rPr>
          <w:color w:val="000000"/>
          <w:sz w:val="18"/>
          <w:szCs w:val="18"/>
        </w:rPr>
        <w:t>To obtain the measurement</w:t>
      </w:r>
      <w:r w:rsidRPr="0042409E">
        <w:rPr>
          <w:color w:val="FF0000"/>
          <w:sz w:val="18"/>
          <w:szCs w:val="18"/>
        </w:rPr>
        <w:t>s</w:t>
      </w:r>
      <w:r>
        <w:rPr>
          <w:color w:val="000000"/>
          <w:sz w:val="18"/>
          <w:szCs w:val="18"/>
        </w:rPr>
        <w:t xml:space="preserve"> of K</w:t>
      </w:r>
      <w:r>
        <w:rPr>
          <w:color w:val="000000"/>
          <w:sz w:val="18"/>
          <w:szCs w:val="18"/>
          <w:vertAlign w:val="subscript"/>
        </w:rPr>
        <w:t>AIR</w:t>
      </w:r>
      <w:r>
        <w:rPr>
          <w:color w:val="000000"/>
          <w:sz w:val="18"/>
          <w:szCs w:val="18"/>
        </w:rPr>
        <w:t>, a dosimetry set and a phantom object (PO) consisting of a plastic box measuring 39 x 26.5 x 22.0 cm³ (length, width, and height, respectively) filled with water were used to simulate the patient on the table. A radiation field of 25 cm x 25 cm was opened, the distance between the tube focal point and the table was adjusted to 100 cm, and the Source-to-Image Distance (SID) used was 80 cm</w:t>
      </w:r>
      <w:r>
        <w:rPr>
          <w:sz w:val="18"/>
          <w:szCs w:val="18"/>
        </w:rPr>
        <w:t>.</w:t>
      </w:r>
    </w:p>
    <w:p w14:paraId="55536771" w14:textId="11B0B409" w:rsidR="004B6321" w:rsidRDefault="00AC7D7F">
      <w:pPr>
        <w:pBdr>
          <w:top w:val="nil"/>
          <w:left w:val="nil"/>
          <w:bottom w:val="nil"/>
          <w:right w:val="nil"/>
          <w:between w:val="nil"/>
        </w:pBdr>
        <w:spacing w:before="93"/>
        <w:jc w:val="both"/>
        <w:rPr>
          <w:color w:val="000000"/>
          <w:sz w:val="18"/>
          <w:szCs w:val="18"/>
        </w:rPr>
      </w:pPr>
      <w:proofErr w:type="gramStart"/>
      <w:r w:rsidRPr="0042409E">
        <w:rPr>
          <w:color w:val="FF0000"/>
          <w:sz w:val="18"/>
          <w:szCs w:val="18"/>
        </w:rPr>
        <w:t>Fig</w:t>
      </w:r>
      <w:r w:rsidRPr="0042409E">
        <w:rPr>
          <w:color w:val="1F497D" w:themeColor="text2"/>
          <w:sz w:val="18"/>
          <w:szCs w:val="18"/>
        </w:rPr>
        <w:t>.</w:t>
      </w:r>
      <w:r w:rsidR="0042409E" w:rsidRPr="0042409E">
        <w:rPr>
          <w:color w:val="1F497D" w:themeColor="text2"/>
          <w:sz w:val="18"/>
          <w:szCs w:val="18"/>
        </w:rPr>
        <w:t>(</w:t>
      </w:r>
      <w:proofErr w:type="gramEnd"/>
      <w:r w:rsidR="0042409E" w:rsidRPr="0042409E">
        <w:rPr>
          <w:color w:val="1F497D" w:themeColor="text2"/>
          <w:sz w:val="18"/>
          <w:szCs w:val="18"/>
        </w:rPr>
        <w:t>Figure)</w:t>
      </w:r>
      <w:r w:rsidRPr="0042409E">
        <w:rPr>
          <w:color w:val="1F497D" w:themeColor="text2"/>
          <w:sz w:val="18"/>
          <w:szCs w:val="18"/>
        </w:rPr>
        <w:t xml:space="preserve"> </w:t>
      </w:r>
      <w:r>
        <w:rPr>
          <w:color w:val="000000"/>
          <w:sz w:val="18"/>
          <w:szCs w:val="18"/>
        </w:rPr>
        <w:t xml:space="preserve">2 depicts the X-ray tube, typical beam geometry for obtaining the </w:t>
      </w:r>
      <w:r w:rsidRPr="0042409E">
        <w:rPr>
          <w:color w:val="FF0000"/>
          <w:sz w:val="18"/>
          <w:szCs w:val="18"/>
        </w:rPr>
        <w:t>typical</w:t>
      </w:r>
      <w:r>
        <w:rPr>
          <w:color w:val="000000"/>
          <w:sz w:val="18"/>
          <w:szCs w:val="18"/>
        </w:rPr>
        <w:t xml:space="preserve"> radiographic examination, and identification of the main parameters used for medical exposure measurements.</w:t>
      </w:r>
    </w:p>
    <w:p w14:paraId="7BB43BAE" w14:textId="77777777" w:rsidR="004B6321" w:rsidRDefault="004B6321">
      <w:pPr>
        <w:spacing w:line="235" w:lineRule="auto"/>
        <w:ind w:left="11" w:right="6"/>
        <w:jc w:val="center"/>
        <w:rPr>
          <w:sz w:val="18"/>
          <w:szCs w:val="18"/>
        </w:rPr>
      </w:pPr>
    </w:p>
    <w:p w14:paraId="4C62760D" w14:textId="77777777" w:rsidR="004B6321" w:rsidRDefault="00AC7D7F">
      <w:pPr>
        <w:spacing w:line="235" w:lineRule="auto"/>
        <w:ind w:left="11" w:right="6"/>
        <w:jc w:val="center"/>
        <w:rPr>
          <w:sz w:val="18"/>
          <w:szCs w:val="18"/>
        </w:rPr>
      </w:pPr>
      <w:r>
        <w:rPr>
          <w:noProof/>
          <w:sz w:val="18"/>
          <w:szCs w:val="18"/>
        </w:rPr>
        <w:drawing>
          <wp:inline distT="0" distB="0" distL="0" distR="0" wp14:anchorId="08EDD1C0" wp14:editId="26945645">
            <wp:extent cx="4834215" cy="2866644"/>
            <wp:effectExtent l="0" t="0" r="0" b="0"/>
            <wp:docPr id="6" name="image1.jpg" descr="Diagrama  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Diagrama  Descrição gerada automaticamente"/>
                    <pic:cNvPicPr preferRelativeResize="0"/>
                  </pic:nvPicPr>
                  <pic:blipFill>
                    <a:blip r:embed="rId19"/>
                    <a:srcRect/>
                    <a:stretch>
                      <a:fillRect/>
                    </a:stretch>
                  </pic:blipFill>
                  <pic:spPr>
                    <a:xfrm>
                      <a:off x="0" y="0"/>
                      <a:ext cx="4834215" cy="2866644"/>
                    </a:xfrm>
                    <a:prstGeom prst="rect">
                      <a:avLst/>
                    </a:prstGeom>
                    <a:ln/>
                  </pic:spPr>
                </pic:pic>
              </a:graphicData>
            </a:graphic>
          </wp:inline>
        </w:drawing>
      </w:r>
    </w:p>
    <w:p w14:paraId="7857A3AA" w14:textId="77777777" w:rsidR="004B6321" w:rsidRDefault="00AC7D7F">
      <w:pPr>
        <w:spacing w:line="235" w:lineRule="auto"/>
        <w:ind w:left="11" w:right="6"/>
        <w:jc w:val="center"/>
        <w:rPr>
          <w:b/>
          <w:sz w:val="18"/>
          <w:szCs w:val="18"/>
        </w:rPr>
      </w:pPr>
      <w:r>
        <w:rPr>
          <w:b/>
          <w:sz w:val="18"/>
          <w:szCs w:val="18"/>
        </w:rPr>
        <w:t>Fig. 2. Illustration of the geometry adopted for measurements of K</w:t>
      </w:r>
      <w:r>
        <w:rPr>
          <w:b/>
          <w:sz w:val="18"/>
          <w:szCs w:val="18"/>
          <w:vertAlign w:val="subscript"/>
        </w:rPr>
        <w:t>AIR</w:t>
      </w:r>
      <w:r>
        <w:rPr>
          <w:b/>
          <w:sz w:val="18"/>
          <w:szCs w:val="18"/>
        </w:rPr>
        <w:t xml:space="preserve">, </w:t>
      </w:r>
      <w:proofErr w:type="spellStart"/>
      <w:proofErr w:type="gramStart"/>
      <w:r>
        <w:rPr>
          <w:b/>
          <w:sz w:val="18"/>
          <w:szCs w:val="18"/>
        </w:rPr>
        <w:t>K</w:t>
      </w:r>
      <w:r>
        <w:rPr>
          <w:b/>
          <w:sz w:val="18"/>
          <w:szCs w:val="18"/>
          <w:vertAlign w:val="subscript"/>
        </w:rPr>
        <w:t>a,i</w:t>
      </w:r>
      <w:proofErr w:type="spellEnd"/>
      <w:proofErr w:type="gramEnd"/>
      <w:r>
        <w:rPr>
          <w:b/>
          <w:sz w:val="18"/>
          <w:szCs w:val="18"/>
        </w:rPr>
        <w:t xml:space="preserve">, </w:t>
      </w:r>
      <w:proofErr w:type="spellStart"/>
      <w:r>
        <w:rPr>
          <w:b/>
          <w:sz w:val="18"/>
          <w:szCs w:val="18"/>
        </w:rPr>
        <w:t>K</w:t>
      </w:r>
      <w:r>
        <w:rPr>
          <w:b/>
          <w:sz w:val="18"/>
          <w:szCs w:val="18"/>
          <w:vertAlign w:val="subscript"/>
        </w:rPr>
        <w:t>a,e</w:t>
      </w:r>
      <w:proofErr w:type="spellEnd"/>
      <w:r>
        <w:rPr>
          <w:b/>
          <w:sz w:val="18"/>
          <w:szCs w:val="18"/>
        </w:rPr>
        <w:t>, and backscatter (BSC)</w:t>
      </w:r>
    </w:p>
    <w:p w14:paraId="552EB3E2" w14:textId="77777777" w:rsidR="004B6321" w:rsidRDefault="004B6321">
      <w:pPr>
        <w:spacing w:line="235" w:lineRule="auto"/>
        <w:ind w:left="11" w:right="6"/>
        <w:jc w:val="center"/>
        <w:rPr>
          <w:b/>
          <w:sz w:val="18"/>
          <w:szCs w:val="18"/>
        </w:rPr>
      </w:pPr>
    </w:p>
    <w:p w14:paraId="7BB7BA24" w14:textId="77777777" w:rsidR="004B6321" w:rsidRDefault="00AC7D7F">
      <w:pPr>
        <w:ind w:left="23"/>
        <w:jc w:val="both"/>
        <w:rPr>
          <w:sz w:val="18"/>
          <w:szCs w:val="18"/>
        </w:rPr>
      </w:pPr>
      <w:r>
        <w:rPr>
          <w:sz w:val="18"/>
          <w:szCs w:val="18"/>
        </w:rPr>
        <w:t>The output value was determined by the ratio between the average K</w:t>
      </w:r>
      <w:r>
        <w:rPr>
          <w:sz w:val="18"/>
          <w:szCs w:val="18"/>
          <w:vertAlign w:val="subscript"/>
        </w:rPr>
        <w:t>AIR</w:t>
      </w:r>
      <w:r>
        <w:rPr>
          <w:sz w:val="18"/>
          <w:szCs w:val="18"/>
        </w:rPr>
        <w:t xml:space="preserve"> readings obtained for each kV and </w:t>
      </w:r>
      <w:proofErr w:type="spellStart"/>
      <w:proofErr w:type="gramStart"/>
      <w:r>
        <w:rPr>
          <w:sz w:val="18"/>
          <w:szCs w:val="18"/>
        </w:rPr>
        <w:t>mA.s</w:t>
      </w:r>
      <w:proofErr w:type="spellEnd"/>
      <w:proofErr w:type="gramEnd"/>
      <w:r>
        <w:rPr>
          <w:sz w:val="18"/>
          <w:szCs w:val="18"/>
        </w:rPr>
        <w:t xml:space="preserve"> value used. Furthermore, potential differences between the nominal and actual values of kV and </w:t>
      </w:r>
      <w:proofErr w:type="spellStart"/>
      <w:proofErr w:type="gramStart"/>
      <w:r>
        <w:rPr>
          <w:sz w:val="18"/>
          <w:szCs w:val="18"/>
        </w:rPr>
        <w:t>mA.s</w:t>
      </w:r>
      <w:proofErr w:type="spellEnd"/>
      <w:proofErr w:type="gramEnd"/>
      <w:r>
        <w:rPr>
          <w:sz w:val="18"/>
          <w:szCs w:val="18"/>
        </w:rPr>
        <w:t xml:space="preserve"> across the entire operating range of the radiographic equipment were also checked, according to Equation 1.</w:t>
      </w:r>
    </w:p>
    <w:p w14:paraId="526CFD80" w14:textId="77777777" w:rsidR="004B6321" w:rsidRDefault="00AC7D7F">
      <w:pPr>
        <w:spacing w:before="230"/>
        <w:ind w:left="23"/>
        <w:jc w:val="right"/>
        <w:rPr>
          <w:sz w:val="18"/>
          <w:szCs w:val="18"/>
        </w:rPr>
      </w:pPr>
      <m:oMath>
        <m:r>
          <w:rPr>
            <w:rFonts w:ascii="Cambria Math" w:hAnsi="Cambria Math"/>
            <w:sz w:val="20"/>
            <w:szCs w:val="20"/>
          </w:rPr>
          <m:t>Output=</m:t>
        </m:r>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AIR</m:t>
                </m:r>
              </m:sub>
            </m:sSub>
          </m:num>
          <m:den>
            <m:r>
              <w:rPr>
                <w:rFonts w:ascii="Cambria Math" w:hAnsi="Cambria Math"/>
                <w:sz w:val="20"/>
                <w:szCs w:val="20"/>
              </w:rPr>
              <m:t>mA.s</m:t>
            </m:r>
          </m:den>
        </m:f>
        <m:r>
          <w:rPr>
            <w:rFonts w:ascii="Cambria Math" w:hAnsi="Cambria Math"/>
            <w:sz w:val="20"/>
            <w:szCs w:val="20"/>
          </w:rPr>
          <m:t xml:space="preserve"> </m:t>
        </m:r>
      </m:oMath>
      <w:r>
        <w:rPr>
          <w:sz w:val="20"/>
          <w:szCs w:val="20"/>
        </w:rPr>
        <w:t xml:space="preserve">       </w:t>
      </w:r>
      <w:r>
        <w:rPr>
          <w:sz w:val="18"/>
          <w:szCs w:val="18"/>
        </w:rPr>
        <w:t xml:space="preserve">                                                                      (1)</w:t>
      </w:r>
    </w:p>
    <w:p w14:paraId="3A45EC3F" w14:textId="77777777" w:rsidR="004B6321" w:rsidRDefault="004B6321">
      <w:pPr>
        <w:pBdr>
          <w:top w:val="nil"/>
          <w:left w:val="nil"/>
          <w:bottom w:val="nil"/>
          <w:right w:val="nil"/>
          <w:between w:val="nil"/>
        </w:pBdr>
        <w:ind w:left="23"/>
        <w:jc w:val="both"/>
        <w:rPr>
          <w:sz w:val="18"/>
          <w:szCs w:val="18"/>
        </w:rPr>
      </w:pPr>
    </w:p>
    <w:p w14:paraId="2784F113" w14:textId="77777777" w:rsidR="004B6321" w:rsidRDefault="00AC7D7F">
      <w:pPr>
        <w:pBdr>
          <w:top w:val="nil"/>
          <w:left w:val="nil"/>
          <w:bottom w:val="nil"/>
          <w:right w:val="nil"/>
          <w:between w:val="nil"/>
        </w:pBdr>
        <w:ind w:left="23"/>
        <w:jc w:val="both"/>
        <w:rPr>
          <w:color w:val="000000"/>
          <w:sz w:val="18"/>
          <w:szCs w:val="18"/>
        </w:rPr>
      </w:pPr>
      <w:r>
        <w:rPr>
          <w:color w:val="000000"/>
          <w:sz w:val="18"/>
          <w:szCs w:val="18"/>
        </w:rPr>
        <w:t>During the radiographic examination, the X-ray beam consists partly of primary radiation, which penetrates a specific region of the patient and registers information of the internal anatomy of interest on the detector due to transmitted radiation. Additionally, it includes scattered radiation (backscatter), which contributes to the overall radiation dose received by the patient [8].</w:t>
      </w:r>
    </w:p>
    <w:p w14:paraId="3221249E" w14:textId="77777777" w:rsidR="004B6321" w:rsidRDefault="00AC7D7F">
      <w:pPr>
        <w:numPr>
          <w:ilvl w:val="1"/>
          <w:numId w:val="3"/>
        </w:numPr>
        <w:tabs>
          <w:tab w:val="left" w:pos="475"/>
        </w:tabs>
        <w:spacing w:before="93"/>
        <w:ind w:left="475" w:right="19"/>
        <w:rPr>
          <w:sz w:val="18"/>
          <w:szCs w:val="18"/>
        </w:rPr>
      </w:pPr>
      <w:r w:rsidRPr="00F606BD">
        <w:rPr>
          <w:b/>
          <w:sz w:val="18"/>
          <w:szCs w:val="18"/>
        </w:rPr>
        <w:t xml:space="preserve">Measurements </w:t>
      </w:r>
      <w:r>
        <w:rPr>
          <w:b/>
          <w:sz w:val="18"/>
          <w:szCs w:val="18"/>
        </w:rPr>
        <w:t>of the Backscatter Factor</w:t>
      </w:r>
    </w:p>
    <w:p w14:paraId="3C869C83" w14:textId="77777777" w:rsidR="004B6321" w:rsidRDefault="00AC7D7F">
      <w:pPr>
        <w:pBdr>
          <w:top w:val="nil"/>
          <w:left w:val="nil"/>
          <w:bottom w:val="nil"/>
          <w:right w:val="nil"/>
          <w:between w:val="nil"/>
        </w:pBdr>
        <w:spacing w:before="228"/>
        <w:ind w:left="23" w:right="19"/>
        <w:jc w:val="both"/>
        <w:rPr>
          <w:sz w:val="18"/>
          <w:szCs w:val="18"/>
        </w:rPr>
      </w:pPr>
      <w:r>
        <w:rPr>
          <w:sz w:val="18"/>
          <w:szCs w:val="18"/>
        </w:rPr>
        <w:t>To quantify the backscatter factor, the radiation detector was positioned as illustrated in Figure 2, ensuring accurate alignment. Measurements of K</w:t>
      </w:r>
      <w:r>
        <w:rPr>
          <w:sz w:val="18"/>
          <w:szCs w:val="18"/>
          <w:vertAlign w:val="subscript"/>
        </w:rPr>
        <w:t>AIR</w:t>
      </w:r>
      <w:r>
        <w:rPr>
          <w:sz w:val="18"/>
          <w:szCs w:val="18"/>
        </w:rPr>
        <w:t xml:space="preserve"> were performed under two conditions:</w:t>
      </w:r>
    </w:p>
    <w:p w14:paraId="132F22A3" w14:textId="77777777" w:rsidR="004B6321" w:rsidRDefault="00AC7D7F">
      <w:pPr>
        <w:numPr>
          <w:ilvl w:val="0"/>
          <w:numId w:val="1"/>
        </w:numPr>
        <w:pBdr>
          <w:top w:val="nil"/>
          <w:left w:val="nil"/>
          <w:bottom w:val="nil"/>
          <w:right w:val="nil"/>
          <w:between w:val="nil"/>
        </w:pBdr>
        <w:spacing w:before="228"/>
        <w:ind w:right="19"/>
        <w:jc w:val="both"/>
        <w:rPr>
          <w:sz w:val="18"/>
          <w:szCs w:val="18"/>
        </w:rPr>
      </w:pPr>
      <w:r>
        <w:rPr>
          <w:b/>
          <w:sz w:val="18"/>
          <w:szCs w:val="18"/>
        </w:rPr>
        <w:t>Without phantom water fill:</w:t>
      </w:r>
      <w:r>
        <w:rPr>
          <w:sz w:val="18"/>
          <w:szCs w:val="18"/>
        </w:rPr>
        <w:t xml:space="preserve"> With the dome positioned over the table at 80 cm. Three readings were taken for each kV setting, totaling 27 measurements (Fig. 2(A)).</w:t>
      </w:r>
    </w:p>
    <w:p w14:paraId="125080EA" w14:textId="77777777" w:rsidR="004B6321" w:rsidRDefault="00AC7D7F">
      <w:pPr>
        <w:numPr>
          <w:ilvl w:val="0"/>
          <w:numId w:val="1"/>
        </w:numPr>
        <w:pBdr>
          <w:top w:val="nil"/>
          <w:left w:val="nil"/>
          <w:bottom w:val="nil"/>
          <w:right w:val="nil"/>
          <w:between w:val="nil"/>
        </w:pBdr>
        <w:ind w:right="19"/>
        <w:jc w:val="both"/>
        <w:rPr>
          <w:sz w:val="18"/>
          <w:szCs w:val="18"/>
        </w:rPr>
      </w:pPr>
      <w:r>
        <w:rPr>
          <w:b/>
          <w:sz w:val="18"/>
          <w:szCs w:val="18"/>
        </w:rPr>
        <w:t>With phantom water fill:</w:t>
      </w:r>
      <w:r>
        <w:rPr>
          <w:sz w:val="18"/>
          <w:szCs w:val="18"/>
        </w:rPr>
        <w:t xml:space="preserve"> A plastic box was filled with water to a thickness of 20 cm during the measurement. Again, three readings of K</w:t>
      </w:r>
      <w:r>
        <w:rPr>
          <w:sz w:val="18"/>
          <w:szCs w:val="18"/>
          <w:vertAlign w:val="subscript"/>
        </w:rPr>
        <w:t>AIR</w:t>
      </w:r>
      <w:r>
        <w:rPr>
          <w:sz w:val="18"/>
          <w:szCs w:val="18"/>
        </w:rPr>
        <w:t xml:space="preserve"> were taken for each voltage value, totaling an additional 27 readings with the addition of water (Fig. 2(B)).</w:t>
      </w:r>
    </w:p>
    <w:p w14:paraId="356E3F3D" w14:textId="77777777" w:rsidR="004B6321" w:rsidRDefault="004B6321">
      <w:pPr>
        <w:pBdr>
          <w:top w:val="nil"/>
          <w:left w:val="nil"/>
          <w:bottom w:val="nil"/>
          <w:right w:val="nil"/>
          <w:between w:val="nil"/>
        </w:pBdr>
        <w:spacing w:before="228"/>
        <w:ind w:left="23" w:right="19"/>
        <w:jc w:val="both"/>
        <w:rPr>
          <w:color w:val="000000"/>
          <w:sz w:val="18"/>
          <w:szCs w:val="18"/>
        </w:rPr>
      </w:pPr>
    </w:p>
    <w:p w14:paraId="617CE3C5" w14:textId="77777777" w:rsidR="004B6321" w:rsidRDefault="00AC7D7F">
      <w:pPr>
        <w:pBdr>
          <w:top w:val="nil"/>
          <w:left w:val="nil"/>
          <w:bottom w:val="nil"/>
          <w:right w:val="nil"/>
          <w:between w:val="nil"/>
        </w:pBdr>
        <w:ind w:left="23" w:right="21"/>
        <w:jc w:val="both"/>
        <w:rPr>
          <w:color w:val="000000"/>
          <w:sz w:val="18"/>
          <w:szCs w:val="18"/>
        </w:rPr>
      </w:pPr>
      <w:r>
        <w:rPr>
          <w:color w:val="000000"/>
          <w:sz w:val="18"/>
          <w:szCs w:val="18"/>
        </w:rPr>
        <w:t xml:space="preserve">Due to the relevance of BSF in calculating </w:t>
      </w:r>
      <w:proofErr w:type="spellStart"/>
      <w:proofErr w:type="gramStart"/>
      <w:r>
        <w:rPr>
          <w:color w:val="000000"/>
          <w:sz w:val="18"/>
          <w:szCs w:val="18"/>
        </w:rPr>
        <w:t>K</w:t>
      </w:r>
      <w:r>
        <w:rPr>
          <w:color w:val="000000"/>
          <w:sz w:val="18"/>
          <w:szCs w:val="18"/>
          <w:vertAlign w:val="subscript"/>
        </w:rPr>
        <w:t>a,e</w:t>
      </w:r>
      <w:proofErr w:type="spellEnd"/>
      <w:proofErr w:type="gramEnd"/>
      <w:r>
        <w:rPr>
          <w:color w:val="000000"/>
          <w:sz w:val="18"/>
          <w:szCs w:val="18"/>
        </w:rPr>
        <w:t>, it was decided to calculate the ratio between the average of K</w:t>
      </w:r>
      <w:r>
        <w:rPr>
          <w:color w:val="000000"/>
          <w:sz w:val="18"/>
          <w:szCs w:val="18"/>
          <w:vertAlign w:val="subscript"/>
        </w:rPr>
        <w:t>AIR</w:t>
      </w:r>
      <w:r>
        <w:rPr>
          <w:color w:val="000000"/>
          <w:sz w:val="18"/>
          <w:szCs w:val="18"/>
        </w:rPr>
        <w:t xml:space="preserve"> readings obtained with the dosimetry set with and without water, according to Equation 2:</w:t>
      </w:r>
    </w:p>
    <w:p w14:paraId="0F3AE9E4" w14:textId="77777777" w:rsidR="004B6321" w:rsidRDefault="00AC7D7F">
      <w:pPr>
        <w:pBdr>
          <w:top w:val="nil"/>
          <w:left w:val="nil"/>
          <w:bottom w:val="nil"/>
          <w:right w:val="nil"/>
          <w:between w:val="nil"/>
        </w:pBdr>
        <w:ind w:left="23" w:right="21"/>
        <w:jc w:val="right"/>
        <w:rPr>
          <w:sz w:val="18"/>
          <w:szCs w:val="18"/>
        </w:rPr>
      </w:pPr>
      <m:oMath>
        <m:r>
          <w:rPr>
            <w:rFonts w:ascii="Cambria Math" w:hAnsi="Cambria Math"/>
          </w:rPr>
          <m:t>BSF=</m:t>
        </m:r>
        <m:f>
          <m:fPr>
            <m:ctrlPr>
              <w:rPr>
                <w:rFonts w:ascii="Cambria Math" w:hAnsi="Cambria Math"/>
              </w:rPr>
            </m:ctrlPr>
          </m:fPr>
          <m:num>
            <m:sSub>
              <m:sSubPr>
                <m:ctrlPr>
                  <w:rPr>
                    <w:rFonts w:ascii="Cambria Math" w:hAnsi="Cambria Math"/>
                  </w:rPr>
                </m:ctrlPr>
              </m:sSubPr>
              <m:e>
                <m:r>
                  <w:rPr>
                    <w:rFonts w:ascii="Cambria Math" w:hAnsi="Cambria Math"/>
                  </w:rPr>
                  <m:t>K</m:t>
                </m:r>
              </m:e>
              <m:sub>
                <m:sSub>
                  <m:sSubPr>
                    <m:ctrlPr>
                      <w:rPr>
                        <w:rFonts w:ascii="Cambria Math" w:hAnsi="Cambria Math"/>
                      </w:rPr>
                    </m:ctrlPr>
                  </m:sSubPr>
                  <m:e>
                    <m:r>
                      <w:rPr>
                        <w:rFonts w:ascii="Cambria Math" w:hAnsi="Cambria Math"/>
                      </w:rPr>
                      <m:t>AIR</m:t>
                    </m:r>
                  </m:e>
                  <m:sub>
                    <m:r>
                      <w:rPr>
                        <w:rFonts w:ascii="Cambria Math" w:hAnsi="Cambria Math"/>
                      </w:rPr>
                      <m:t>water</m:t>
                    </m:r>
                  </m:sub>
                </m:sSub>
              </m:sub>
            </m:sSub>
          </m:num>
          <m:den>
            <m:sSub>
              <m:sSubPr>
                <m:ctrlPr>
                  <w:rPr>
                    <w:rFonts w:ascii="Cambria Math" w:hAnsi="Cambria Math"/>
                  </w:rPr>
                </m:ctrlPr>
              </m:sSubPr>
              <m:e>
                <m:r>
                  <w:rPr>
                    <w:rFonts w:ascii="Cambria Math" w:hAnsi="Cambria Math"/>
                  </w:rPr>
                  <m:t>K</m:t>
                </m:r>
              </m:e>
              <m:sub>
                <m:sSub>
                  <m:sSubPr>
                    <m:ctrlPr>
                      <w:rPr>
                        <w:rFonts w:ascii="Cambria Math" w:hAnsi="Cambria Math"/>
                      </w:rPr>
                    </m:ctrlPr>
                  </m:sSubPr>
                  <m:e>
                    <m:r>
                      <w:rPr>
                        <w:rFonts w:ascii="Cambria Math" w:hAnsi="Cambria Math"/>
                      </w:rPr>
                      <m:t>AIR</m:t>
                    </m:r>
                  </m:e>
                  <m:sub>
                    <m:r>
                      <w:rPr>
                        <w:rFonts w:ascii="Cambria Math" w:hAnsi="Cambria Math"/>
                      </w:rPr>
                      <m:t>air</m:t>
                    </m:r>
                  </m:sub>
                </m:sSub>
              </m:sub>
            </m:sSub>
          </m:den>
        </m:f>
        <m:r>
          <w:rPr>
            <w:rFonts w:ascii="Cambria Math" w:hAnsi="Cambria Math"/>
          </w:rPr>
          <m:t>×</m:t>
        </m:r>
        <m:f>
          <m:fPr>
            <m:ctrlPr>
              <w:rPr>
                <w:rFonts w:ascii="Cambria Math" w:hAnsi="Cambria Math"/>
              </w:rPr>
            </m:ctrlPr>
          </m:fPr>
          <m:num>
            <m:sSub>
              <m:sSubPr>
                <m:ctrlPr>
                  <w:rPr>
                    <w:rFonts w:ascii="Cambria Math" w:hAnsi="Cambria Math"/>
                  </w:rPr>
                </m:ctrlPr>
              </m:sSubPr>
              <m:e>
                <m:d>
                  <m:dPr>
                    <m:begChr m:val="["/>
                    <m:endChr m:val="]"/>
                    <m:ctrlPr>
                      <w:rPr>
                        <w:rFonts w:ascii="Cambria Math" w:hAnsi="Cambria Math"/>
                      </w:rPr>
                    </m:ctrlPr>
                  </m:dPr>
                  <m:e>
                    <m:f>
                      <m:fPr>
                        <m:ctrlPr>
                          <w:rPr>
                            <w:rFonts w:ascii="Cambria Math" w:hAnsi="Cambria Math"/>
                          </w:rPr>
                        </m:ctrlPr>
                      </m:fPr>
                      <m:num>
                        <m:r>
                          <w:rPr>
                            <w:rFonts w:ascii="Cambria Math" w:hAnsi="Cambria Math"/>
                          </w:rPr>
                          <m:t>μtr</m:t>
                        </m:r>
                      </m:num>
                      <m:den>
                        <m:r>
                          <w:rPr>
                            <w:rFonts w:ascii="Cambria Math" w:hAnsi="Cambria Math"/>
                          </w:rPr>
                          <m:t>ρ</m:t>
                        </m:r>
                      </m:den>
                    </m:f>
                  </m:e>
                </m:d>
              </m:e>
              <m:sub>
                <m:r>
                  <w:rPr>
                    <w:rFonts w:ascii="Cambria Math" w:hAnsi="Cambria Math"/>
                  </w:rPr>
                  <m:t>water</m:t>
                </m:r>
              </m:sub>
            </m:sSub>
          </m:num>
          <m:den>
            <m:sSub>
              <m:sSubPr>
                <m:ctrlPr>
                  <w:rPr>
                    <w:rFonts w:ascii="Cambria Math" w:hAnsi="Cambria Math"/>
                  </w:rPr>
                </m:ctrlPr>
              </m:sSubPr>
              <m:e>
                <m:d>
                  <m:dPr>
                    <m:begChr m:val="["/>
                    <m:endChr m:val="]"/>
                    <m:ctrlPr>
                      <w:rPr>
                        <w:rFonts w:ascii="Cambria Math" w:hAnsi="Cambria Math"/>
                      </w:rPr>
                    </m:ctrlPr>
                  </m:dPr>
                  <m:e>
                    <m:f>
                      <m:fPr>
                        <m:ctrlPr>
                          <w:rPr>
                            <w:rFonts w:ascii="Cambria Math" w:hAnsi="Cambria Math"/>
                          </w:rPr>
                        </m:ctrlPr>
                      </m:fPr>
                      <m:num>
                        <m:r>
                          <w:rPr>
                            <w:rFonts w:ascii="Cambria Math" w:hAnsi="Cambria Math"/>
                          </w:rPr>
                          <m:t>μtr</m:t>
                        </m:r>
                      </m:num>
                      <m:den>
                        <m:r>
                          <w:rPr>
                            <w:rFonts w:ascii="Cambria Math" w:hAnsi="Cambria Math"/>
                          </w:rPr>
                          <m:t>ρ</m:t>
                        </m:r>
                      </m:den>
                    </m:f>
                  </m:e>
                </m:d>
              </m:e>
              <m:sub>
                <m:r>
                  <w:rPr>
                    <w:rFonts w:ascii="Cambria Math" w:hAnsi="Cambria Math"/>
                  </w:rPr>
                  <m:t>air</m:t>
                </m:r>
              </m:sub>
            </m:sSub>
          </m:den>
        </m:f>
      </m:oMath>
      <w:r>
        <w:t xml:space="preserve">  </w:t>
      </w:r>
      <w:r>
        <w:rPr>
          <w:sz w:val="18"/>
          <w:szCs w:val="18"/>
        </w:rPr>
        <w:t xml:space="preserve">                                                                 (2)</w:t>
      </w:r>
    </w:p>
    <w:p w14:paraId="622B83D4" w14:textId="77777777" w:rsidR="004B6321" w:rsidRDefault="00AC7D7F">
      <w:pPr>
        <w:pBdr>
          <w:top w:val="nil"/>
          <w:left w:val="nil"/>
          <w:bottom w:val="nil"/>
          <w:right w:val="nil"/>
          <w:between w:val="nil"/>
        </w:pBdr>
        <w:spacing w:before="101" w:line="225" w:lineRule="auto"/>
        <w:ind w:left="23" w:right="3"/>
        <w:jc w:val="both"/>
        <w:rPr>
          <w:color w:val="000000"/>
          <w:sz w:val="18"/>
          <w:szCs w:val="18"/>
        </w:rPr>
      </w:pPr>
      <w:r>
        <w:rPr>
          <w:color w:val="000000"/>
          <w:sz w:val="18"/>
          <w:szCs w:val="18"/>
        </w:rPr>
        <w:t xml:space="preserve">where </w:t>
      </w:r>
      <m:oMath>
        <m:sSub>
          <m:sSubPr>
            <m:ctrlPr>
              <w:rPr>
                <w:rFonts w:ascii="Cambria Math" w:hAnsi="Cambria Math"/>
              </w:rPr>
            </m:ctrlPr>
          </m:sSubPr>
          <m:e>
            <m:r>
              <w:rPr>
                <w:rFonts w:ascii="Cambria Math" w:hAnsi="Cambria Math"/>
              </w:rPr>
              <m:t>K</m:t>
            </m:r>
          </m:e>
          <m:sub>
            <m:sSub>
              <m:sSubPr>
                <m:ctrlPr>
                  <w:rPr>
                    <w:rFonts w:ascii="Cambria Math" w:hAnsi="Cambria Math"/>
                  </w:rPr>
                </m:ctrlPr>
              </m:sSubPr>
              <m:e>
                <m:r>
                  <w:rPr>
                    <w:rFonts w:ascii="Cambria Math" w:hAnsi="Cambria Math"/>
                  </w:rPr>
                  <m:t>AIR</m:t>
                </m:r>
              </m:e>
              <m:sub>
                <m:r>
                  <w:rPr>
                    <w:rFonts w:ascii="Cambria Math" w:hAnsi="Cambria Math"/>
                  </w:rPr>
                  <m:t>water</m:t>
                </m:r>
              </m:sub>
            </m:sSub>
          </m:sub>
        </m:sSub>
      </m:oMath>
      <w:r>
        <w:rPr>
          <w:color w:val="000000"/>
          <w:sz w:val="18"/>
          <w:szCs w:val="18"/>
        </w:rPr>
        <w:t xml:space="preserve">represents the reading on the surface of the phantom filled with water, </w:t>
      </w:r>
      <m:oMath>
        <m:sSub>
          <m:sSubPr>
            <m:ctrlPr>
              <w:rPr>
                <w:rFonts w:ascii="Cambria Math" w:hAnsi="Cambria Math"/>
              </w:rPr>
            </m:ctrlPr>
          </m:sSubPr>
          <m:e>
            <m:r>
              <w:rPr>
                <w:rFonts w:ascii="Cambria Math" w:hAnsi="Cambria Math"/>
              </w:rPr>
              <m:t>K</m:t>
            </m:r>
          </m:e>
          <m:sub>
            <m:sSub>
              <m:sSubPr>
                <m:ctrlPr>
                  <w:rPr>
                    <w:rFonts w:ascii="Cambria Math" w:hAnsi="Cambria Math"/>
                  </w:rPr>
                </m:ctrlPr>
              </m:sSubPr>
              <m:e>
                <m:r>
                  <w:rPr>
                    <w:rFonts w:ascii="Cambria Math" w:hAnsi="Cambria Math"/>
                  </w:rPr>
                  <m:t>AIR</m:t>
                </m:r>
              </m:e>
              <m:sub>
                <m:r>
                  <w:rPr>
                    <w:rFonts w:ascii="Cambria Math" w:hAnsi="Cambria Math"/>
                  </w:rPr>
                  <m:t>air</m:t>
                </m:r>
              </m:sub>
            </m:sSub>
          </m:sub>
        </m:sSub>
      </m:oMath>
      <w:r>
        <w:rPr>
          <w:color w:val="000000"/>
          <w:sz w:val="18"/>
          <w:szCs w:val="18"/>
          <w:vertAlign w:val="subscript"/>
        </w:rPr>
        <w:t xml:space="preserve"> </w:t>
      </w:r>
      <w:r>
        <w:rPr>
          <w:color w:val="000000"/>
          <w:sz w:val="18"/>
          <w:szCs w:val="18"/>
        </w:rPr>
        <w:t xml:space="preserve">the reading at the same position without water, and </w:t>
      </w:r>
      <m:oMath>
        <m:sSub>
          <m:sSubPr>
            <m:ctrlPr>
              <w:rPr>
                <w:rFonts w:ascii="Cambria Math" w:hAnsi="Cambria Math"/>
              </w:rPr>
            </m:ctrlPr>
          </m:sSubPr>
          <m:e>
            <m:d>
              <m:dPr>
                <m:begChr m:val="["/>
                <m:endChr m:val="]"/>
                <m:ctrlPr>
                  <w:rPr>
                    <w:rFonts w:ascii="Cambria Math" w:hAnsi="Cambria Math"/>
                  </w:rPr>
                </m:ctrlPr>
              </m:dPr>
              <m:e>
                <m:f>
                  <m:fPr>
                    <m:ctrlPr>
                      <w:rPr>
                        <w:rFonts w:ascii="Cambria Math" w:hAnsi="Cambria Math"/>
                      </w:rPr>
                    </m:ctrlPr>
                  </m:fPr>
                  <m:num>
                    <m:r>
                      <w:rPr>
                        <w:rFonts w:ascii="Cambria Math" w:hAnsi="Cambria Math"/>
                      </w:rPr>
                      <m:t>μtr</m:t>
                    </m:r>
                  </m:num>
                  <m:den>
                    <m:r>
                      <w:rPr>
                        <w:rFonts w:ascii="Cambria Math" w:hAnsi="Cambria Math"/>
                      </w:rPr>
                      <m:t>ρ</m:t>
                    </m:r>
                  </m:den>
                </m:f>
              </m:e>
            </m:d>
          </m:e>
          <m:sub>
            <m:r>
              <w:rPr>
                <w:rFonts w:ascii="Cambria Math" w:hAnsi="Cambria Math"/>
              </w:rPr>
              <m:t>water</m:t>
            </m:r>
          </m:sub>
        </m:sSub>
      </m:oMath>
      <w:r>
        <w:rPr>
          <w:color w:val="000000"/>
          <w:sz w:val="18"/>
          <w:szCs w:val="18"/>
        </w:rPr>
        <w:t xml:space="preserve"> refers to the mass energy transfer</w:t>
      </w:r>
      <w:r>
        <w:rPr>
          <w:sz w:val="18"/>
          <w:szCs w:val="18"/>
        </w:rPr>
        <w:t xml:space="preserve"> </w:t>
      </w:r>
      <w:r>
        <w:rPr>
          <w:color w:val="000000"/>
          <w:sz w:val="18"/>
          <w:szCs w:val="18"/>
        </w:rPr>
        <w:t>coefficient in water and air.</w:t>
      </w:r>
    </w:p>
    <w:p w14:paraId="3A6D381A" w14:textId="77777777" w:rsidR="004B6321" w:rsidRDefault="00AC7D7F">
      <w:pPr>
        <w:numPr>
          <w:ilvl w:val="1"/>
          <w:numId w:val="3"/>
        </w:numPr>
        <w:tabs>
          <w:tab w:val="left" w:pos="474"/>
        </w:tabs>
        <w:ind w:left="474" w:hanging="452"/>
        <w:rPr>
          <w:sz w:val="18"/>
          <w:szCs w:val="18"/>
        </w:rPr>
      </w:pPr>
      <w:r>
        <w:rPr>
          <w:b/>
          <w:sz w:val="18"/>
          <w:szCs w:val="18"/>
        </w:rPr>
        <w:t>Evaluation of Entrance Skin Dose</w:t>
      </w:r>
    </w:p>
    <w:p w14:paraId="0B0E205B" w14:textId="77777777" w:rsidR="004B6321" w:rsidRDefault="00AC7D7F">
      <w:pPr>
        <w:pBdr>
          <w:top w:val="nil"/>
          <w:left w:val="nil"/>
          <w:bottom w:val="nil"/>
          <w:right w:val="nil"/>
          <w:between w:val="nil"/>
        </w:pBdr>
        <w:spacing w:before="157"/>
        <w:ind w:left="23" w:right="4"/>
        <w:jc w:val="both"/>
        <w:rPr>
          <w:color w:val="000000"/>
          <w:sz w:val="18"/>
          <w:szCs w:val="18"/>
        </w:rPr>
      </w:pPr>
      <w:r>
        <w:rPr>
          <w:sz w:val="18"/>
          <w:szCs w:val="18"/>
        </w:rPr>
        <w:t xml:space="preserve">The evaluation of </w:t>
      </w:r>
      <w:proofErr w:type="spellStart"/>
      <w:proofErr w:type="gramStart"/>
      <w:r>
        <w:rPr>
          <w:sz w:val="18"/>
          <w:szCs w:val="18"/>
        </w:rPr>
        <w:t>K</w:t>
      </w:r>
      <w:r>
        <w:rPr>
          <w:sz w:val="18"/>
          <w:szCs w:val="18"/>
          <w:vertAlign w:val="subscript"/>
        </w:rPr>
        <w:t>a,e</w:t>
      </w:r>
      <w:proofErr w:type="spellEnd"/>
      <w:proofErr w:type="gramEnd"/>
      <w:r>
        <w:rPr>
          <w:sz w:val="18"/>
          <w:szCs w:val="18"/>
        </w:rPr>
        <w:t xml:space="preserve"> is critical in quality control procedures, ensuring compliance with DRLs</w:t>
      </w:r>
      <w:r>
        <w:rPr>
          <w:color w:val="000000"/>
          <w:sz w:val="18"/>
          <w:szCs w:val="18"/>
        </w:rPr>
        <w:t>, ensuring that radiation doses used in diagnostic procedures are appropriate while minimizing adverse health effects. Furthermore, these evaluations are of utmost importance to enhance the quality and safety of radiological procedures, identifying opportunities to reduce radiation dose without compromising IQ or diagnostic information obtained [9].</w:t>
      </w:r>
    </w:p>
    <w:p w14:paraId="37FBED8B" w14:textId="77777777" w:rsidR="004B6321" w:rsidRDefault="00AC7D7F">
      <w:pPr>
        <w:pBdr>
          <w:top w:val="nil"/>
          <w:left w:val="nil"/>
          <w:bottom w:val="nil"/>
          <w:right w:val="nil"/>
          <w:between w:val="nil"/>
        </w:pBdr>
        <w:spacing w:before="161"/>
        <w:ind w:left="23" w:right="1"/>
        <w:jc w:val="both"/>
        <w:rPr>
          <w:color w:val="000000"/>
          <w:sz w:val="18"/>
          <w:szCs w:val="18"/>
        </w:rPr>
      </w:pPr>
      <w:r>
        <w:rPr>
          <w:color w:val="000000"/>
          <w:sz w:val="18"/>
          <w:szCs w:val="18"/>
        </w:rPr>
        <w:t xml:space="preserve">According to ICRP Publication 135 of 2017 [1], the radiation metric used as a measure of DRLs should be easily measurable or available, such as </w:t>
      </w:r>
      <w:proofErr w:type="spellStart"/>
      <w:proofErr w:type="gramStart"/>
      <w:r>
        <w:rPr>
          <w:color w:val="000000"/>
          <w:sz w:val="18"/>
          <w:szCs w:val="18"/>
        </w:rPr>
        <w:t>K</w:t>
      </w:r>
      <w:r>
        <w:rPr>
          <w:color w:val="000000"/>
          <w:sz w:val="18"/>
          <w:szCs w:val="18"/>
          <w:vertAlign w:val="subscript"/>
        </w:rPr>
        <w:t>a,e</w:t>
      </w:r>
      <w:proofErr w:type="spellEnd"/>
      <w:proofErr w:type="gramEnd"/>
      <w:r>
        <w:rPr>
          <w:color w:val="000000"/>
          <w:sz w:val="18"/>
          <w:szCs w:val="18"/>
        </w:rPr>
        <w:t xml:space="preserve"> in diagnostic radiology. In this study, </w:t>
      </w:r>
      <w:proofErr w:type="spellStart"/>
      <w:proofErr w:type="gramStart"/>
      <w:r>
        <w:rPr>
          <w:color w:val="000000"/>
          <w:sz w:val="18"/>
          <w:szCs w:val="18"/>
        </w:rPr>
        <w:t>K</w:t>
      </w:r>
      <w:r>
        <w:rPr>
          <w:color w:val="000000"/>
          <w:sz w:val="18"/>
          <w:szCs w:val="18"/>
          <w:vertAlign w:val="subscript"/>
        </w:rPr>
        <w:t>a,e</w:t>
      </w:r>
      <w:proofErr w:type="spellEnd"/>
      <w:proofErr w:type="gramEnd"/>
      <w:r>
        <w:rPr>
          <w:color w:val="000000"/>
          <w:sz w:val="18"/>
          <w:szCs w:val="18"/>
        </w:rPr>
        <w:t xml:space="preserve"> was calculated through the assessment of output, determined in units of </w:t>
      </w:r>
      <w:proofErr w:type="spellStart"/>
      <w:r>
        <w:rPr>
          <w:color w:val="000000"/>
          <w:sz w:val="18"/>
          <w:szCs w:val="18"/>
        </w:rPr>
        <w:t>mGy</w:t>
      </w:r>
      <w:proofErr w:type="spellEnd"/>
      <w:r>
        <w:rPr>
          <w:color w:val="000000"/>
          <w:sz w:val="18"/>
          <w:szCs w:val="18"/>
        </w:rPr>
        <w:t>/</w:t>
      </w:r>
      <w:proofErr w:type="spellStart"/>
      <w:r>
        <w:rPr>
          <w:color w:val="000000"/>
          <w:sz w:val="18"/>
          <w:szCs w:val="18"/>
        </w:rPr>
        <w:t>mA.s</w:t>
      </w:r>
      <w:proofErr w:type="spellEnd"/>
      <w:r>
        <w:rPr>
          <w:color w:val="000000"/>
          <w:sz w:val="18"/>
          <w:szCs w:val="18"/>
        </w:rPr>
        <w:t>, at a FSD of 80 cm. According to Metaxas et al. [10], with this value, it should be corrected for the desired FSD using the inverse square law equation (Equation 3):</w:t>
      </w:r>
    </w:p>
    <w:p w14:paraId="56D4C6F6" w14:textId="77777777" w:rsidR="004B6321" w:rsidRDefault="005C6263">
      <w:pPr>
        <w:tabs>
          <w:tab w:val="left" w:pos="4111"/>
        </w:tabs>
        <w:spacing w:before="152" w:line="192" w:lineRule="auto"/>
        <w:ind w:left="23"/>
        <w:jc w:val="right"/>
        <w:rPr>
          <w:sz w:val="20"/>
          <w:szCs w:val="20"/>
        </w:rPr>
      </w:pP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a,e</m:t>
            </m:r>
          </m:sub>
        </m:sSub>
        <m:r>
          <w:rPr>
            <w:rFonts w:ascii="Cambria Math" w:hAnsi="Cambria Math"/>
            <w:sz w:val="20"/>
            <w:szCs w:val="20"/>
          </w:rPr>
          <m:t xml:space="preserve">(mGy) =Output </m:t>
        </m:r>
        <m:d>
          <m:dPr>
            <m:ctrlPr>
              <w:rPr>
                <w:rFonts w:ascii="Cambria Math" w:hAnsi="Cambria Math"/>
                <w:sz w:val="20"/>
                <w:szCs w:val="20"/>
              </w:rPr>
            </m:ctrlPr>
          </m:dPr>
          <m:e>
            <m:f>
              <m:fPr>
                <m:ctrlPr>
                  <w:rPr>
                    <w:rFonts w:ascii="Cambria Math" w:hAnsi="Cambria Math"/>
                    <w:sz w:val="20"/>
                    <w:szCs w:val="20"/>
                    <w:u w:val="single"/>
                    <w:vertAlign w:val="superscript"/>
                  </w:rPr>
                </m:ctrlPr>
              </m:fPr>
              <m:num>
                <m:r>
                  <w:rPr>
                    <w:rFonts w:ascii="Cambria Math" w:hAnsi="Cambria Math"/>
                    <w:sz w:val="20"/>
                    <w:szCs w:val="20"/>
                    <w:u w:val="single"/>
                    <w:vertAlign w:val="superscript"/>
                  </w:rPr>
                  <m:t>mGy</m:t>
                </m:r>
              </m:num>
              <m:den>
                <m:r>
                  <w:rPr>
                    <w:rFonts w:ascii="Cambria Math" w:hAnsi="Cambria Math"/>
                    <w:sz w:val="20"/>
                    <w:szCs w:val="20"/>
                    <w:u w:val="single"/>
                    <w:vertAlign w:val="superscript"/>
                  </w:rPr>
                  <m:t>mA.s</m:t>
                </m:r>
              </m:den>
            </m:f>
          </m:e>
        </m:d>
        <m:r>
          <w:rPr>
            <w:rFonts w:ascii="Cambria Math" w:hAnsi="Cambria Math"/>
            <w:sz w:val="20"/>
            <w:szCs w:val="20"/>
          </w:rPr>
          <m:t xml:space="preserve"> × </m:t>
        </m:r>
        <m:sSup>
          <m:sSupPr>
            <m:ctrlPr>
              <w:rPr>
                <w:rFonts w:ascii="Cambria Math" w:hAnsi="Cambria Math"/>
                <w:sz w:val="20"/>
                <w:szCs w:val="20"/>
              </w:rPr>
            </m:ctrlPr>
          </m:sSupPr>
          <m:e>
            <m:d>
              <m:dPr>
                <m:ctrlPr>
                  <w:rPr>
                    <w:rFonts w:ascii="Cambria Math" w:hAnsi="Cambria Math"/>
                    <w:sz w:val="20"/>
                    <w:szCs w:val="20"/>
                  </w:rPr>
                </m:ctrlPr>
              </m:dPr>
              <m:e>
                <m:f>
                  <m:fPr>
                    <m:ctrlPr>
                      <w:rPr>
                        <w:rFonts w:ascii="Cambria Math" w:hAnsi="Cambria Math"/>
                        <w:sz w:val="20"/>
                        <w:szCs w:val="20"/>
                        <w:u w:val="single"/>
                        <w:vertAlign w:val="superscript"/>
                      </w:rPr>
                    </m:ctrlPr>
                  </m:fPr>
                  <m:num>
                    <m:r>
                      <w:rPr>
                        <w:rFonts w:ascii="Cambria Math" w:hAnsi="Cambria Math"/>
                        <w:sz w:val="20"/>
                        <w:szCs w:val="20"/>
                        <w:u w:val="single"/>
                        <w:vertAlign w:val="superscript"/>
                      </w:rPr>
                      <m:t>80</m:t>
                    </m:r>
                  </m:num>
                  <m:den>
                    <m:r>
                      <w:rPr>
                        <w:rFonts w:ascii="Cambria Math" w:hAnsi="Cambria Math"/>
                        <w:sz w:val="20"/>
                        <w:szCs w:val="20"/>
                        <w:u w:val="single"/>
                        <w:vertAlign w:val="superscript"/>
                      </w:rPr>
                      <m:t>FSF</m:t>
                    </m:r>
                  </m:den>
                </m:f>
              </m:e>
            </m:d>
          </m:e>
          <m:sup>
            <m:r>
              <w:rPr>
                <w:rFonts w:ascii="Cambria Math" w:hAnsi="Cambria Math"/>
                <w:sz w:val="20"/>
                <w:szCs w:val="20"/>
              </w:rPr>
              <m:t>2</m:t>
            </m:r>
          </m:sup>
        </m:sSup>
        <m:r>
          <w:rPr>
            <w:rFonts w:ascii="Cambria Math" w:hAnsi="Cambria Math"/>
            <w:sz w:val="20"/>
            <w:szCs w:val="20"/>
            <w:vertAlign w:val="superscript"/>
          </w:rPr>
          <m:t xml:space="preserve"> </m:t>
        </m:r>
        <m:r>
          <w:rPr>
            <w:rFonts w:ascii="Cambria Math" w:hAnsi="Cambria Math"/>
            <w:sz w:val="20"/>
            <w:szCs w:val="20"/>
          </w:rPr>
          <m:t>× (mA.s) × BSF</m:t>
        </m:r>
      </m:oMath>
      <w:r w:rsidR="00AC7D7F">
        <w:rPr>
          <w:sz w:val="20"/>
          <w:szCs w:val="20"/>
        </w:rPr>
        <w:tab/>
        <w:t xml:space="preserve">                          (3)</w:t>
      </w:r>
    </w:p>
    <w:p w14:paraId="3BE1A090" w14:textId="77777777" w:rsidR="004B6321" w:rsidRDefault="00AC7D7F">
      <w:pPr>
        <w:pBdr>
          <w:top w:val="nil"/>
          <w:left w:val="nil"/>
          <w:bottom w:val="nil"/>
          <w:right w:val="nil"/>
          <w:between w:val="nil"/>
        </w:pBdr>
        <w:spacing w:before="93"/>
        <w:ind w:left="23" w:right="22"/>
        <w:jc w:val="both"/>
        <w:rPr>
          <w:color w:val="000000"/>
          <w:sz w:val="18"/>
          <w:szCs w:val="18"/>
        </w:rPr>
      </w:pPr>
      <w:r>
        <w:rPr>
          <w:sz w:val="18"/>
          <w:szCs w:val="18"/>
        </w:rPr>
        <w:t>where Output (</w:t>
      </w:r>
      <w:proofErr w:type="spellStart"/>
      <w:r>
        <w:rPr>
          <w:sz w:val="18"/>
          <w:szCs w:val="18"/>
        </w:rPr>
        <w:t>mGy</w:t>
      </w:r>
      <w:proofErr w:type="spellEnd"/>
      <w:r>
        <w:rPr>
          <w:sz w:val="18"/>
          <w:szCs w:val="18"/>
        </w:rPr>
        <w:t>/</w:t>
      </w:r>
      <w:proofErr w:type="spellStart"/>
      <w:proofErr w:type="gramStart"/>
      <w:r>
        <w:rPr>
          <w:sz w:val="18"/>
          <w:szCs w:val="18"/>
        </w:rPr>
        <w:t>mA.s</w:t>
      </w:r>
      <w:proofErr w:type="spellEnd"/>
      <w:proofErr w:type="gramEnd"/>
      <w:r>
        <w:rPr>
          <w:sz w:val="18"/>
          <w:szCs w:val="18"/>
        </w:rPr>
        <w:t>) is the average of the K</w:t>
      </w:r>
      <w:r>
        <w:rPr>
          <w:sz w:val="18"/>
          <w:szCs w:val="18"/>
          <w:vertAlign w:val="subscript"/>
        </w:rPr>
        <w:t>AIR</w:t>
      </w:r>
      <w:r>
        <w:rPr>
          <w:sz w:val="18"/>
          <w:szCs w:val="18"/>
        </w:rPr>
        <w:t xml:space="preserve"> values obtained from the X-ray equipment, which increases with the square of the approach distance (FDD/FSD)², where FSD is represented by FDD minus the patient's thickness (in the region being radiographed) and depends on the </w:t>
      </w:r>
      <w:r>
        <w:rPr>
          <w:color w:val="000000"/>
          <w:sz w:val="18"/>
          <w:szCs w:val="18"/>
        </w:rPr>
        <w:t xml:space="preserve">protocol of each examination. Finally, due to the proportionality between tube output and </w:t>
      </w:r>
      <w:proofErr w:type="spellStart"/>
      <w:proofErr w:type="gramStart"/>
      <w:r>
        <w:rPr>
          <w:color w:val="000000"/>
          <w:sz w:val="18"/>
          <w:szCs w:val="18"/>
        </w:rPr>
        <w:t>mA.s</w:t>
      </w:r>
      <w:proofErr w:type="spellEnd"/>
      <w:proofErr w:type="gramEnd"/>
      <w:r>
        <w:rPr>
          <w:color w:val="000000"/>
          <w:sz w:val="18"/>
          <w:szCs w:val="18"/>
        </w:rPr>
        <w:t xml:space="preserve">, the last step to estimate </w:t>
      </w:r>
      <w:proofErr w:type="spellStart"/>
      <w:r>
        <w:rPr>
          <w:color w:val="000000"/>
          <w:sz w:val="18"/>
          <w:szCs w:val="18"/>
        </w:rPr>
        <w:t>K</w:t>
      </w:r>
      <w:r>
        <w:rPr>
          <w:color w:val="000000"/>
          <w:sz w:val="18"/>
          <w:szCs w:val="18"/>
          <w:vertAlign w:val="subscript"/>
        </w:rPr>
        <w:t>a,e</w:t>
      </w:r>
      <w:proofErr w:type="spellEnd"/>
      <w:r>
        <w:rPr>
          <w:color w:val="000000"/>
          <w:sz w:val="18"/>
          <w:szCs w:val="18"/>
        </w:rPr>
        <w:t xml:space="preserve"> is to multiply the X- ray tube output by the selected </w:t>
      </w:r>
      <w:proofErr w:type="spellStart"/>
      <w:r>
        <w:rPr>
          <w:color w:val="000000"/>
          <w:sz w:val="18"/>
          <w:szCs w:val="18"/>
        </w:rPr>
        <w:t>mA.s</w:t>
      </w:r>
      <w:proofErr w:type="spellEnd"/>
      <w:r>
        <w:rPr>
          <w:color w:val="000000"/>
          <w:sz w:val="18"/>
          <w:szCs w:val="18"/>
        </w:rPr>
        <w:t xml:space="preserve"> value on the control panel of the respective exposure technique and by the BSF.</w:t>
      </w:r>
    </w:p>
    <w:p w14:paraId="59D97BF1" w14:textId="77777777" w:rsidR="004B6321" w:rsidRDefault="00AC7D7F">
      <w:pPr>
        <w:numPr>
          <w:ilvl w:val="1"/>
          <w:numId w:val="3"/>
        </w:numPr>
        <w:tabs>
          <w:tab w:val="left" w:pos="392"/>
        </w:tabs>
        <w:spacing w:before="161"/>
        <w:ind w:left="392" w:hanging="369"/>
        <w:rPr>
          <w:sz w:val="18"/>
          <w:szCs w:val="18"/>
        </w:rPr>
      </w:pPr>
      <w:r>
        <w:rPr>
          <w:b/>
          <w:sz w:val="18"/>
          <w:szCs w:val="18"/>
        </w:rPr>
        <w:t>Selection Criteria</w:t>
      </w:r>
    </w:p>
    <w:p w14:paraId="0774BF45" w14:textId="77777777" w:rsidR="004B6321" w:rsidRDefault="00AC7D7F">
      <w:pPr>
        <w:pBdr>
          <w:top w:val="nil"/>
          <w:left w:val="nil"/>
          <w:bottom w:val="nil"/>
          <w:right w:val="nil"/>
          <w:between w:val="nil"/>
        </w:pBdr>
        <w:spacing w:before="162"/>
        <w:ind w:left="23" w:right="26"/>
        <w:jc w:val="both"/>
        <w:rPr>
          <w:color w:val="000000"/>
          <w:sz w:val="18"/>
          <w:szCs w:val="18"/>
        </w:rPr>
      </w:pPr>
      <w:r>
        <w:rPr>
          <w:sz w:val="18"/>
          <w:szCs w:val="18"/>
        </w:rPr>
        <w:t xml:space="preserve">To compare the obtained </w:t>
      </w:r>
      <w:proofErr w:type="spellStart"/>
      <w:proofErr w:type="gramStart"/>
      <w:r>
        <w:rPr>
          <w:sz w:val="18"/>
          <w:szCs w:val="18"/>
        </w:rPr>
        <w:t>K</w:t>
      </w:r>
      <w:r>
        <w:rPr>
          <w:sz w:val="18"/>
          <w:szCs w:val="18"/>
          <w:vertAlign w:val="subscript"/>
        </w:rPr>
        <w:t>a,e</w:t>
      </w:r>
      <w:proofErr w:type="spellEnd"/>
      <w:proofErr w:type="gramEnd"/>
      <w:r>
        <w:rPr>
          <w:sz w:val="18"/>
          <w:szCs w:val="18"/>
        </w:rPr>
        <w:t xml:space="preserve"> values with the DRLs, the percentage deviation (D%) was calculated using Equation 4.</w:t>
      </w:r>
    </w:p>
    <w:p w14:paraId="24DA7111" w14:textId="77777777" w:rsidR="004B6321" w:rsidRDefault="00AC7D7F">
      <w:pPr>
        <w:tabs>
          <w:tab w:val="left" w:pos="4109"/>
        </w:tabs>
        <w:spacing w:before="160" w:line="259" w:lineRule="auto"/>
        <w:ind w:left="203"/>
        <w:jc w:val="right"/>
        <w:rPr>
          <w:sz w:val="18"/>
          <w:szCs w:val="18"/>
        </w:rPr>
      </w:pPr>
      <m:oMath>
        <m:r>
          <w:rPr>
            <w:rFonts w:ascii="Cambria Math" w:hAnsi="Cambria Math"/>
          </w:rPr>
          <m:t xml:space="preserve">D(%)= </m:t>
        </m:r>
        <m:d>
          <m:dPr>
            <m:begChr m:val="["/>
            <m:endChr m:val="]"/>
            <m:ctrlPr>
              <w:rPr>
                <w:rFonts w:ascii="Cambria Math" w:hAnsi="Cambria Math"/>
              </w:rPr>
            </m:ctrlPr>
          </m:dPr>
          <m:e>
            <m:d>
              <m:dPr>
                <m:ctrlPr>
                  <w:rPr>
                    <w:rFonts w:ascii="Cambria Math" w:hAnsi="Cambria Math"/>
                  </w:rPr>
                </m:ctrlPr>
              </m:dPr>
              <m:e>
                <m:f>
                  <m:fPr>
                    <m:ctrlPr>
                      <w:rPr>
                        <w:rFonts w:ascii="Cambria Math" w:hAnsi="Cambria Math"/>
                      </w:rPr>
                    </m:ctrlPr>
                  </m:fPr>
                  <m:num>
                    <m:r>
                      <w:rPr>
                        <w:rFonts w:ascii="Cambria Math" w:hAnsi="Cambria Math"/>
                      </w:rPr>
                      <m:t xml:space="preserve">measured value of </m:t>
                    </m:r>
                    <m:sSub>
                      <m:sSubPr>
                        <m:ctrlPr>
                          <w:rPr>
                            <w:rFonts w:ascii="Cambria Math" w:hAnsi="Cambria Math"/>
                          </w:rPr>
                        </m:ctrlPr>
                      </m:sSubPr>
                      <m:e>
                        <m:r>
                          <w:rPr>
                            <w:rFonts w:ascii="Cambria Math" w:hAnsi="Cambria Math"/>
                          </w:rPr>
                          <m:t>K</m:t>
                        </m:r>
                      </m:e>
                      <m:sub>
                        <m:r>
                          <w:rPr>
                            <w:rFonts w:ascii="Cambria Math" w:hAnsi="Cambria Math"/>
                          </w:rPr>
                          <m:t>a,e</m:t>
                        </m:r>
                      </m:sub>
                    </m:sSub>
                  </m:num>
                  <m:den>
                    <m:r>
                      <w:rPr>
                        <w:rFonts w:ascii="Cambria Math" w:hAnsi="Cambria Math"/>
                      </w:rPr>
                      <m:t>reference value of DRL</m:t>
                    </m:r>
                  </m:den>
                </m:f>
              </m:e>
            </m:d>
            <m:r>
              <w:rPr>
                <w:rFonts w:ascii="Cambria Math" w:hAnsi="Cambria Math"/>
              </w:rPr>
              <m:t>-1</m:t>
            </m:r>
          </m:e>
        </m:d>
        <m:r>
          <w:rPr>
            <w:rFonts w:ascii="Cambria Math" w:hAnsi="Cambria Math"/>
          </w:rPr>
          <m:t>×100</m:t>
        </m:r>
      </m:oMath>
      <w:r>
        <w:rPr>
          <w:sz w:val="18"/>
          <w:szCs w:val="18"/>
        </w:rPr>
        <w:t xml:space="preserve">                                </w:t>
      </w:r>
      <w:r>
        <w:rPr>
          <w:sz w:val="18"/>
          <w:szCs w:val="18"/>
        </w:rPr>
        <w:tab/>
        <w:t>(4)</w:t>
      </w:r>
    </w:p>
    <w:p w14:paraId="6B305916" w14:textId="77777777" w:rsidR="004B6321" w:rsidRDefault="00AC7D7F">
      <w:pPr>
        <w:tabs>
          <w:tab w:val="left" w:pos="4109"/>
        </w:tabs>
        <w:spacing w:before="160" w:line="259" w:lineRule="auto"/>
        <w:jc w:val="both"/>
        <w:rPr>
          <w:sz w:val="18"/>
          <w:szCs w:val="18"/>
        </w:rPr>
      </w:pPr>
      <w:r>
        <w:rPr>
          <w:sz w:val="18"/>
          <w:szCs w:val="18"/>
        </w:rPr>
        <w:t>This comparison allows for assessing whether the measured radiation doses align with established reference levels, facilitating dose optimization in clinical practice.</w:t>
      </w:r>
    </w:p>
    <w:p w14:paraId="38D69EDF" w14:textId="77777777" w:rsidR="004B6321" w:rsidRDefault="00AC7D7F">
      <w:pPr>
        <w:numPr>
          <w:ilvl w:val="0"/>
          <w:numId w:val="3"/>
        </w:numPr>
        <w:tabs>
          <w:tab w:val="left" w:pos="269"/>
        </w:tabs>
        <w:spacing w:before="156"/>
        <w:ind w:left="269" w:hanging="246"/>
        <w:rPr>
          <w:sz w:val="20"/>
          <w:szCs w:val="20"/>
        </w:rPr>
      </w:pPr>
      <w:r>
        <w:rPr>
          <w:b/>
          <w:sz w:val="20"/>
          <w:szCs w:val="20"/>
        </w:rPr>
        <w:t>RESULTS AND DISCUSSION</w:t>
      </w:r>
    </w:p>
    <w:p w14:paraId="1C99B0D9" w14:textId="77777777" w:rsidR="004B6321" w:rsidRDefault="00AC7D7F">
      <w:pPr>
        <w:pBdr>
          <w:top w:val="nil"/>
          <w:left w:val="nil"/>
          <w:bottom w:val="nil"/>
          <w:right w:val="nil"/>
          <w:between w:val="nil"/>
        </w:pBdr>
        <w:spacing w:before="162"/>
        <w:ind w:left="23" w:right="22"/>
        <w:jc w:val="both"/>
        <w:rPr>
          <w:color w:val="000000"/>
          <w:sz w:val="18"/>
          <w:szCs w:val="18"/>
        </w:rPr>
      </w:pPr>
      <w:r>
        <w:rPr>
          <w:color w:val="000000"/>
          <w:sz w:val="18"/>
          <w:szCs w:val="18"/>
        </w:rPr>
        <w:t>Periodic assessment of the X-ray beam during Quality Control tests, conducted by Medical Physics professionals, possibly with the inclusion of other radiology professionals, can improve the safety of both patients and professionals, ensuring a more effective approach to radiological protection practices.</w:t>
      </w:r>
    </w:p>
    <w:p w14:paraId="4F223485" w14:textId="77777777" w:rsidR="004B6321" w:rsidRDefault="00AC7D7F">
      <w:pPr>
        <w:pBdr>
          <w:top w:val="nil"/>
          <w:left w:val="nil"/>
          <w:bottom w:val="nil"/>
          <w:right w:val="nil"/>
          <w:between w:val="nil"/>
        </w:pBdr>
        <w:spacing w:before="161"/>
        <w:ind w:left="23" w:right="26"/>
        <w:jc w:val="both"/>
        <w:rPr>
          <w:color w:val="000000"/>
          <w:sz w:val="18"/>
          <w:szCs w:val="18"/>
        </w:rPr>
      </w:pPr>
      <w:r>
        <w:rPr>
          <w:color w:val="000000"/>
          <w:sz w:val="18"/>
          <w:szCs w:val="18"/>
        </w:rPr>
        <w:t>In Table 2, the types of tests applied for the evaluation of the radiographic equipment, along with the respective measured values and achieved results, are listed.</w:t>
      </w:r>
    </w:p>
    <w:p w14:paraId="6E45BB4A" w14:textId="2BC99FE0" w:rsidR="004B6321" w:rsidRDefault="00AC7D7F">
      <w:pPr>
        <w:pBdr>
          <w:top w:val="nil"/>
          <w:left w:val="nil"/>
          <w:bottom w:val="nil"/>
          <w:right w:val="nil"/>
          <w:between w:val="nil"/>
        </w:pBdr>
        <w:spacing w:before="158"/>
        <w:ind w:left="23" w:right="23"/>
        <w:jc w:val="both"/>
        <w:rPr>
          <w:color w:val="000000"/>
          <w:sz w:val="18"/>
          <w:szCs w:val="18"/>
        </w:rPr>
        <w:sectPr w:rsidR="004B6321">
          <w:type w:val="continuous"/>
          <w:pgSz w:w="11910" w:h="16840"/>
          <w:pgMar w:top="1000" w:right="1417" w:bottom="280" w:left="1417" w:header="1440" w:footer="1068" w:gutter="0"/>
          <w:cols w:space="720" w:equalWidth="0">
            <w:col w:w="9071" w:space="0"/>
          </w:cols>
        </w:sectPr>
      </w:pPr>
      <w:r>
        <w:rPr>
          <w:color w:val="000000"/>
          <w:sz w:val="18"/>
          <w:szCs w:val="18"/>
        </w:rPr>
        <w:t>It can be observed in Table 2 that the constancy values of the radiographic equipment showed an error of less than 7% in the worst case, which i</w:t>
      </w:r>
      <w:r>
        <w:rPr>
          <w:sz w:val="18"/>
          <w:szCs w:val="18"/>
        </w:rPr>
        <w:t xml:space="preserve">s </w:t>
      </w:r>
      <w:r>
        <w:rPr>
          <w:color w:val="000000"/>
          <w:sz w:val="18"/>
          <w:szCs w:val="18"/>
        </w:rPr>
        <w:t xml:space="preserve">below </w:t>
      </w:r>
      <w:proofErr w:type="gramStart"/>
      <w:r>
        <w:rPr>
          <w:color w:val="000000"/>
          <w:sz w:val="18"/>
          <w:szCs w:val="18"/>
        </w:rPr>
        <w:t>the  10</w:t>
      </w:r>
      <w:proofErr w:type="gramEnd"/>
      <w:r>
        <w:rPr>
          <w:color w:val="000000"/>
          <w:sz w:val="18"/>
          <w:szCs w:val="18"/>
        </w:rPr>
        <w:t>%  accepted  as  the  limit  b</w:t>
      </w:r>
      <w:r>
        <w:rPr>
          <w:sz w:val="18"/>
          <w:szCs w:val="18"/>
        </w:rPr>
        <w:t xml:space="preserve">y </w:t>
      </w:r>
      <w:r>
        <w:rPr>
          <w:color w:val="000000"/>
          <w:sz w:val="18"/>
          <w:szCs w:val="18"/>
        </w:rPr>
        <w:t xml:space="preserve">legislation, ensuring good reproducibility of the equipment. The minimum limit for the half-value layer (HVL) at 80 kV is 2.9 </w:t>
      </w:r>
      <w:proofErr w:type="spellStart"/>
      <w:r>
        <w:rPr>
          <w:color w:val="000000"/>
          <w:sz w:val="18"/>
          <w:szCs w:val="18"/>
        </w:rPr>
        <w:t>mmAl</w:t>
      </w:r>
      <w:proofErr w:type="spellEnd"/>
      <w:r>
        <w:rPr>
          <w:color w:val="000000"/>
          <w:sz w:val="18"/>
          <w:szCs w:val="18"/>
        </w:rPr>
        <w:t xml:space="preserve">, and since 3.19 </w:t>
      </w:r>
      <w:proofErr w:type="spellStart"/>
      <w:r>
        <w:rPr>
          <w:color w:val="000000"/>
          <w:sz w:val="18"/>
          <w:szCs w:val="18"/>
        </w:rPr>
        <w:t>mmAl</w:t>
      </w:r>
      <w:proofErr w:type="spellEnd"/>
      <w:r>
        <w:rPr>
          <w:color w:val="000000"/>
          <w:sz w:val="18"/>
          <w:szCs w:val="18"/>
        </w:rPr>
        <w:t xml:space="preserve"> was found, the results were considered acceptable in accordance with the current legislation [6,7].</w:t>
      </w:r>
    </w:p>
    <w:p w14:paraId="042EF215" w14:textId="77777777" w:rsidR="004B6321" w:rsidRDefault="00AC7D7F">
      <w:pPr>
        <w:spacing w:before="185"/>
        <w:ind w:left="4332" w:hanging="4227"/>
        <w:rPr>
          <w:b/>
          <w:sz w:val="18"/>
          <w:szCs w:val="18"/>
        </w:rPr>
      </w:pPr>
      <w:r>
        <w:rPr>
          <w:b/>
          <w:sz w:val="18"/>
          <w:szCs w:val="18"/>
        </w:rPr>
        <w:t>Table 2. Summary of Quality Control test results for the digital image radiographic equipment [6,7]</w:t>
      </w:r>
    </w:p>
    <w:p w14:paraId="1809CE32" w14:textId="77777777" w:rsidR="004B6321" w:rsidRDefault="004B6321">
      <w:pPr>
        <w:pBdr>
          <w:top w:val="nil"/>
          <w:left w:val="nil"/>
          <w:bottom w:val="nil"/>
          <w:right w:val="nil"/>
          <w:between w:val="nil"/>
        </w:pBdr>
        <w:rPr>
          <w:b/>
          <w:color w:val="000000"/>
          <w:sz w:val="18"/>
          <w:szCs w:val="18"/>
        </w:rPr>
      </w:pPr>
    </w:p>
    <w:tbl>
      <w:tblPr>
        <w:tblStyle w:val="a0"/>
        <w:tblW w:w="9029" w:type="dxa"/>
        <w:tblInd w:w="23" w:type="dxa"/>
        <w:tblBorders>
          <w:top w:val="nil"/>
          <w:left w:val="nil"/>
          <w:bottom w:val="nil"/>
          <w:right w:val="nil"/>
          <w:insideH w:val="nil"/>
          <w:insideV w:val="nil"/>
        </w:tblBorders>
        <w:tblLayout w:type="fixed"/>
        <w:tblLook w:val="0000" w:firstRow="0" w:lastRow="0" w:firstColumn="0" w:lastColumn="0" w:noHBand="0" w:noVBand="0"/>
      </w:tblPr>
      <w:tblGrid>
        <w:gridCol w:w="2170"/>
        <w:gridCol w:w="2337"/>
        <w:gridCol w:w="1636"/>
        <w:gridCol w:w="2886"/>
      </w:tblGrid>
      <w:tr w:rsidR="004B6321" w14:paraId="1C261728" w14:textId="77777777">
        <w:trPr>
          <w:trHeight w:val="230"/>
        </w:trPr>
        <w:tc>
          <w:tcPr>
            <w:tcW w:w="2170" w:type="dxa"/>
            <w:tcBorders>
              <w:top w:val="single" w:sz="4" w:space="0" w:color="000000"/>
              <w:bottom w:val="single" w:sz="4" w:space="0" w:color="000000"/>
            </w:tcBorders>
          </w:tcPr>
          <w:p w14:paraId="4B382157" w14:textId="77777777" w:rsidR="004B6321" w:rsidRDefault="00AC7D7F">
            <w:pPr>
              <w:pBdr>
                <w:top w:val="nil"/>
                <w:left w:val="nil"/>
                <w:bottom w:val="nil"/>
                <w:right w:val="nil"/>
                <w:between w:val="nil"/>
              </w:pBdr>
              <w:spacing w:line="210" w:lineRule="auto"/>
              <w:ind w:left="122"/>
              <w:rPr>
                <w:b/>
                <w:color w:val="000000"/>
                <w:sz w:val="18"/>
                <w:szCs w:val="18"/>
              </w:rPr>
            </w:pPr>
            <w:r>
              <w:rPr>
                <w:b/>
                <w:color w:val="000000"/>
                <w:sz w:val="18"/>
                <w:szCs w:val="18"/>
              </w:rPr>
              <w:t>TEST</w:t>
            </w:r>
          </w:p>
        </w:tc>
        <w:tc>
          <w:tcPr>
            <w:tcW w:w="2337" w:type="dxa"/>
            <w:tcBorders>
              <w:top w:val="single" w:sz="4" w:space="0" w:color="000000"/>
              <w:bottom w:val="single" w:sz="4" w:space="0" w:color="000000"/>
            </w:tcBorders>
          </w:tcPr>
          <w:p w14:paraId="4363E3E4" w14:textId="77777777" w:rsidR="004B6321" w:rsidRDefault="00AC7D7F">
            <w:pPr>
              <w:pBdr>
                <w:top w:val="nil"/>
                <w:left w:val="nil"/>
                <w:bottom w:val="nil"/>
                <w:right w:val="nil"/>
                <w:between w:val="nil"/>
              </w:pBdr>
              <w:spacing w:line="210" w:lineRule="auto"/>
              <w:ind w:left="660"/>
              <w:rPr>
                <w:b/>
                <w:color w:val="000000"/>
                <w:sz w:val="18"/>
                <w:szCs w:val="18"/>
              </w:rPr>
            </w:pPr>
            <w:r>
              <w:rPr>
                <w:b/>
                <w:color w:val="000000"/>
                <w:sz w:val="18"/>
                <w:szCs w:val="18"/>
              </w:rPr>
              <w:t>Reproducibility</w:t>
            </w:r>
          </w:p>
        </w:tc>
        <w:tc>
          <w:tcPr>
            <w:tcW w:w="1636" w:type="dxa"/>
            <w:tcBorders>
              <w:top w:val="single" w:sz="4" w:space="0" w:color="000000"/>
              <w:bottom w:val="single" w:sz="4" w:space="0" w:color="000000"/>
            </w:tcBorders>
          </w:tcPr>
          <w:p w14:paraId="6A2A8122" w14:textId="77777777" w:rsidR="004B6321" w:rsidRDefault="004B6321">
            <w:pPr>
              <w:pBdr>
                <w:top w:val="nil"/>
                <w:left w:val="nil"/>
                <w:bottom w:val="nil"/>
                <w:right w:val="nil"/>
                <w:between w:val="nil"/>
              </w:pBdr>
              <w:rPr>
                <w:color w:val="000000"/>
                <w:sz w:val="18"/>
                <w:szCs w:val="18"/>
              </w:rPr>
            </w:pPr>
          </w:p>
        </w:tc>
        <w:tc>
          <w:tcPr>
            <w:tcW w:w="2886" w:type="dxa"/>
            <w:tcBorders>
              <w:top w:val="single" w:sz="4" w:space="0" w:color="000000"/>
              <w:bottom w:val="single" w:sz="4" w:space="0" w:color="000000"/>
            </w:tcBorders>
          </w:tcPr>
          <w:p w14:paraId="7BA8F759" w14:textId="77777777" w:rsidR="004B6321" w:rsidRDefault="004B6321">
            <w:pPr>
              <w:pBdr>
                <w:top w:val="nil"/>
                <w:left w:val="nil"/>
                <w:bottom w:val="nil"/>
                <w:right w:val="nil"/>
                <w:between w:val="nil"/>
              </w:pBdr>
              <w:rPr>
                <w:color w:val="000000"/>
                <w:sz w:val="18"/>
                <w:szCs w:val="18"/>
              </w:rPr>
            </w:pPr>
          </w:p>
        </w:tc>
      </w:tr>
      <w:tr w:rsidR="004B6321" w14:paraId="355CE957" w14:textId="77777777">
        <w:trPr>
          <w:trHeight w:val="233"/>
        </w:trPr>
        <w:tc>
          <w:tcPr>
            <w:tcW w:w="2170" w:type="dxa"/>
            <w:tcBorders>
              <w:top w:val="single" w:sz="4" w:space="0" w:color="000000"/>
            </w:tcBorders>
          </w:tcPr>
          <w:p w14:paraId="7C531CE3" w14:textId="77777777" w:rsidR="004B6321" w:rsidRDefault="004B6321">
            <w:pPr>
              <w:pBdr>
                <w:top w:val="nil"/>
                <w:left w:val="nil"/>
                <w:bottom w:val="nil"/>
                <w:right w:val="nil"/>
                <w:between w:val="nil"/>
              </w:pBdr>
              <w:rPr>
                <w:color w:val="000000"/>
                <w:sz w:val="18"/>
                <w:szCs w:val="18"/>
              </w:rPr>
            </w:pPr>
          </w:p>
        </w:tc>
        <w:tc>
          <w:tcPr>
            <w:tcW w:w="2337" w:type="dxa"/>
            <w:tcBorders>
              <w:top w:val="single" w:sz="4" w:space="0" w:color="000000"/>
            </w:tcBorders>
          </w:tcPr>
          <w:p w14:paraId="1B883BFC" w14:textId="77777777" w:rsidR="004B6321" w:rsidRDefault="00AC7D7F">
            <w:pPr>
              <w:pBdr>
                <w:top w:val="nil"/>
                <w:left w:val="nil"/>
                <w:bottom w:val="nil"/>
                <w:right w:val="nil"/>
                <w:between w:val="nil"/>
              </w:pBdr>
              <w:spacing w:line="213" w:lineRule="auto"/>
              <w:ind w:left="604"/>
              <w:rPr>
                <w:b/>
                <w:color w:val="000000"/>
                <w:sz w:val="18"/>
                <w:szCs w:val="18"/>
              </w:rPr>
            </w:pPr>
            <w:r>
              <w:rPr>
                <w:b/>
                <w:color w:val="000000"/>
                <w:sz w:val="18"/>
                <w:szCs w:val="18"/>
              </w:rPr>
              <w:t>Exposure</w:t>
            </w:r>
          </w:p>
        </w:tc>
        <w:tc>
          <w:tcPr>
            <w:tcW w:w="1636" w:type="dxa"/>
            <w:tcBorders>
              <w:top w:val="single" w:sz="4" w:space="0" w:color="000000"/>
            </w:tcBorders>
          </w:tcPr>
          <w:p w14:paraId="5471EE6A" w14:textId="77777777" w:rsidR="004B6321" w:rsidRDefault="00AC7D7F">
            <w:pPr>
              <w:pBdr>
                <w:top w:val="nil"/>
                <w:left w:val="nil"/>
                <w:bottom w:val="nil"/>
                <w:right w:val="nil"/>
                <w:between w:val="nil"/>
              </w:pBdr>
              <w:spacing w:line="213" w:lineRule="auto"/>
              <w:ind w:left="325"/>
              <w:rPr>
                <w:b/>
                <w:color w:val="000000"/>
                <w:sz w:val="18"/>
                <w:szCs w:val="18"/>
              </w:rPr>
            </w:pPr>
            <w:r>
              <w:rPr>
                <w:b/>
                <w:color w:val="000000"/>
                <w:sz w:val="18"/>
                <w:szCs w:val="18"/>
              </w:rPr>
              <w:t>Time</w:t>
            </w:r>
          </w:p>
        </w:tc>
        <w:tc>
          <w:tcPr>
            <w:tcW w:w="2886" w:type="dxa"/>
            <w:tcBorders>
              <w:top w:val="single" w:sz="4" w:space="0" w:color="000000"/>
            </w:tcBorders>
          </w:tcPr>
          <w:p w14:paraId="31D4375E" w14:textId="77777777" w:rsidR="004B6321" w:rsidRDefault="00AC7D7F">
            <w:pPr>
              <w:pBdr>
                <w:top w:val="nil"/>
                <w:left w:val="nil"/>
                <w:bottom w:val="nil"/>
                <w:right w:val="nil"/>
                <w:between w:val="nil"/>
              </w:pBdr>
              <w:spacing w:line="213" w:lineRule="auto"/>
              <w:ind w:left="546"/>
              <w:rPr>
                <w:b/>
                <w:color w:val="000000"/>
                <w:sz w:val="18"/>
                <w:szCs w:val="18"/>
              </w:rPr>
            </w:pPr>
            <w:r>
              <w:rPr>
                <w:b/>
                <w:color w:val="000000"/>
                <w:sz w:val="18"/>
                <w:szCs w:val="18"/>
              </w:rPr>
              <w:t>kVp</w:t>
            </w:r>
          </w:p>
        </w:tc>
      </w:tr>
      <w:tr w:rsidR="004B6321" w14:paraId="3D1F8D49" w14:textId="77777777">
        <w:trPr>
          <w:trHeight w:val="230"/>
        </w:trPr>
        <w:tc>
          <w:tcPr>
            <w:tcW w:w="2170" w:type="dxa"/>
          </w:tcPr>
          <w:p w14:paraId="4870806D" w14:textId="77777777" w:rsidR="004B6321" w:rsidRDefault="00AC7D7F">
            <w:pPr>
              <w:pBdr>
                <w:top w:val="nil"/>
                <w:left w:val="nil"/>
                <w:bottom w:val="nil"/>
                <w:right w:val="nil"/>
                <w:between w:val="nil"/>
              </w:pBdr>
              <w:spacing w:line="210" w:lineRule="auto"/>
              <w:ind w:left="122"/>
              <w:rPr>
                <w:color w:val="000000"/>
                <w:sz w:val="18"/>
                <w:szCs w:val="18"/>
              </w:rPr>
            </w:pPr>
            <w:r>
              <w:rPr>
                <w:color w:val="000000"/>
                <w:sz w:val="18"/>
                <w:szCs w:val="18"/>
              </w:rPr>
              <w:t>Obtained values</w:t>
            </w:r>
          </w:p>
        </w:tc>
        <w:tc>
          <w:tcPr>
            <w:tcW w:w="2337" w:type="dxa"/>
          </w:tcPr>
          <w:p w14:paraId="1EFBBCED" w14:textId="77777777" w:rsidR="004B6321" w:rsidRDefault="00AC7D7F">
            <w:pPr>
              <w:pBdr>
                <w:top w:val="nil"/>
                <w:left w:val="nil"/>
                <w:bottom w:val="nil"/>
                <w:right w:val="nil"/>
                <w:between w:val="nil"/>
              </w:pBdr>
              <w:spacing w:line="210" w:lineRule="auto"/>
              <w:ind w:left="604"/>
              <w:rPr>
                <w:color w:val="000000"/>
                <w:sz w:val="18"/>
                <w:szCs w:val="18"/>
              </w:rPr>
            </w:pPr>
            <w:r>
              <w:rPr>
                <w:color w:val="000000"/>
                <w:sz w:val="18"/>
                <w:szCs w:val="18"/>
              </w:rPr>
              <w:t>4.20%</w:t>
            </w:r>
          </w:p>
        </w:tc>
        <w:tc>
          <w:tcPr>
            <w:tcW w:w="1636" w:type="dxa"/>
          </w:tcPr>
          <w:p w14:paraId="3A8B9615" w14:textId="77777777" w:rsidR="004B6321" w:rsidRDefault="00AC7D7F">
            <w:pPr>
              <w:pBdr>
                <w:top w:val="nil"/>
                <w:left w:val="nil"/>
                <w:bottom w:val="nil"/>
                <w:right w:val="nil"/>
                <w:between w:val="nil"/>
              </w:pBdr>
              <w:spacing w:line="210" w:lineRule="auto"/>
              <w:ind w:left="325"/>
              <w:rPr>
                <w:color w:val="000000"/>
                <w:sz w:val="18"/>
                <w:szCs w:val="18"/>
              </w:rPr>
            </w:pPr>
            <w:r>
              <w:rPr>
                <w:color w:val="000000"/>
                <w:sz w:val="18"/>
                <w:szCs w:val="18"/>
              </w:rPr>
              <w:t>1.72%</w:t>
            </w:r>
          </w:p>
        </w:tc>
        <w:tc>
          <w:tcPr>
            <w:tcW w:w="2886" w:type="dxa"/>
          </w:tcPr>
          <w:p w14:paraId="18097022" w14:textId="77777777" w:rsidR="004B6321" w:rsidRDefault="00AC7D7F">
            <w:pPr>
              <w:pBdr>
                <w:top w:val="nil"/>
                <w:left w:val="nil"/>
                <w:bottom w:val="nil"/>
                <w:right w:val="nil"/>
                <w:between w:val="nil"/>
              </w:pBdr>
              <w:spacing w:line="210" w:lineRule="auto"/>
              <w:ind w:left="546"/>
              <w:rPr>
                <w:color w:val="000000"/>
                <w:sz w:val="18"/>
                <w:szCs w:val="18"/>
              </w:rPr>
            </w:pPr>
            <w:r>
              <w:rPr>
                <w:color w:val="000000"/>
                <w:sz w:val="18"/>
                <w:szCs w:val="18"/>
              </w:rPr>
              <w:t>3.90%</w:t>
            </w:r>
          </w:p>
        </w:tc>
      </w:tr>
      <w:tr w:rsidR="004B6321" w14:paraId="522BE11F" w14:textId="77777777">
        <w:trPr>
          <w:trHeight w:val="230"/>
        </w:trPr>
        <w:tc>
          <w:tcPr>
            <w:tcW w:w="2170" w:type="dxa"/>
          </w:tcPr>
          <w:p w14:paraId="7E7C078D" w14:textId="77777777" w:rsidR="004B6321" w:rsidRDefault="00AC7D7F">
            <w:pPr>
              <w:pBdr>
                <w:top w:val="nil"/>
                <w:left w:val="nil"/>
                <w:bottom w:val="nil"/>
                <w:right w:val="nil"/>
                <w:between w:val="nil"/>
              </w:pBdr>
              <w:spacing w:line="210" w:lineRule="auto"/>
              <w:ind w:left="122"/>
              <w:rPr>
                <w:color w:val="000000"/>
                <w:sz w:val="18"/>
                <w:szCs w:val="18"/>
              </w:rPr>
            </w:pPr>
            <w:r>
              <w:rPr>
                <w:color w:val="000000"/>
                <w:sz w:val="18"/>
                <w:szCs w:val="18"/>
              </w:rPr>
              <w:t>Tolerance</w:t>
            </w:r>
          </w:p>
        </w:tc>
        <w:tc>
          <w:tcPr>
            <w:tcW w:w="2337" w:type="dxa"/>
          </w:tcPr>
          <w:p w14:paraId="773AAAD9" w14:textId="77777777" w:rsidR="004B6321" w:rsidRDefault="00AC7D7F">
            <w:pPr>
              <w:pBdr>
                <w:top w:val="nil"/>
                <w:left w:val="nil"/>
                <w:bottom w:val="nil"/>
                <w:right w:val="nil"/>
                <w:between w:val="nil"/>
              </w:pBdr>
              <w:spacing w:line="210" w:lineRule="auto"/>
              <w:ind w:left="604"/>
              <w:rPr>
                <w:color w:val="000000"/>
                <w:sz w:val="18"/>
                <w:szCs w:val="18"/>
              </w:rPr>
            </w:pPr>
            <w:r>
              <w:rPr>
                <w:rFonts w:ascii="Arial Unicode MS" w:eastAsia="Arial Unicode MS" w:hAnsi="Arial Unicode MS" w:cs="Arial Unicode MS"/>
                <w:color w:val="000000"/>
                <w:sz w:val="18"/>
                <w:szCs w:val="18"/>
              </w:rPr>
              <w:t>≤10%</w:t>
            </w:r>
          </w:p>
        </w:tc>
        <w:tc>
          <w:tcPr>
            <w:tcW w:w="1636" w:type="dxa"/>
          </w:tcPr>
          <w:p w14:paraId="20B94623" w14:textId="77777777" w:rsidR="004B6321" w:rsidRDefault="00AC7D7F">
            <w:pPr>
              <w:pBdr>
                <w:top w:val="nil"/>
                <w:left w:val="nil"/>
                <w:bottom w:val="nil"/>
                <w:right w:val="nil"/>
                <w:between w:val="nil"/>
              </w:pBdr>
              <w:spacing w:line="210" w:lineRule="auto"/>
              <w:ind w:left="325"/>
              <w:rPr>
                <w:color w:val="000000"/>
                <w:sz w:val="18"/>
                <w:szCs w:val="18"/>
              </w:rPr>
            </w:pPr>
            <w:r>
              <w:rPr>
                <w:rFonts w:ascii="Arial Unicode MS" w:eastAsia="Arial Unicode MS" w:hAnsi="Arial Unicode MS" w:cs="Arial Unicode MS"/>
                <w:color w:val="000000"/>
                <w:sz w:val="18"/>
                <w:szCs w:val="18"/>
              </w:rPr>
              <w:t>≤10%</w:t>
            </w:r>
          </w:p>
        </w:tc>
        <w:tc>
          <w:tcPr>
            <w:tcW w:w="2886" w:type="dxa"/>
          </w:tcPr>
          <w:p w14:paraId="7EC47791" w14:textId="77777777" w:rsidR="004B6321" w:rsidRDefault="00AC7D7F">
            <w:pPr>
              <w:pBdr>
                <w:top w:val="nil"/>
                <w:left w:val="nil"/>
                <w:bottom w:val="nil"/>
                <w:right w:val="nil"/>
                <w:between w:val="nil"/>
              </w:pBdr>
              <w:spacing w:line="210" w:lineRule="auto"/>
              <w:ind w:left="546"/>
              <w:rPr>
                <w:color w:val="000000"/>
                <w:sz w:val="18"/>
                <w:szCs w:val="18"/>
              </w:rPr>
            </w:pPr>
            <w:r>
              <w:rPr>
                <w:rFonts w:ascii="Arial Unicode MS" w:eastAsia="Arial Unicode MS" w:hAnsi="Arial Unicode MS" w:cs="Arial Unicode MS"/>
                <w:color w:val="000000"/>
                <w:sz w:val="18"/>
                <w:szCs w:val="18"/>
              </w:rPr>
              <w:t>≤5%</w:t>
            </w:r>
          </w:p>
        </w:tc>
      </w:tr>
      <w:tr w:rsidR="004B6321" w14:paraId="0BB5EFBF" w14:textId="77777777">
        <w:trPr>
          <w:trHeight w:val="227"/>
        </w:trPr>
        <w:tc>
          <w:tcPr>
            <w:tcW w:w="2170" w:type="dxa"/>
            <w:tcBorders>
              <w:bottom w:val="single" w:sz="4" w:space="0" w:color="000000"/>
            </w:tcBorders>
          </w:tcPr>
          <w:p w14:paraId="78684E61" w14:textId="77777777" w:rsidR="004B6321" w:rsidRDefault="00AC7D7F">
            <w:pPr>
              <w:pBdr>
                <w:top w:val="nil"/>
                <w:left w:val="nil"/>
                <w:bottom w:val="nil"/>
                <w:right w:val="nil"/>
                <w:between w:val="nil"/>
              </w:pBdr>
              <w:spacing w:line="207" w:lineRule="auto"/>
              <w:ind w:left="122"/>
              <w:rPr>
                <w:color w:val="000000"/>
                <w:sz w:val="18"/>
                <w:szCs w:val="18"/>
              </w:rPr>
            </w:pPr>
            <w:r>
              <w:rPr>
                <w:color w:val="000000"/>
                <w:sz w:val="18"/>
                <w:szCs w:val="18"/>
              </w:rPr>
              <w:t>Result</w:t>
            </w:r>
          </w:p>
        </w:tc>
        <w:tc>
          <w:tcPr>
            <w:tcW w:w="2337" w:type="dxa"/>
            <w:tcBorders>
              <w:bottom w:val="single" w:sz="4" w:space="0" w:color="000000"/>
            </w:tcBorders>
          </w:tcPr>
          <w:p w14:paraId="5493E390" w14:textId="77777777" w:rsidR="004B6321" w:rsidRDefault="00AC7D7F">
            <w:pPr>
              <w:pBdr>
                <w:top w:val="nil"/>
                <w:left w:val="nil"/>
                <w:bottom w:val="nil"/>
                <w:right w:val="nil"/>
                <w:between w:val="nil"/>
              </w:pBdr>
              <w:spacing w:line="207" w:lineRule="auto"/>
              <w:ind w:left="604"/>
              <w:rPr>
                <w:color w:val="000000"/>
                <w:sz w:val="18"/>
                <w:szCs w:val="18"/>
              </w:rPr>
            </w:pPr>
            <w:r>
              <w:rPr>
                <w:color w:val="000000"/>
                <w:sz w:val="18"/>
                <w:szCs w:val="18"/>
              </w:rPr>
              <w:t>Conform</w:t>
            </w:r>
          </w:p>
        </w:tc>
        <w:tc>
          <w:tcPr>
            <w:tcW w:w="1636" w:type="dxa"/>
            <w:tcBorders>
              <w:bottom w:val="single" w:sz="4" w:space="0" w:color="000000"/>
            </w:tcBorders>
          </w:tcPr>
          <w:p w14:paraId="488DDCC2" w14:textId="77777777" w:rsidR="004B6321" w:rsidRDefault="00AC7D7F">
            <w:pPr>
              <w:pBdr>
                <w:top w:val="nil"/>
                <w:left w:val="nil"/>
                <w:bottom w:val="nil"/>
                <w:right w:val="nil"/>
                <w:between w:val="nil"/>
              </w:pBdr>
              <w:spacing w:line="207" w:lineRule="auto"/>
              <w:ind w:left="325"/>
              <w:rPr>
                <w:color w:val="000000"/>
                <w:sz w:val="18"/>
                <w:szCs w:val="18"/>
              </w:rPr>
            </w:pPr>
            <w:r>
              <w:rPr>
                <w:color w:val="000000"/>
                <w:sz w:val="18"/>
                <w:szCs w:val="18"/>
              </w:rPr>
              <w:t>Conform</w:t>
            </w:r>
          </w:p>
        </w:tc>
        <w:tc>
          <w:tcPr>
            <w:tcW w:w="2886" w:type="dxa"/>
            <w:tcBorders>
              <w:bottom w:val="single" w:sz="4" w:space="0" w:color="000000"/>
            </w:tcBorders>
          </w:tcPr>
          <w:p w14:paraId="055AE954" w14:textId="77777777" w:rsidR="004B6321" w:rsidRDefault="00AC7D7F">
            <w:pPr>
              <w:pBdr>
                <w:top w:val="nil"/>
                <w:left w:val="nil"/>
                <w:bottom w:val="nil"/>
                <w:right w:val="nil"/>
                <w:between w:val="nil"/>
              </w:pBdr>
              <w:spacing w:line="207" w:lineRule="auto"/>
              <w:ind w:left="546"/>
              <w:rPr>
                <w:color w:val="000000"/>
                <w:sz w:val="18"/>
                <w:szCs w:val="18"/>
              </w:rPr>
            </w:pPr>
            <w:r>
              <w:rPr>
                <w:color w:val="000000"/>
                <w:sz w:val="18"/>
                <w:szCs w:val="18"/>
              </w:rPr>
              <w:t>Conform</w:t>
            </w:r>
          </w:p>
        </w:tc>
      </w:tr>
      <w:tr w:rsidR="004B6321" w14:paraId="12F51AF6" w14:textId="77777777">
        <w:trPr>
          <w:trHeight w:val="233"/>
        </w:trPr>
        <w:tc>
          <w:tcPr>
            <w:tcW w:w="2170" w:type="dxa"/>
            <w:tcBorders>
              <w:top w:val="single" w:sz="4" w:space="0" w:color="000000"/>
            </w:tcBorders>
          </w:tcPr>
          <w:p w14:paraId="5DBB16A7" w14:textId="77777777" w:rsidR="004B6321" w:rsidRDefault="00AC7D7F">
            <w:pPr>
              <w:pBdr>
                <w:top w:val="nil"/>
                <w:left w:val="nil"/>
                <w:bottom w:val="nil"/>
                <w:right w:val="nil"/>
                <w:between w:val="nil"/>
              </w:pBdr>
              <w:spacing w:line="213" w:lineRule="auto"/>
              <w:ind w:left="122"/>
              <w:rPr>
                <w:b/>
                <w:color w:val="000000"/>
                <w:sz w:val="18"/>
                <w:szCs w:val="18"/>
              </w:rPr>
            </w:pPr>
            <w:r>
              <w:rPr>
                <w:b/>
                <w:color w:val="000000"/>
                <w:sz w:val="18"/>
                <w:szCs w:val="18"/>
              </w:rPr>
              <w:t>Test</w:t>
            </w:r>
          </w:p>
        </w:tc>
        <w:tc>
          <w:tcPr>
            <w:tcW w:w="2337" w:type="dxa"/>
            <w:tcBorders>
              <w:top w:val="single" w:sz="4" w:space="0" w:color="000000"/>
            </w:tcBorders>
          </w:tcPr>
          <w:p w14:paraId="6D60DB35" w14:textId="77777777" w:rsidR="004B6321" w:rsidRDefault="00AC7D7F">
            <w:pPr>
              <w:pBdr>
                <w:top w:val="nil"/>
                <w:left w:val="nil"/>
                <w:bottom w:val="nil"/>
                <w:right w:val="nil"/>
                <w:between w:val="nil"/>
              </w:pBdr>
              <w:spacing w:line="213" w:lineRule="auto"/>
              <w:ind w:left="604"/>
              <w:rPr>
                <w:b/>
                <w:color w:val="000000"/>
                <w:sz w:val="18"/>
                <w:szCs w:val="18"/>
              </w:rPr>
            </w:pPr>
            <w:r>
              <w:rPr>
                <w:b/>
                <w:color w:val="000000"/>
                <w:sz w:val="18"/>
                <w:szCs w:val="18"/>
              </w:rPr>
              <w:t>Accuracy</w:t>
            </w:r>
          </w:p>
        </w:tc>
        <w:tc>
          <w:tcPr>
            <w:tcW w:w="1636" w:type="dxa"/>
            <w:tcBorders>
              <w:top w:val="single" w:sz="4" w:space="0" w:color="000000"/>
            </w:tcBorders>
          </w:tcPr>
          <w:p w14:paraId="37C67897" w14:textId="77777777" w:rsidR="004B6321" w:rsidRDefault="004B6321">
            <w:pPr>
              <w:pBdr>
                <w:top w:val="nil"/>
                <w:left w:val="nil"/>
                <w:bottom w:val="nil"/>
                <w:right w:val="nil"/>
                <w:between w:val="nil"/>
              </w:pBdr>
              <w:rPr>
                <w:color w:val="000000"/>
                <w:sz w:val="18"/>
                <w:szCs w:val="18"/>
              </w:rPr>
            </w:pPr>
          </w:p>
        </w:tc>
        <w:tc>
          <w:tcPr>
            <w:tcW w:w="2886" w:type="dxa"/>
            <w:tcBorders>
              <w:top w:val="single" w:sz="4" w:space="0" w:color="000000"/>
            </w:tcBorders>
          </w:tcPr>
          <w:p w14:paraId="540D07E7" w14:textId="77777777" w:rsidR="004B6321" w:rsidRDefault="00AC7D7F">
            <w:pPr>
              <w:pBdr>
                <w:top w:val="nil"/>
                <w:left w:val="nil"/>
                <w:bottom w:val="nil"/>
                <w:right w:val="nil"/>
                <w:between w:val="nil"/>
              </w:pBdr>
              <w:spacing w:line="213" w:lineRule="auto"/>
              <w:ind w:left="546"/>
              <w:rPr>
                <w:b/>
                <w:color w:val="000000"/>
                <w:sz w:val="18"/>
                <w:szCs w:val="18"/>
              </w:rPr>
            </w:pPr>
            <w:r>
              <w:rPr>
                <w:b/>
                <w:color w:val="000000"/>
                <w:sz w:val="18"/>
                <w:szCs w:val="18"/>
              </w:rPr>
              <w:t>HVL (</w:t>
            </w:r>
            <w:proofErr w:type="spellStart"/>
            <w:r>
              <w:rPr>
                <w:b/>
                <w:color w:val="000000"/>
                <w:sz w:val="18"/>
                <w:szCs w:val="18"/>
              </w:rPr>
              <w:t>mmAl</w:t>
            </w:r>
            <w:proofErr w:type="spellEnd"/>
            <w:r>
              <w:rPr>
                <w:b/>
                <w:color w:val="000000"/>
                <w:sz w:val="18"/>
                <w:szCs w:val="18"/>
              </w:rPr>
              <w:t>)</w:t>
            </w:r>
          </w:p>
        </w:tc>
      </w:tr>
      <w:tr w:rsidR="004B6321" w14:paraId="53186563" w14:textId="77777777">
        <w:trPr>
          <w:trHeight w:val="229"/>
        </w:trPr>
        <w:tc>
          <w:tcPr>
            <w:tcW w:w="2170" w:type="dxa"/>
          </w:tcPr>
          <w:p w14:paraId="60181460" w14:textId="77777777" w:rsidR="004B6321" w:rsidRDefault="00AC7D7F">
            <w:pPr>
              <w:pBdr>
                <w:top w:val="nil"/>
                <w:left w:val="nil"/>
                <w:bottom w:val="nil"/>
                <w:right w:val="nil"/>
                <w:between w:val="nil"/>
              </w:pBdr>
              <w:spacing w:line="209" w:lineRule="auto"/>
              <w:ind w:left="122"/>
              <w:rPr>
                <w:color w:val="000000"/>
                <w:sz w:val="18"/>
                <w:szCs w:val="18"/>
              </w:rPr>
            </w:pPr>
            <w:r>
              <w:rPr>
                <w:color w:val="000000"/>
                <w:sz w:val="18"/>
                <w:szCs w:val="18"/>
              </w:rPr>
              <w:t>Obtained values</w:t>
            </w:r>
          </w:p>
        </w:tc>
        <w:tc>
          <w:tcPr>
            <w:tcW w:w="2337" w:type="dxa"/>
          </w:tcPr>
          <w:p w14:paraId="16D28BE2" w14:textId="77777777" w:rsidR="004B6321" w:rsidRDefault="00AC7D7F">
            <w:pPr>
              <w:pBdr>
                <w:top w:val="nil"/>
                <w:left w:val="nil"/>
                <w:bottom w:val="nil"/>
                <w:right w:val="nil"/>
                <w:between w:val="nil"/>
              </w:pBdr>
              <w:spacing w:line="209" w:lineRule="auto"/>
              <w:ind w:left="604"/>
              <w:rPr>
                <w:color w:val="000000"/>
                <w:sz w:val="18"/>
                <w:szCs w:val="18"/>
              </w:rPr>
            </w:pPr>
            <w:r>
              <w:rPr>
                <w:color w:val="000000"/>
                <w:sz w:val="18"/>
                <w:szCs w:val="18"/>
              </w:rPr>
              <w:t>-6.48%</w:t>
            </w:r>
          </w:p>
        </w:tc>
        <w:tc>
          <w:tcPr>
            <w:tcW w:w="1636" w:type="dxa"/>
          </w:tcPr>
          <w:p w14:paraId="264D0AE2" w14:textId="77777777" w:rsidR="004B6321" w:rsidRDefault="00AC7D7F">
            <w:pPr>
              <w:pBdr>
                <w:top w:val="nil"/>
                <w:left w:val="nil"/>
                <w:bottom w:val="nil"/>
                <w:right w:val="nil"/>
                <w:between w:val="nil"/>
              </w:pBdr>
              <w:spacing w:line="209" w:lineRule="auto"/>
              <w:ind w:left="223"/>
              <w:rPr>
                <w:color w:val="000000"/>
                <w:sz w:val="18"/>
                <w:szCs w:val="18"/>
              </w:rPr>
            </w:pPr>
            <w:r>
              <w:rPr>
                <w:color w:val="000000"/>
                <w:sz w:val="18"/>
                <w:szCs w:val="18"/>
              </w:rPr>
              <w:t>-5.02%</w:t>
            </w:r>
          </w:p>
        </w:tc>
        <w:tc>
          <w:tcPr>
            <w:tcW w:w="2886" w:type="dxa"/>
          </w:tcPr>
          <w:p w14:paraId="74A75943" w14:textId="77777777" w:rsidR="004B6321" w:rsidRDefault="00AC7D7F">
            <w:pPr>
              <w:pBdr>
                <w:top w:val="nil"/>
                <w:left w:val="nil"/>
                <w:bottom w:val="nil"/>
                <w:right w:val="nil"/>
                <w:between w:val="nil"/>
              </w:pBdr>
              <w:spacing w:line="209" w:lineRule="auto"/>
              <w:ind w:left="546"/>
              <w:rPr>
                <w:color w:val="000000"/>
                <w:sz w:val="18"/>
                <w:szCs w:val="18"/>
              </w:rPr>
            </w:pPr>
            <w:r>
              <w:rPr>
                <w:color w:val="000000"/>
                <w:sz w:val="18"/>
                <w:szCs w:val="18"/>
              </w:rPr>
              <w:t>3.19</w:t>
            </w:r>
          </w:p>
        </w:tc>
      </w:tr>
      <w:tr w:rsidR="004B6321" w14:paraId="0259B6C4" w14:textId="77777777">
        <w:trPr>
          <w:trHeight w:val="229"/>
        </w:trPr>
        <w:tc>
          <w:tcPr>
            <w:tcW w:w="2170" w:type="dxa"/>
          </w:tcPr>
          <w:p w14:paraId="69F65F27" w14:textId="77777777" w:rsidR="004B6321" w:rsidRDefault="00AC7D7F">
            <w:pPr>
              <w:pBdr>
                <w:top w:val="nil"/>
                <w:left w:val="nil"/>
                <w:bottom w:val="nil"/>
                <w:right w:val="nil"/>
                <w:between w:val="nil"/>
              </w:pBdr>
              <w:spacing w:line="209" w:lineRule="auto"/>
              <w:ind w:left="122"/>
              <w:rPr>
                <w:color w:val="000000"/>
                <w:sz w:val="18"/>
                <w:szCs w:val="18"/>
              </w:rPr>
            </w:pPr>
            <w:r>
              <w:rPr>
                <w:color w:val="000000"/>
                <w:sz w:val="18"/>
                <w:szCs w:val="18"/>
              </w:rPr>
              <w:t>Tolerance</w:t>
            </w:r>
          </w:p>
        </w:tc>
        <w:tc>
          <w:tcPr>
            <w:tcW w:w="2337" w:type="dxa"/>
          </w:tcPr>
          <w:p w14:paraId="2BAD535B" w14:textId="77777777" w:rsidR="004B6321" w:rsidRDefault="00AC7D7F">
            <w:pPr>
              <w:pBdr>
                <w:top w:val="nil"/>
                <w:left w:val="nil"/>
                <w:bottom w:val="nil"/>
                <w:right w:val="nil"/>
                <w:between w:val="nil"/>
              </w:pBdr>
              <w:spacing w:line="209" w:lineRule="auto"/>
              <w:ind w:left="604"/>
              <w:rPr>
                <w:color w:val="000000"/>
                <w:sz w:val="18"/>
                <w:szCs w:val="18"/>
              </w:rPr>
            </w:pPr>
            <w:r>
              <w:rPr>
                <w:rFonts w:ascii="Arial Unicode MS" w:eastAsia="Arial Unicode MS" w:hAnsi="Arial Unicode MS" w:cs="Arial Unicode MS"/>
                <w:color w:val="000000"/>
                <w:sz w:val="18"/>
                <w:szCs w:val="18"/>
              </w:rPr>
              <w:t>≤10%</w:t>
            </w:r>
          </w:p>
        </w:tc>
        <w:tc>
          <w:tcPr>
            <w:tcW w:w="1636" w:type="dxa"/>
          </w:tcPr>
          <w:p w14:paraId="33638B06" w14:textId="77777777" w:rsidR="004B6321" w:rsidRDefault="00AC7D7F">
            <w:pPr>
              <w:pBdr>
                <w:top w:val="nil"/>
                <w:left w:val="nil"/>
                <w:bottom w:val="nil"/>
                <w:right w:val="nil"/>
                <w:between w:val="nil"/>
              </w:pBdr>
              <w:spacing w:line="209" w:lineRule="auto"/>
              <w:ind w:left="223"/>
              <w:rPr>
                <w:color w:val="000000"/>
                <w:sz w:val="18"/>
                <w:szCs w:val="18"/>
              </w:rPr>
            </w:pPr>
            <w:r>
              <w:rPr>
                <w:rFonts w:ascii="Arial Unicode MS" w:eastAsia="Arial Unicode MS" w:hAnsi="Arial Unicode MS" w:cs="Arial Unicode MS"/>
                <w:color w:val="000000"/>
                <w:sz w:val="18"/>
                <w:szCs w:val="18"/>
              </w:rPr>
              <w:t>≤10%</w:t>
            </w:r>
          </w:p>
        </w:tc>
        <w:tc>
          <w:tcPr>
            <w:tcW w:w="2886" w:type="dxa"/>
          </w:tcPr>
          <w:p w14:paraId="0CD92B2B" w14:textId="77777777" w:rsidR="004B6321" w:rsidRDefault="00AC7D7F">
            <w:pPr>
              <w:pBdr>
                <w:top w:val="nil"/>
                <w:left w:val="nil"/>
                <w:bottom w:val="nil"/>
                <w:right w:val="nil"/>
                <w:between w:val="nil"/>
              </w:pBdr>
              <w:spacing w:line="209" w:lineRule="auto"/>
              <w:ind w:left="546"/>
              <w:rPr>
                <w:color w:val="000000"/>
                <w:sz w:val="18"/>
                <w:szCs w:val="18"/>
              </w:rPr>
            </w:pPr>
            <w:r>
              <w:rPr>
                <w:color w:val="000000"/>
                <w:sz w:val="18"/>
                <w:szCs w:val="18"/>
              </w:rPr>
              <w:t>2.9</w:t>
            </w:r>
          </w:p>
        </w:tc>
      </w:tr>
      <w:tr w:rsidR="004B6321" w14:paraId="7FCD533C" w14:textId="77777777">
        <w:trPr>
          <w:trHeight w:val="227"/>
        </w:trPr>
        <w:tc>
          <w:tcPr>
            <w:tcW w:w="2170" w:type="dxa"/>
            <w:tcBorders>
              <w:bottom w:val="single" w:sz="4" w:space="0" w:color="000000"/>
            </w:tcBorders>
          </w:tcPr>
          <w:p w14:paraId="46C51BC6" w14:textId="77777777" w:rsidR="004B6321" w:rsidRDefault="00AC7D7F">
            <w:pPr>
              <w:pBdr>
                <w:top w:val="nil"/>
                <w:left w:val="nil"/>
                <w:bottom w:val="nil"/>
                <w:right w:val="nil"/>
                <w:between w:val="nil"/>
              </w:pBdr>
              <w:spacing w:line="207" w:lineRule="auto"/>
              <w:ind w:left="122"/>
              <w:rPr>
                <w:color w:val="000000"/>
                <w:sz w:val="18"/>
                <w:szCs w:val="18"/>
              </w:rPr>
            </w:pPr>
            <w:r>
              <w:rPr>
                <w:color w:val="000000"/>
                <w:sz w:val="18"/>
                <w:szCs w:val="18"/>
              </w:rPr>
              <w:t>Result</w:t>
            </w:r>
          </w:p>
        </w:tc>
        <w:tc>
          <w:tcPr>
            <w:tcW w:w="2337" w:type="dxa"/>
            <w:tcBorders>
              <w:bottom w:val="single" w:sz="4" w:space="0" w:color="000000"/>
            </w:tcBorders>
          </w:tcPr>
          <w:p w14:paraId="12C758F8" w14:textId="77777777" w:rsidR="004B6321" w:rsidRDefault="00AC7D7F">
            <w:pPr>
              <w:pBdr>
                <w:top w:val="nil"/>
                <w:left w:val="nil"/>
                <w:bottom w:val="nil"/>
                <w:right w:val="nil"/>
                <w:between w:val="nil"/>
              </w:pBdr>
              <w:spacing w:line="207" w:lineRule="auto"/>
              <w:ind w:left="604"/>
              <w:rPr>
                <w:color w:val="000000"/>
                <w:sz w:val="18"/>
                <w:szCs w:val="18"/>
              </w:rPr>
            </w:pPr>
            <w:r>
              <w:rPr>
                <w:color w:val="000000"/>
                <w:sz w:val="18"/>
                <w:szCs w:val="18"/>
              </w:rPr>
              <w:t>Conform</w:t>
            </w:r>
          </w:p>
        </w:tc>
        <w:tc>
          <w:tcPr>
            <w:tcW w:w="1636" w:type="dxa"/>
            <w:tcBorders>
              <w:bottom w:val="single" w:sz="4" w:space="0" w:color="000000"/>
            </w:tcBorders>
          </w:tcPr>
          <w:p w14:paraId="04ACEB01" w14:textId="77777777" w:rsidR="004B6321" w:rsidRDefault="00AC7D7F">
            <w:pPr>
              <w:pBdr>
                <w:top w:val="nil"/>
                <w:left w:val="nil"/>
                <w:bottom w:val="nil"/>
                <w:right w:val="nil"/>
                <w:between w:val="nil"/>
              </w:pBdr>
              <w:spacing w:line="207" w:lineRule="auto"/>
              <w:ind w:left="223"/>
              <w:rPr>
                <w:color w:val="000000"/>
                <w:sz w:val="18"/>
                <w:szCs w:val="18"/>
              </w:rPr>
            </w:pPr>
            <w:r>
              <w:rPr>
                <w:color w:val="000000"/>
                <w:sz w:val="18"/>
                <w:szCs w:val="18"/>
              </w:rPr>
              <w:t>Conform</w:t>
            </w:r>
          </w:p>
        </w:tc>
        <w:tc>
          <w:tcPr>
            <w:tcW w:w="2886" w:type="dxa"/>
            <w:tcBorders>
              <w:bottom w:val="single" w:sz="4" w:space="0" w:color="000000"/>
            </w:tcBorders>
          </w:tcPr>
          <w:p w14:paraId="78C02EB8" w14:textId="77777777" w:rsidR="004B6321" w:rsidRDefault="00AC7D7F">
            <w:pPr>
              <w:pBdr>
                <w:top w:val="nil"/>
                <w:left w:val="nil"/>
                <w:bottom w:val="nil"/>
                <w:right w:val="nil"/>
                <w:between w:val="nil"/>
              </w:pBdr>
              <w:spacing w:line="207" w:lineRule="auto"/>
              <w:ind w:left="546"/>
              <w:rPr>
                <w:color w:val="000000"/>
                <w:sz w:val="18"/>
                <w:szCs w:val="18"/>
              </w:rPr>
            </w:pPr>
            <w:r>
              <w:rPr>
                <w:color w:val="000000"/>
                <w:sz w:val="18"/>
                <w:szCs w:val="18"/>
              </w:rPr>
              <w:t>Conform</w:t>
            </w:r>
          </w:p>
        </w:tc>
      </w:tr>
      <w:tr w:rsidR="004B6321" w14:paraId="25E89043" w14:textId="77777777">
        <w:trPr>
          <w:trHeight w:val="233"/>
        </w:trPr>
        <w:tc>
          <w:tcPr>
            <w:tcW w:w="2170" w:type="dxa"/>
            <w:tcBorders>
              <w:top w:val="single" w:sz="4" w:space="0" w:color="000000"/>
            </w:tcBorders>
          </w:tcPr>
          <w:p w14:paraId="02FF1186" w14:textId="77777777" w:rsidR="004B6321" w:rsidRDefault="00AC7D7F">
            <w:pPr>
              <w:pBdr>
                <w:top w:val="nil"/>
                <w:left w:val="nil"/>
                <w:bottom w:val="nil"/>
                <w:right w:val="nil"/>
                <w:between w:val="nil"/>
              </w:pBdr>
              <w:spacing w:line="213" w:lineRule="auto"/>
              <w:ind w:left="122"/>
              <w:rPr>
                <w:b/>
                <w:color w:val="000000"/>
                <w:sz w:val="18"/>
                <w:szCs w:val="18"/>
              </w:rPr>
            </w:pPr>
            <w:r>
              <w:rPr>
                <w:b/>
                <w:color w:val="000000"/>
                <w:sz w:val="18"/>
                <w:szCs w:val="18"/>
              </w:rPr>
              <w:t>Test</w:t>
            </w:r>
          </w:p>
        </w:tc>
        <w:tc>
          <w:tcPr>
            <w:tcW w:w="2337" w:type="dxa"/>
            <w:tcBorders>
              <w:top w:val="single" w:sz="4" w:space="0" w:color="000000"/>
            </w:tcBorders>
          </w:tcPr>
          <w:p w14:paraId="0E4FE460" w14:textId="77777777" w:rsidR="004B6321" w:rsidRDefault="00AC7D7F">
            <w:pPr>
              <w:pBdr>
                <w:top w:val="nil"/>
                <w:left w:val="nil"/>
                <w:bottom w:val="nil"/>
                <w:right w:val="nil"/>
                <w:between w:val="nil"/>
              </w:pBdr>
              <w:spacing w:line="213" w:lineRule="auto"/>
              <w:ind w:left="660"/>
              <w:rPr>
                <w:b/>
                <w:color w:val="000000"/>
                <w:sz w:val="18"/>
                <w:szCs w:val="18"/>
              </w:rPr>
            </w:pPr>
            <w:r>
              <w:rPr>
                <w:b/>
                <w:color w:val="000000"/>
                <w:sz w:val="18"/>
                <w:szCs w:val="18"/>
              </w:rPr>
              <w:t>Output</w:t>
            </w:r>
          </w:p>
        </w:tc>
        <w:tc>
          <w:tcPr>
            <w:tcW w:w="1636" w:type="dxa"/>
            <w:tcBorders>
              <w:top w:val="single" w:sz="4" w:space="0" w:color="000000"/>
            </w:tcBorders>
          </w:tcPr>
          <w:p w14:paraId="29F8EE2D" w14:textId="77777777" w:rsidR="004B6321" w:rsidRDefault="004B6321">
            <w:pPr>
              <w:pBdr>
                <w:top w:val="nil"/>
                <w:left w:val="nil"/>
                <w:bottom w:val="nil"/>
                <w:right w:val="nil"/>
                <w:between w:val="nil"/>
              </w:pBdr>
              <w:rPr>
                <w:color w:val="000000"/>
                <w:sz w:val="18"/>
                <w:szCs w:val="18"/>
              </w:rPr>
            </w:pPr>
          </w:p>
        </w:tc>
        <w:tc>
          <w:tcPr>
            <w:tcW w:w="2886" w:type="dxa"/>
            <w:tcBorders>
              <w:top w:val="single" w:sz="4" w:space="0" w:color="000000"/>
            </w:tcBorders>
          </w:tcPr>
          <w:p w14:paraId="4DD600C6" w14:textId="77777777" w:rsidR="004B6321" w:rsidRDefault="004B6321">
            <w:pPr>
              <w:pBdr>
                <w:top w:val="nil"/>
                <w:left w:val="nil"/>
                <w:bottom w:val="nil"/>
                <w:right w:val="nil"/>
                <w:between w:val="nil"/>
              </w:pBdr>
              <w:rPr>
                <w:color w:val="000000"/>
                <w:sz w:val="18"/>
                <w:szCs w:val="18"/>
              </w:rPr>
            </w:pPr>
          </w:p>
        </w:tc>
      </w:tr>
      <w:tr w:rsidR="004B6321" w14:paraId="40AF0F49" w14:textId="77777777">
        <w:trPr>
          <w:trHeight w:val="230"/>
        </w:trPr>
        <w:tc>
          <w:tcPr>
            <w:tcW w:w="2170" w:type="dxa"/>
          </w:tcPr>
          <w:p w14:paraId="65F31621" w14:textId="77777777" w:rsidR="004B6321" w:rsidRDefault="004B6321">
            <w:pPr>
              <w:pBdr>
                <w:top w:val="nil"/>
                <w:left w:val="nil"/>
                <w:bottom w:val="nil"/>
                <w:right w:val="nil"/>
                <w:between w:val="nil"/>
              </w:pBdr>
              <w:rPr>
                <w:color w:val="000000"/>
                <w:sz w:val="18"/>
                <w:szCs w:val="18"/>
              </w:rPr>
            </w:pPr>
          </w:p>
        </w:tc>
        <w:tc>
          <w:tcPr>
            <w:tcW w:w="2337" w:type="dxa"/>
          </w:tcPr>
          <w:p w14:paraId="39A4EE3E" w14:textId="77777777" w:rsidR="004B6321" w:rsidRDefault="00AC7D7F">
            <w:pPr>
              <w:pBdr>
                <w:top w:val="nil"/>
                <w:left w:val="nil"/>
                <w:bottom w:val="nil"/>
                <w:right w:val="nil"/>
                <w:between w:val="nil"/>
              </w:pBdr>
              <w:spacing w:line="210" w:lineRule="auto"/>
              <w:ind w:left="604"/>
              <w:rPr>
                <w:b/>
                <w:color w:val="000000"/>
                <w:sz w:val="18"/>
                <w:szCs w:val="18"/>
              </w:rPr>
            </w:pPr>
            <w:r>
              <w:rPr>
                <w:b/>
                <w:color w:val="000000"/>
                <w:sz w:val="18"/>
                <w:szCs w:val="18"/>
              </w:rPr>
              <w:t>Linearity</w:t>
            </w:r>
          </w:p>
        </w:tc>
        <w:tc>
          <w:tcPr>
            <w:tcW w:w="1636" w:type="dxa"/>
          </w:tcPr>
          <w:p w14:paraId="07549CD7" w14:textId="77777777" w:rsidR="004B6321" w:rsidRDefault="004B6321">
            <w:pPr>
              <w:pBdr>
                <w:top w:val="nil"/>
                <w:left w:val="nil"/>
                <w:bottom w:val="nil"/>
                <w:right w:val="nil"/>
                <w:between w:val="nil"/>
              </w:pBdr>
              <w:rPr>
                <w:color w:val="000000"/>
                <w:sz w:val="18"/>
                <w:szCs w:val="18"/>
              </w:rPr>
            </w:pPr>
          </w:p>
        </w:tc>
        <w:tc>
          <w:tcPr>
            <w:tcW w:w="2886" w:type="dxa"/>
          </w:tcPr>
          <w:p w14:paraId="54118F30" w14:textId="77777777" w:rsidR="004B6321" w:rsidRDefault="00AC7D7F">
            <w:pPr>
              <w:pBdr>
                <w:top w:val="nil"/>
                <w:left w:val="nil"/>
                <w:bottom w:val="nil"/>
                <w:right w:val="nil"/>
                <w:between w:val="nil"/>
              </w:pBdr>
              <w:spacing w:line="210" w:lineRule="auto"/>
              <w:ind w:left="546"/>
              <w:rPr>
                <w:b/>
                <w:color w:val="000000"/>
                <w:sz w:val="18"/>
                <w:szCs w:val="18"/>
              </w:rPr>
            </w:pPr>
            <w:r>
              <w:rPr>
                <w:b/>
                <w:color w:val="000000"/>
                <w:sz w:val="18"/>
                <w:szCs w:val="18"/>
              </w:rPr>
              <w:t>µ</w:t>
            </w:r>
            <w:proofErr w:type="spellStart"/>
            <w:r>
              <w:rPr>
                <w:b/>
                <w:color w:val="000000"/>
                <w:sz w:val="18"/>
                <w:szCs w:val="18"/>
              </w:rPr>
              <w:t>Gy</w:t>
            </w:r>
            <w:proofErr w:type="spellEnd"/>
            <w:r>
              <w:rPr>
                <w:b/>
                <w:color w:val="000000"/>
                <w:sz w:val="18"/>
                <w:szCs w:val="18"/>
              </w:rPr>
              <w:t>/</w:t>
            </w:r>
            <w:proofErr w:type="spellStart"/>
            <w:proofErr w:type="gramStart"/>
            <w:r>
              <w:rPr>
                <w:b/>
                <w:color w:val="000000"/>
                <w:sz w:val="18"/>
                <w:szCs w:val="18"/>
              </w:rPr>
              <w:t>mA.s</w:t>
            </w:r>
            <w:proofErr w:type="spellEnd"/>
            <w:proofErr w:type="gramEnd"/>
          </w:p>
        </w:tc>
      </w:tr>
      <w:tr w:rsidR="004B6321" w14:paraId="5008D47F" w14:textId="77777777">
        <w:trPr>
          <w:trHeight w:val="230"/>
        </w:trPr>
        <w:tc>
          <w:tcPr>
            <w:tcW w:w="2170" w:type="dxa"/>
          </w:tcPr>
          <w:p w14:paraId="16EA3E1C" w14:textId="77777777" w:rsidR="004B6321" w:rsidRDefault="00AC7D7F">
            <w:pPr>
              <w:pBdr>
                <w:top w:val="nil"/>
                <w:left w:val="nil"/>
                <w:bottom w:val="nil"/>
                <w:right w:val="nil"/>
                <w:between w:val="nil"/>
              </w:pBdr>
              <w:spacing w:line="211" w:lineRule="auto"/>
              <w:ind w:left="122"/>
              <w:rPr>
                <w:color w:val="000000"/>
                <w:sz w:val="18"/>
                <w:szCs w:val="18"/>
              </w:rPr>
            </w:pPr>
            <w:r>
              <w:rPr>
                <w:color w:val="000000"/>
                <w:sz w:val="18"/>
                <w:szCs w:val="18"/>
              </w:rPr>
              <w:t>Obtained values</w:t>
            </w:r>
          </w:p>
        </w:tc>
        <w:tc>
          <w:tcPr>
            <w:tcW w:w="2337" w:type="dxa"/>
          </w:tcPr>
          <w:p w14:paraId="335D82CD" w14:textId="77777777" w:rsidR="004B6321" w:rsidRDefault="00AC7D7F">
            <w:pPr>
              <w:pBdr>
                <w:top w:val="nil"/>
                <w:left w:val="nil"/>
                <w:bottom w:val="nil"/>
                <w:right w:val="nil"/>
                <w:between w:val="nil"/>
              </w:pBdr>
              <w:spacing w:line="211" w:lineRule="auto"/>
              <w:ind w:left="604"/>
              <w:rPr>
                <w:color w:val="000000"/>
                <w:sz w:val="18"/>
                <w:szCs w:val="18"/>
              </w:rPr>
            </w:pPr>
            <w:r>
              <w:rPr>
                <w:color w:val="000000"/>
                <w:sz w:val="18"/>
                <w:szCs w:val="18"/>
              </w:rPr>
              <w:t>5.68%</w:t>
            </w:r>
          </w:p>
        </w:tc>
        <w:tc>
          <w:tcPr>
            <w:tcW w:w="1636" w:type="dxa"/>
          </w:tcPr>
          <w:p w14:paraId="256FC904" w14:textId="77777777" w:rsidR="004B6321" w:rsidRDefault="004B6321">
            <w:pPr>
              <w:pBdr>
                <w:top w:val="nil"/>
                <w:left w:val="nil"/>
                <w:bottom w:val="nil"/>
                <w:right w:val="nil"/>
                <w:between w:val="nil"/>
              </w:pBdr>
              <w:rPr>
                <w:color w:val="000000"/>
                <w:sz w:val="18"/>
                <w:szCs w:val="18"/>
              </w:rPr>
            </w:pPr>
          </w:p>
        </w:tc>
        <w:tc>
          <w:tcPr>
            <w:tcW w:w="2886" w:type="dxa"/>
          </w:tcPr>
          <w:p w14:paraId="4C7F706D" w14:textId="77777777" w:rsidR="004B6321" w:rsidRDefault="00AC7D7F">
            <w:pPr>
              <w:pBdr>
                <w:top w:val="nil"/>
                <w:left w:val="nil"/>
                <w:bottom w:val="nil"/>
                <w:right w:val="nil"/>
                <w:between w:val="nil"/>
              </w:pBdr>
              <w:spacing w:line="211" w:lineRule="auto"/>
              <w:ind w:left="546"/>
              <w:rPr>
                <w:color w:val="000000"/>
                <w:sz w:val="18"/>
                <w:szCs w:val="18"/>
              </w:rPr>
            </w:pPr>
            <w:r>
              <w:rPr>
                <w:color w:val="000000"/>
                <w:sz w:val="18"/>
                <w:szCs w:val="18"/>
              </w:rPr>
              <w:t>48.77</w:t>
            </w:r>
          </w:p>
        </w:tc>
      </w:tr>
      <w:tr w:rsidR="004B6321" w14:paraId="6BBD513D" w14:textId="77777777">
        <w:trPr>
          <w:trHeight w:val="229"/>
        </w:trPr>
        <w:tc>
          <w:tcPr>
            <w:tcW w:w="2170" w:type="dxa"/>
          </w:tcPr>
          <w:p w14:paraId="7DCCF03D" w14:textId="77777777" w:rsidR="004B6321" w:rsidRDefault="00AC7D7F">
            <w:pPr>
              <w:pBdr>
                <w:top w:val="nil"/>
                <w:left w:val="nil"/>
                <w:bottom w:val="nil"/>
                <w:right w:val="nil"/>
                <w:between w:val="nil"/>
              </w:pBdr>
              <w:spacing w:line="209" w:lineRule="auto"/>
              <w:ind w:left="122"/>
              <w:rPr>
                <w:color w:val="000000"/>
                <w:sz w:val="18"/>
                <w:szCs w:val="18"/>
              </w:rPr>
            </w:pPr>
            <w:r>
              <w:rPr>
                <w:color w:val="000000"/>
                <w:sz w:val="18"/>
                <w:szCs w:val="18"/>
              </w:rPr>
              <w:t>Tolerance</w:t>
            </w:r>
          </w:p>
        </w:tc>
        <w:tc>
          <w:tcPr>
            <w:tcW w:w="2337" w:type="dxa"/>
          </w:tcPr>
          <w:p w14:paraId="3A2947C6" w14:textId="77777777" w:rsidR="004B6321" w:rsidRDefault="00AC7D7F">
            <w:pPr>
              <w:pBdr>
                <w:top w:val="nil"/>
                <w:left w:val="nil"/>
                <w:bottom w:val="nil"/>
                <w:right w:val="nil"/>
                <w:between w:val="nil"/>
              </w:pBdr>
              <w:spacing w:line="209" w:lineRule="auto"/>
              <w:ind w:left="604"/>
              <w:rPr>
                <w:color w:val="000000"/>
                <w:sz w:val="18"/>
                <w:szCs w:val="18"/>
              </w:rPr>
            </w:pPr>
            <w:r>
              <w:rPr>
                <w:rFonts w:ascii="Arial Unicode MS" w:eastAsia="Arial Unicode MS" w:hAnsi="Arial Unicode MS" w:cs="Arial Unicode MS"/>
                <w:color w:val="000000"/>
                <w:sz w:val="18"/>
                <w:szCs w:val="18"/>
              </w:rPr>
              <w:t>≤20%</w:t>
            </w:r>
          </w:p>
        </w:tc>
        <w:tc>
          <w:tcPr>
            <w:tcW w:w="1636" w:type="dxa"/>
          </w:tcPr>
          <w:p w14:paraId="5CB35B42" w14:textId="77777777" w:rsidR="004B6321" w:rsidRDefault="004B6321">
            <w:pPr>
              <w:pBdr>
                <w:top w:val="nil"/>
                <w:left w:val="nil"/>
                <w:bottom w:val="nil"/>
                <w:right w:val="nil"/>
                <w:between w:val="nil"/>
              </w:pBdr>
              <w:rPr>
                <w:color w:val="000000"/>
                <w:sz w:val="18"/>
                <w:szCs w:val="18"/>
              </w:rPr>
            </w:pPr>
          </w:p>
        </w:tc>
        <w:tc>
          <w:tcPr>
            <w:tcW w:w="2886" w:type="dxa"/>
          </w:tcPr>
          <w:p w14:paraId="67C0D521" w14:textId="77777777" w:rsidR="004B6321" w:rsidRDefault="00AC7D7F">
            <w:pPr>
              <w:pBdr>
                <w:top w:val="nil"/>
                <w:left w:val="nil"/>
                <w:bottom w:val="nil"/>
                <w:right w:val="nil"/>
                <w:between w:val="nil"/>
              </w:pBdr>
              <w:spacing w:line="209" w:lineRule="auto"/>
              <w:ind w:left="546"/>
              <w:rPr>
                <w:color w:val="000000"/>
                <w:sz w:val="18"/>
                <w:szCs w:val="18"/>
              </w:rPr>
            </w:pPr>
            <w:r>
              <w:rPr>
                <w:color w:val="000000"/>
                <w:sz w:val="18"/>
                <w:szCs w:val="18"/>
              </w:rPr>
              <w:t>-</w:t>
            </w:r>
          </w:p>
        </w:tc>
      </w:tr>
      <w:tr w:rsidR="004B6321" w14:paraId="46A529CD" w14:textId="77777777">
        <w:trPr>
          <w:trHeight w:val="228"/>
        </w:trPr>
        <w:tc>
          <w:tcPr>
            <w:tcW w:w="2170" w:type="dxa"/>
            <w:tcBorders>
              <w:bottom w:val="single" w:sz="4" w:space="0" w:color="000000"/>
            </w:tcBorders>
          </w:tcPr>
          <w:p w14:paraId="58E293D5" w14:textId="77777777" w:rsidR="004B6321" w:rsidRDefault="00AC7D7F">
            <w:pPr>
              <w:pBdr>
                <w:top w:val="nil"/>
                <w:left w:val="nil"/>
                <w:bottom w:val="nil"/>
                <w:right w:val="nil"/>
                <w:between w:val="nil"/>
              </w:pBdr>
              <w:spacing w:line="208" w:lineRule="auto"/>
              <w:ind w:left="122"/>
              <w:rPr>
                <w:color w:val="000000"/>
                <w:sz w:val="18"/>
                <w:szCs w:val="18"/>
              </w:rPr>
            </w:pPr>
            <w:r>
              <w:rPr>
                <w:color w:val="000000"/>
                <w:sz w:val="18"/>
                <w:szCs w:val="18"/>
              </w:rPr>
              <w:t>Result</w:t>
            </w:r>
          </w:p>
        </w:tc>
        <w:tc>
          <w:tcPr>
            <w:tcW w:w="2337" w:type="dxa"/>
            <w:tcBorders>
              <w:bottom w:val="single" w:sz="4" w:space="0" w:color="000000"/>
            </w:tcBorders>
          </w:tcPr>
          <w:p w14:paraId="074E4A31" w14:textId="77777777" w:rsidR="004B6321" w:rsidRDefault="00AC7D7F">
            <w:pPr>
              <w:pBdr>
                <w:top w:val="nil"/>
                <w:left w:val="nil"/>
                <w:bottom w:val="nil"/>
                <w:right w:val="nil"/>
                <w:between w:val="nil"/>
              </w:pBdr>
              <w:spacing w:line="208" w:lineRule="auto"/>
              <w:ind w:left="604"/>
              <w:rPr>
                <w:color w:val="000000"/>
                <w:sz w:val="18"/>
                <w:szCs w:val="18"/>
              </w:rPr>
            </w:pPr>
            <w:r>
              <w:rPr>
                <w:color w:val="000000"/>
                <w:sz w:val="18"/>
                <w:szCs w:val="18"/>
              </w:rPr>
              <w:t>Conform</w:t>
            </w:r>
          </w:p>
        </w:tc>
        <w:tc>
          <w:tcPr>
            <w:tcW w:w="1636" w:type="dxa"/>
            <w:tcBorders>
              <w:bottom w:val="single" w:sz="4" w:space="0" w:color="000000"/>
            </w:tcBorders>
          </w:tcPr>
          <w:p w14:paraId="6180FE49" w14:textId="77777777" w:rsidR="004B6321" w:rsidRDefault="004B6321">
            <w:pPr>
              <w:pBdr>
                <w:top w:val="nil"/>
                <w:left w:val="nil"/>
                <w:bottom w:val="nil"/>
                <w:right w:val="nil"/>
                <w:between w:val="nil"/>
              </w:pBdr>
              <w:rPr>
                <w:color w:val="000000"/>
                <w:sz w:val="18"/>
                <w:szCs w:val="18"/>
              </w:rPr>
            </w:pPr>
          </w:p>
        </w:tc>
        <w:tc>
          <w:tcPr>
            <w:tcW w:w="2886" w:type="dxa"/>
            <w:tcBorders>
              <w:bottom w:val="single" w:sz="4" w:space="0" w:color="000000"/>
            </w:tcBorders>
          </w:tcPr>
          <w:p w14:paraId="2CA8111C" w14:textId="77777777" w:rsidR="004B6321" w:rsidRDefault="00AC7D7F">
            <w:pPr>
              <w:pBdr>
                <w:top w:val="nil"/>
                <w:left w:val="nil"/>
                <w:bottom w:val="nil"/>
                <w:right w:val="nil"/>
                <w:between w:val="nil"/>
              </w:pBdr>
              <w:spacing w:line="208" w:lineRule="auto"/>
              <w:ind w:left="546"/>
              <w:rPr>
                <w:color w:val="000000"/>
                <w:sz w:val="18"/>
                <w:szCs w:val="18"/>
              </w:rPr>
            </w:pPr>
            <w:r>
              <w:rPr>
                <w:color w:val="000000"/>
                <w:sz w:val="18"/>
                <w:szCs w:val="18"/>
              </w:rPr>
              <w:t>Conform</w:t>
            </w:r>
          </w:p>
        </w:tc>
      </w:tr>
    </w:tbl>
    <w:p w14:paraId="49417404" w14:textId="77777777" w:rsidR="004B6321" w:rsidRDefault="004B6321">
      <w:pPr>
        <w:pBdr>
          <w:top w:val="nil"/>
          <w:left w:val="nil"/>
          <w:bottom w:val="nil"/>
          <w:right w:val="nil"/>
          <w:between w:val="nil"/>
        </w:pBdr>
        <w:spacing w:before="93"/>
        <w:jc w:val="both"/>
        <w:rPr>
          <w:b/>
          <w:sz w:val="18"/>
          <w:szCs w:val="18"/>
        </w:rPr>
      </w:pPr>
    </w:p>
    <w:p w14:paraId="6F0C8F6C" w14:textId="77777777" w:rsidR="004B6321" w:rsidRDefault="00AC7D7F">
      <w:pPr>
        <w:pBdr>
          <w:top w:val="nil"/>
          <w:left w:val="nil"/>
          <w:bottom w:val="nil"/>
          <w:right w:val="nil"/>
          <w:between w:val="nil"/>
        </w:pBdr>
        <w:spacing w:before="93"/>
        <w:jc w:val="both"/>
        <w:rPr>
          <w:color w:val="000000"/>
          <w:sz w:val="18"/>
          <w:szCs w:val="18"/>
        </w:rPr>
      </w:pPr>
      <w:r>
        <w:rPr>
          <w:color w:val="000000"/>
          <w:sz w:val="18"/>
          <w:szCs w:val="18"/>
        </w:rPr>
        <w:t xml:space="preserve">Table 3 lists the selected values of voltage and the product of current by time (kV and </w:t>
      </w:r>
      <w:proofErr w:type="spellStart"/>
      <w:proofErr w:type="gramStart"/>
      <w:r>
        <w:rPr>
          <w:color w:val="000000"/>
          <w:sz w:val="18"/>
          <w:szCs w:val="18"/>
        </w:rPr>
        <w:t>mA.s</w:t>
      </w:r>
      <w:proofErr w:type="spellEnd"/>
      <w:proofErr w:type="gramEnd"/>
      <w:r>
        <w:rPr>
          <w:color w:val="000000"/>
          <w:sz w:val="18"/>
          <w:szCs w:val="18"/>
        </w:rPr>
        <w:t>) with the measured average values of KERMA in air and water, as well as the average calculated values of standard deviation (SD), output value (</w:t>
      </w:r>
      <w:proofErr w:type="spellStart"/>
      <w:r>
        <w:rPr>
          <w:color w:val="000000"/>
          <w:sz w:val="18"/>
          <w:szCs w:val="18"/>
        </w:rPr>
        <w:t>mGy</w:t>
      </w:r>
      <w:proofErr w:type="spellEnd"/>
      <w:r>
        <w:rPr>
          <w:color w:val="000000"/>
          <w:sz w:val="18"/>
          <w:szCs w:val="18"/>
        </w:rPr>
        <w:t>/</w:t>
      </w:r>
      <w:proofErr w:type="spellStart"/>
      <w:r>
        <w:rPr>
          <w:color w:val="000000"/>
          <w:sz w:val="18"/>
          <w:szCs w:val="18"/>
        </w:rPr>
        <w:t>mA.s</w:t>
      </w:r>
      <w:proofErr w:type="spellEnd"/>
      <w:r>
        <w:rPr>
          <w:color w:val="000000"/>
          <w:sz w:val="18"/>
          <w:szCs w:val="18"/>
        </w:rPr>
        <w:t>) and Backscatter Factor.</w:t>
      </w:r>
    </w:p>
    <w:p w14:paraId="4FE7177F" w14:textId="77777777" w:rsidR="004B6321" w:rsidRDefault="004B6321">
      <w:pPr>
        <w:pBdr>
          <w:top w:val="nil"/>
          <w:left w:val="nil"/>
          <w:bottom w:val="nil"/>
          <w:right w:val="nil"/>
          <w:between w:val="nil"/>
        </w:pBdr>
        <w:spacing w:before="1"/>
        <w:rPr>
          <w:color w:val="000000"/>
          <w:sz w:val="18"/>
          <w:szCs w:val="18"/>
        </w:rPr>
      </w:pPr>
    </w:p>
    <w:p w14:paraId="6F7D4750" w14:textId="77777777" w:rsidR="004B6321" w:rsidRDefault="00AC7D7F">
      <w:pPr>
        <w:pBdr>
          <w:top w:val="nil"/>
          <w:left w:val="nil"/>
          <w:bottom w:val="nil"/>
          <w:right w:val="nil"/>
          <w:between w:val="nil"/>
        </w:pBdr>
        <w:ind w:left="23"/>
        <w:jc w:val="both"/>
        <w:rPr>
          <w:color w:val="000000"/>
          <w:sz w:val="18"/>
          <w:szCs w:val="18"/>
        </w:rPr>
      </w:pPr>
      <w:r>
        <w:rPr>
          <w:color w:val="000000"/>
          <w:sz w:val="18"/>
          <w:szCs w:val="18"/>
        </w:rPr>
        <w:t>As expected, it can be observed in Table 3 that the contribution of scattered radiation increases as the voltage (kV) increases, meaning that the increase in the primary beam energy results in an increased probability of scattered radiation occurrence [11]. This happens because, with higher energy, the radiation is less likely to be attenuated within the patient's body and more likely to escape, resulting in greater lateral</w:t>
      </w:r>
      <w:r>
        <w:rPr>
          <w:sz w:val="18"/>
          <w:szCs w:val="18"/>
        </w:rPr>
        <w:t xml:space="preserve"> </w:t>
      </w:r>
      <w:r>
        <w:rPr>
          <w:color w:val="000000"/>
          <w:sz w:val="18"/>
          <w:szCs w:val="18"/>
        </w:rPr>
        <w:t>scattering, backscattering, and forward scattering [12].</w:t>
      </w:r>
    </w:p>
    <w:p w14:paraId="3425C2A5" w14:textId="77777777" w:rsidR="004B6321" w:rsidRDefault="00AC7D7F">
      <w:pPr>
        <w:spacing w:before="229"/>
        <w:ind w:left="3" w:right="8"/>
        <w:jc w:val="center"/>
        <w:rPr>
          <w:b/>
          <w:sz w:val="18"/>
          <w:szCs w:val="18"/>
        </w:rPr>
      </w:pPr>
      <w:r>
        <w:rPr>
          <w:b/>
          <w:sz w:val="18"/>
          <w:szCs w:val="18"/>
        </w:rPr>
        <w:t>Table 3. Summary of Quality Control test results for the digital image radiographic equipment [6,7]</w:t>
      </w:r>
    </w:p>
    <w:p w14:paraId="27A91414" w14:textId="77777777" w:rsidR="004B6321" w:rsidRDefault="004B6321">
      <w:pPr>
        <w:spacing w:before="1" w:after="1"/>
        <w:rPr>
          <w:b/>
          <w:sz w:val="18"/>
          <w:szCs w:val="18"/>
        </w:rPr>
      </w:pPr>
    </w:p>
    <w:tbl>
      <w:tblPr>
        <w:tblStyle w:val="a1"/>
        <w:tblW w:w="9018" w:type="dxa"/>
        <w:tblInd w:w="38" w:type="dxa"/>
        <w:tblBorders>
          <w:top w:val="nil"/>
          <w:left w:val="nil"/>
          <w:bottom w:val="nil"/>
          <w:right w:val="nil"/>
          <w:insideH w:val="nil"/>
          <w:insideV w:val="nil"/>
        </w:tblBorders>
        <w:tblLayout w:type="fixed"/>
        <w:tblLook w:val="0000" w:firstRow="0" w:lastRow="0" w:firstColumn="0" w:lastColumn="0" w:noHBand="0" w:noVBand="0"/>
      </w:tblPr>
      <w:tblGrid>
        <w:gridCol w:w="1417"/>
        <w:gridCol w:w="978"/>
        <w:gridCol w:w="1114"/>
        <w:gridCol w:w="924"/>
        <w:gridCol w:w="1103"/>
        <w:gridCol w:w="911"/>
        <w:gridCol w:w="1371"/>
        <w:gridCol w:w="1200"/>
      </w:tblGrid>
      <w:tr w:rsidR="004B6321" w14:paraId="523EFC1E" w14:textId="77777777">
        <w:trPr>
          <w:trHeight w:val="230"/>
        </w:trPr>
        <w:tc>
          <w:tcPr>
            <w:tcW w:w="2395" w:type="dxa"/>
            <w:gridSpan w:val="2"/>
            <w:tcBorders>
              <w:top w:val="single" w:sz="4" w:space="0" w:color="000000"/>
              <w:bottom w:val="single" w:sz="4" w:space="0" w:color="000000"/>
            </w:tcBorders>
          </w:tcPr>
          <w:p w14:paraId="1C73F878" w14:textId="77777777" w:rsidR="004B6321" w:rsidRDefault="00AC7D7F">
            <w:pPr>
              <w:spacing w:before="1" w:line="210" w:lineRule="auto"/>
              <w:ind w:left="108"/>
              <w:rPr>
                <w:b/>
                <w:sz w:val="18"/>
                <w:szCs w:val="18"/>
              </w:rPr>
            </w:pPr>
            <w:r>
              <w:rPr>
                <w:b/>
                <w:sz w:val="18"/>
                <w:szCs w:val="18"/>
              </w:rPr>
              <w:t>Selected Values</w:t>
            </w:r>
          </w:p>
        </w:tc>
        <w:tc>
          <w:tcPr>
            <w:tcW w:w="1114" w:type="dxa"/>
            <w:tcBorders>
              <w:top w:val="single" w:sz="4" w:space="0" w:color="000000"/>
              <w:bottom w:val="single" w:sz="4" w:space="0" w:color="000000"/>
            </w:tcBorders>
          </w:tcPr>
          <w:p w14:paraId="280FC5B9" w14:textId="77777777" w:rsidR="004B6321" w:rsidRDefault="004B6321">
            <w:pPr>
              <w:spacing w:before="1"/>
              <w:rPr>
                <w:sz w:val="18"/>
                <w:szCs w:val="18"/>
              </w:rPr>
            </w:pPr>
          </w:p>
        </w:tc>
        <w:tc>
          <w:tcPr>
            <w:tcW w:w="2027" w:type="dxa"/>
            <w:gridSpan w:val="2"/>
            <w:tcBorders>
              <w:top w:val="single" w:sz="4" w:space="0" w:color="000000"/>
              <w:bottom w:val="single" w:sz="4" w:space="0" w:color="000000"/>
            </w:tcBorders>
          </w:tcPr>
          <w:p w14:paraId="0021118B" w14:textId="77777777" w:rsidR="004B6321" w:rsidRDefault="00AC7D7F">
            <w:pPr>
              <w:spacing w:before="1" w:line="210" w:lineRule="auto"/>
              <w:ind w:left="192"/>
              <w:rPr>
                <w:b/>
                <w:sz w:val="18"/>
                <w:szCs w:val="18"/>
              </w:rPr>
            </w:pPr>
            <w:r>
              <w:rPr>
                <w:b/>
                <w:sz w:val="18"/>
                <w:szCs w:val="18"/>
              </w:rPr>
              <w:t>Measured Values</w:t>
            </w:r>
          </w:p>
        </w:tc>
        <w:tc>
          <w:tcPr>
            <w:tcW w:w="911" w:type="dxa"/>
            <w:tcBorders>
              <w:top w:val="single" w:sz="4" w:space="0" w:color="000000"/>
              <w:bottom w:val="single" w:sz="4" w:space="0" w:color="000000"/>
            </w:tcBorders>
          </w:tcPr>
          <w:p w14:paraId="0FAAB1FA" w14:textId="77777777" w:rsidR="004B6321" w:rsidRDefault="004B6321">
            <w:pPr>
              <w:spacing w:before="1"/>
              <w:rPr>
                <w:sz w:val="18"/>
                <w:szCs w:val="18"/>
              </w:rPr>
            </w:pPr>
          </w:p>
        </w:tc>
        <w:tc>
          <w:tcPr>
            <w:tcW w:w="2571" w:type="dxa"/>
            <w:gridSpan w:val="2"/>
            <w:tcBorders>
              <w:top w:val="single" w:sz="4" w:space="0" w:color="000000"/>
              <w:bottom w:val="single" w:sz="4" w:space="0" w:color="000000"/>
            </w:tcBorders>
          </w:tcPr>
          <w:p w14:paraId="227A8B4E" w14:textId="77777777" w:rsidR="004B6321" w:rsidRDefault="00AC7D7F">
            <w:pPr>
              <w:spacing w:before="1" w:line="210" w:lineRule="auto"/>
              <w:ind w:left="134"/>
              <w:rPr>
                <w:b/>
                <w:sz w:val="18"/>
                <w:szCs w:val="18"/>
              </w:rPr>
            </w:pPr>
            <w:r>
              <w:rPr>
                <w:b/>
                <w:sz w:val="18"/>
                <w:szCs w:val="18"/>
              </w:rPr>
              <w:t>Calculated Values</w:t>
            </w:r>
          </w:p>
        </w:tc>
      </w:tr>
      <w:tr w:rsidR="004B6321" w14:paraId="7FCD6D27" w14:textId="77777777">
        <w:trPr>
          <w:trHeight w:val="231"/>
        </w:trPr>
        <w:tc>
          <w:tcPr>
            <w:tcW w:w="1417" w:type="dxa"/>
            <w:tcBorders>
              <w:top w:val="single" w:sz="4" w:space="0" w:color="000000"/>
            </w:tcBorders>
          </w:tcPr>
          <w:p w14:paraId="555AF393" w14:textId="77777777" w:rsidR="004B6321" w:rsidRDefault="00AC7D7F">
            <w:pPr>
              <w:spacing w:before="1" w:line="212" w:lineRule="auto"/>
              <w:ind w:left="108"/>
              <w:rPr>
                <w:b/>
                <w:sz w:val="18"/>
                <w:szCs w:val="18"/>
              </w:rPr>
            </w:pPr>
            <w:proofErr w:type="spellStart"/>
            <w:r>
              <w:rPr>
                <w:b/>
                <w:sz w:val="18"/>
                <w:szCs w:val="18"/>
              </w:rPr>
              <w:t>Current.time</w:t>
            </w:r>
            <w:proofErr w:type="spellEnd"/>
          </w:p>
        </w:tc>
        <w:tc>
          <w:tcPr>
            <w:tcW w:w="978" w:type="dxa"/>
            <w:tcBorders>
              <w:top w:val="single" w:sz="4" w:space="0" w:color="000000"/>
            </w:tcBorders>
          </w:tcPr>
          <w:p w14:paraId="1D3F1EBA" w14:textId="77777777" w:rsidR="004B6321" w:rsidRDefault="00AC7D7F">
            <w:pPr>
              <w:spacing w:before="1" w:line="212" w:lineRule="auto"/>
              <w:ind w:left="123"/>
              <w:rPr>
                <w:b/>
                <w:sz w:val="18"/>
                <w:szCs w:val="18"/>
              </w:rPr>
            </w:pPr>
            <w:r>
              <w:rPr>
                <w:b/>
                <w:sz w:val="18"/>
                <w:szCs w:val="18"/>
              </w:rPr>
              <w:t>Voltage</w:t>
            </w:r>
          </w:p>
        </w:tc>
        <w:tc>
          <w:tcPr>
            <w:tcW w:w="2038" w:type="dxa"/>
            <w:gridSpan w:val="2"/>
            <w:tcBorders>
              <w:top w:val="single" w:sz="4" w:space="0" w:color="000000"/>
            </w:tcBorders>
          </w:tcPr>
          <w:p w14:paraId="198A949F" w14:textId="77777777" w:rsidR="004B6321" w:rsidRDefault="00AC7D7F">
            <w:pPr>
              <w:spacing w:before="1" w:line="212" w:lineRule="auto"/>
              <w:ind w:left="135"/>
              <w:rPr>
                <w:b/>
                <w:sz w:val="18"/>
                <w:szCs w:val="18"/>
              </w:rPr>
            </w:pPr>
            <w:r>
              <w:rPr>
                <w:b/>
                <w:sz w:val="18"/>
                <w:szCs w:val="18"/>
              </w:rPr>
              <w:t>Readings in air</w:t>
            </w:r>
          </w:p>
        </w:tc>
        <w:tc>
          <w:tcPr>
            <w:tcW w:w="2014" w:type="dxa"/>
            <w:gridSpan w:val="2"/>
            <w:tcBorders>
              <w:top w:val="single" w:sz="4" w:space="0" w:color="000000"/>
            </w:tcBorders>
          </w:tcPr>
          <w:p w14:paraId="74746370" w14:textId="77777777" w:rsidR="004B6321" w:rsidRDefault="00AC7D7F">
            <w:pPr>
              <w:spacing w:before="1" w:line="212" w:lineRule="auto"/>
              <w:ind w:left="168"/>
              <w:rPr>
                <w:b/>
                <w:sz w:val="18"/>
                <w:szCs w:val="18"/>
              </w:rPr>
            </w:pPr>
            <w:r>
              <w:rPr>
                <w:b/>
                <w:sz w:val="18"/>
                <w:szCs w:val="18"/>
              </w:rPr>
              <w:t>Readings in water</w:t>
            </w:r>
          </w:p>
        </w:tc>
        <w:tc>
          <w:tcPr>
            <w:tcW w:w="1371" w:type="dxa"/>
            <w:tcBorders>
              <w:top w:val="single" w:sz="4" w:space="0" w:color="000000"/>
            </w:tcBorders>
          </w:tcPr>
          <w:p w14:paraId="3017AB10" w14:textId="77777777" w:rsidR="004B6321" w:rsidRDefault="00AC7D7F">
            <w:pPr>
              <w:spacing w:before="1" w:line="212" w:lineRule="auto"/>
              <w:ind w:left="134"/>
              <w:rPr>
                <w:b/>
                <w:sz w:val="18"/>
                <w:szCs w:val="18"/>
              </w:rPr>
            </w:pPr>
            <w:r>
              <w:rPr>
                <w:b/>
                <w:sz w:val="18"/>
                <w:szCs w:val="18"/>
              </w:rPr>
              <w:t>Output</w:t>
            </w:r>
          </w:p>
        </w:tc>
        <w:tc>
          <w:tcPr>
            <w:tcW w:w="1200" w:type="dxa"/>
            <w:tcBorders>
              <w:top w:val="single" w:sz="4" w:space="0" w:color="000000"/>
            </w:tcBorders>
          </w:tcPr>
          <w:p w14:paraId="170A4388" w14:textId="77777777" w:rsidR="004B6321" w:rsidRDefault="00AC7D7F">
            <w:pPr>
              <w:spacing w:before="1" w:line="212" w:lineRule="auto"/>
              <w:ind w:left="113"/>
              <w:rPr>
                <w:b/>
                <w:sz w:val="18"/>
                <w:szCs w:val="18"/>
              </w:rPr>
            </w:pPr>
            <w:r>
              <w:rPr>
                <w:b/>
                <w:sz w:val="18"/>
                <w:szCs w:val="18"/>
              </w:rPr>
              <w:t>BSF</w:t>
            </w:r>
          </w:p>
        </w:tc>
      </w:tr>
      <w:tr w:rsidR="004B6321" w14:paraId="3E2583E2" w14:textId="77777777">
        <w:trPr>
          <w:trHeight w:val="456"/>
        </w:trPr>
        <w:tc>
          <w:tcPr>
            <w:tcW w:w="1417" w:type="dxa"/>
            <w:tcBorders>
              <w:bottom w:val="single" w:sz="4" w:space="0" w:color="000000"/>
            </w:tcBorders>
          </w:tcPr>
          <w:p w14:paraId="06E16C94" w14:textId="77777777" w:rsidR="004B6321" w:rsidRDefault="00AC7D7F">
            <w:pPr>
              <w:spacing w:before="1" w:line="225" w:lineRule="auto"/>
              <w:ind w:left="108"/>
              <w:rPr>
                <w:b/>
                <w:sz w:val="18"/>
                <w:szCs w:val="18"/>
              </w:rPr>
            </w:pPr>
            <w:r>
              <w:rPr>
                <w:b/>
                <w:sz w:val="18"/>
                <w:szCs w:val="18"/>
              </w:rPr>
              <w:t>(</w:t>
            </w:r>
            <w:proofErr w:type="spellStart"/>
            <w:proofErr w:type="gramStart"/>
            <w:r>
              <w:rPr>
                <w:b/>
                <w:sz w:val="18"/>
                <w:szCs w:val="18"/>
              </w:rPr>
              <w:t>mA.s</w:t>
            </w:r>
            <w:proofErr w:type="spellEnd"/>
            <w:proofErr w:type="gramEnd"/>
            <w:r>
              <w:rPr>
                <w:b/>
                <w:sz w:val="18"/>
                <w:szCs w:val="18"/>
              </w:rPr>
              <w:t>)</w:t>
            </w:r>
          </w:p>
        </w:tc>
        <w:tc>
          <w:tcPr>
            <w:tcW w:w="978" w:type="dxa"/>
            <w:tcBorders>
              <w:bottom w:val="single" w:sz="4" w:space="0" w:color="000000"/>
            </w:tcBorders>
          </w:tcPr>
          <w:p w14:paraId="110F238A" w14:textId="77777777" w:rsidR="004B6321" w:rsidRDefault="00AC7D7F">
            <w:pPr>
              <w:spacing w:before="1" w:line="225" w:lineRule="auto"/>
              <w:ind w:left="123"/>
              <w:rPr>
                <w:b/>
                <w:sz w:val="18"/>
                <w:szCs w:val="18"/>
              </w:rPr>
            </w:pPr>
            <w:r>
              <w:rPr>
                <w:b/>
                <w:sz w:val="18"/>
                <w:szCs w:val="18"/>
              </w:rPr>
              <w:t>(kV)</w:t>
            </w:r>
          </w:p>
        </w:tc>
        <w:tc>
          <w:tcPr>
            <w:tcW w:w="1114" w:type="dxa"/>
            <w:tcBorders>
              <w:bottom w:val="single" w:sz="4" w:space="0" w:color="000000"/>
            </w:tcBorders>
          </w:tcPr>
          <w:p w14:paraId="0CD31A56" w14:textId="77777777" w:rsidR="004B6321" w:rsidRDefault="00AC7D7F">
            <w:pPr>
              <w:spacing w:before="1" w:line="225" w:lineRule="auto"/>
              <w:ind w:left="135"/>
              <w:rPr>
                <w:b/>
                <w:sz w:val="18"/>
                <w:szCs w:val="18"/>
              </w:rPr>
            </w:pPr>
            <w:r>
              <w:rPr>
                <w:b/>
                <w:sz w:val="18"/>
                <w:szCs w:val="18"/>
              </w:rPr>
              <w:t>Average</w:t>
            </w:r>
          </w:p>
          <w:p w14:paraId="19A6075F" w14:textId="77777777" w:rsidR="004B6321" w:rsidRDefault="00AC7D7F">
            <w:pPr>
              <w:spacing w:before="1" w:line="211" w:lineRule="auto"/>
              <w:ind w:left="135"/>
              <w:rPr>
                <w:b/>
                <w:sz w:val="18"/>
                <w:szCs w:val="18"/>
              </w:rPr>
            </w:pPr>
            <w:r>
              <w:rPr>
                <w:b/>
                <w:sz w:val="18"/>
                <w:szCs w:val="18"/>
              </w:rPr>
              <w:t>(</w:t>
            </w:r>
            <w:proofErr w:type="spellStart"/>
            <w:r>
              <w:rPr>
                <w:b/>
                <w:sz w:val="18"/>
                <w:szCs w:val="18"/>
              </w:rPr>
              <w:t>mGy</w:t>
            </w:r>
            <w:proofErr w:type="spellEnd"/>
            <w:r>
              <w:rPr>
                <w:b/>
                <w:sz w:val="18"/>
                <w:szCs w:val="18"/>
              </w:rPr>
              <w:t>)</w:t>
            </w:r>
          </w:p>
        </w:tc>
        <w:tc>
          <w:tcPr>
            <w:tcW w:w="924" w:type="dxa"/>
            <w:tcBorders>
              <w:bottom w:val="single" w:sz="4" w:space="0" w:color="000000"/>
            </w:tcBorders>
          </w:tcPr>
          <w:p w14:paraId="11758ED9" w14:textId="77777777" w:rsidR="004B6321" w:rsidRDefault="00AC7D7F">
            <w:pPr>
              <w:spacing w:before="1" w:line="225" w:lineRule="auto"/>
              <w:ind w:left="192"/>
              <w:rPr>
                <w:b/>
                <w:sz w:val="18"/>
                <w:szCs w:val="18"/>
              </w:rPr>
            </w:pPr>
            <w:r>
              <w:rPr>
                <w:b/>
                <w:sz w:val="18"/>
                <w:szCs w:val="18"/>
              </w:rPr>
              <w:t>SD</w:t>
            </w:r>
          </w:p>
        </w:tc>
        <w:tc>
          <w:tcPr>
            <w:tcW w:w="1103" w:type="dxa"/>
            <w:tcBorders>
              <w:bottom w:val="single" w:sz="4" w:space="0" w:color="000000"/>
            </w:tcBorders>
          </w:tcPr>
          <w:p w14:paraId="65F5CB4F" w14:textId="77777777" w:rsidR="004B6321" w:rsidRDefault="00AC7D7F">
            <w:pPr>
              <w:spacing w:before="1" w:line="225" w:lineRule="auto"/>
              <w:ind w:left="168"/>
              <w:rPr>
                <w:b/>
                <w:sz w:val="18"/>
                <w:szCs w:val="18"/>
              </w:rPr>
            </w:pPr>
            <w:r>
              <w:rPr>
                <w:b/>
                <w:sz w:val="18"/>
                <w:szCs w:val="18"/>
              </w:rPr>
              <w:t>Average</w:t>
            </w:r>
          </w:p>
          <w:p w14:paraId="2185838C" w14:textId="77777777" w:rsidR="004B6321" w:rsidRDefault="00AC7D7F">
            <w:pPr>
              <w:spacing w:before="1" w:line="211" w:lineRule="auto"/>
              <w:ind w:left="168"/>
              <w:rPr>
                <w:b/>
                <w:sz w:val="18"/>
                <w:szCs w:val="18"/>
              </w:rPr>
            </w:pPr>
            <w:r>
              <w:rPr>
                <w:b/>
                <w:sz w:val="18"/>
                <w:szCs w:val="18"/>
              </w:rPr>
              <w:t>(</w:t>
            </w:r>
            <w:proofErr w:type="spellStart"/>
            <w:r>
              <w:rPr>
                <w:b/>
                <w:sz w:val="18"/>
                <w:szCs w:val="18"/>
              </w:rPr>
              <w:t>mGy</w:t>
            </w:r>
            <w:proofErr w:type="spellEnd"/>
            <w:r>
              <w:rPr>
                <w:b/>
                <w:sz w:val="18"/>
                <w:szCs w:val="18"/>
              </w:rPr>
              <w:t>)</w:t>
            </w:r>
          </w:p>
        </w:tc>
        <w:tc>
          <w:tcPr>
            <w:tcW w:w="911" w:type="dxa"/>
            <w:tcBorders>
              <w:bottom w:val="single" w:sz="4" w:space="0" w:color="000000"/>
            </w:tcBorders>
          </w:tcPr>
          <w:p w14:paraId="1A145047" w14:textId="77777777" w:rsidR="004B6321" w:rsidRDefault="00AC7D7F">
            <w:pPr>
              <w:spacing w:before="1" w:line="225" w:lineRule="auto"/>
              <w:ind w:left="145"/>
              <w:rPr>
                <w:b/>
                <w:sz w:val="18"/>
                <w:szCs w:val="18"/>
              </w:rPr>
            </w:pPr>
            <w:r>
              <w:rPr>
                <w:b/>
                <w:sz w:val="18"/>
                <w:szCs w:val="18"/>
              </w:rPr>
              <w:t>SD</w:t>
            </w:r>
          </w:p>
        </w:tc>
        <w:tc>
          <w:tcPr>
            <w:tcW w:w="1371" w:type="dxa"/>
            <w:tcBorders>
              <w:bottom w:val="single" w:sz="4" w:space="0" w:color="000000"/>
            </w:tcBorders>
          </w:tcPr>
          <w:p w14:paraId="18587309" w14:textId="77777777" w:rsidR="004B6321" w:rsidRDefault="00AC7D7F">
            <w:pPr>
              <w:spacing w:before="1" w:line="225" w:lineRule="auto"/>
              <w:ind w:left="134"/>
              <w:rPr>
                <w:b/>
                <w:sz w:val="18"/>
                <w:szCs w:val="18"/>
              </w:rPr>
            </w:pPr>
            <w:r>
              <w:rPr>
                <w:b/>
                <w:sz w:val="18"/>
                <w:szCs w:val="18"/>
              </w:rPr>
              <w:t>(</w:t>
            </w:r>
            <w:proofErr w:type="spellStart"/>
            <w:r>
              <w:rPr>
                <w:b/>
                <w:sz w:val="18"/>
                <w:szCs w:val="18"/>
              </w:rPr>
              <w:t>mGy</w:t>
            </w:r>
            <w:proofErr w:type="spellEnd"/>
            <w:r>
              <w:rPr>
                <w:b/>
                <w:sz w:val="18"/>
                <w:szCs w:val="18"/>
              </w:rPr>
              <w:t>/</w:t>
            </w:r>
            <w:proofErr w:type="spellStart"/>
            <w:proofErr w:type="gramStart"/>
            <w:r>
              <w:rPr>
                <w:b/>
                <w:sz w:val="18"/>
                <w:szCs w:val="18"/>
              </w:rPr>
              <w:t>mA.s</w:t>
            </w:r>
            <w:proofErr w:type="spellEnd"/>
            <w:proofErr w:type="gramEnd"/>
            <w:r>
              <w:rPr>
                <w:b/>
                <w:sz w:val="18"/>
                <w:szCs w:val="18"/>
              </w:rPr>
              <w:t>)</w:t>
            </w:r>
          </w:p>
        </w:tc>
        <w:tc>
          <w:tcPr>
            <w:tcW w:w="1200" w:type="dxa"/>
            <w:tcBorders>
              <w:bottom w:val="single" w:sz="4" w:space="0" w:color="000000"/>
            </w:tcBorders>
          </w:tcPr>
          <w:p w14:paraId="1441DF70" w14:textId="77777777" w:rsidR="004B6321" w:rsidRDefault="00AC7D7F">
            <w:pPr>
              <w:spacing w:before="1" w:line="225" w:lineRule="auto"/>
              <w:ind w:left="113"/>
              <w:rPr>
                <w:b/>
                <w:sz w:val="18"/>
                <w:szCs w:val="18"/>
              </w:rPr>
            </w:pPr>
            <w:r>
              <w:rPr>
                <w:b/>
                <w:sz w:val="18"/>
                <w:szCs w:val="18"/>
              </w:rPr>
              <w:t>Air/ Water</w:t>
            </w:r>
          </w:p>
        </w:tc>
      </w:tr>
      <w:tr w:rsidR="004B6321" w14:paraId="24E52231" w14:textId="77777777">
        <w:trPr>
          <w:trHeight w:val="180"/>
        </w:trPr>
        <w:tc>
          <w:tcPr>
            <w:tcW w:w="1417" w:type="dxa"/>
            <w:vMerge w:val="restart"/>
            <w:tcBorders>
              <w:top w:val="single" w:sz="4" w:space="0" w:color="000000"/>
            </w:tcBorders>
          </w:tcPr>
          <w:p w14:paraId="404157C8" w14:textId="77777777" w:rsidR="004B6321" w:rsidRDefault="004B6321">
            <w:pPr>
              <w:spacing w:before="1" w:line="213" w:lineRule="auto"/>
              <w:rPr>
                <w:sz w:val="18"/>
                <w:szCs w:val="18"/>
              </w:rPr>
            </w:pPr>
          </w:p>
          <w:p w14:paraId="25D175F7" w14:textId="77777777" w:rsidR="004B6321" w:rsidRDefault="004B6321">
            <w:pPr>
              <w:spacing w:before="1" w:line="213" w:lineRule="auto"/>
              <w:rPr>
                <w:sz w:val="18"/>
                <w:szCs w:val="18"/>
              </w:rPr>
            </w:pPr>
          </w:p>
          <w:p w14:paraId="6FA74431" w14:textId="77777777" w:rsidR="004B6321" w:rsidRDefault="004B6321">
            <w:pPr>
              <w:spacing w:before="1" w:line="213" w:lineRule="auto"/>
              <w:rPr>
                <w:sz w:val="18"/>
                <w:szCs w:val="18"/>
              </w:rPr>
            </w:pPr>
          </w:p>
          <w:p w14:paraId="7EF0063B" w14:textId="77777777" w:rsidR="004B6321" w:rsidRDefault="004B6321">
            <w:pPr>
              <w:spacing w:before="1" w:line="213" w:lineRule="auto"/>
              <w:rPr>
                <w:sz w:val="18"/>
                <w:szCs w:val="18"/>
              </w:rPr>
            </w:pPr>
          </w:p>
          <w:p w14:paraId="592BFE24" w14:textId="77777777" w:rsidR="004B6321" w:rsidRDefault="004B6321">
            <w:pPr>
              <w:spacing w:before="1" w:line="213" w:lineRule="auto"/>
              <w:rPr>
                <w:sz w:val="18"/>
                <w:szCs w:val="18"/>
              </w:rPr>
            </w:pPr>
          </w:p>
          <w:p w14:paraId="07C19CE6" w14:textId="77777777" w:rsidR="004B6321" w:rsidRDefault="00AC7D7F">
            <w:pPr>
              <w:spacing w:before="1" w:line="213" w:lineRule="auto"/>
              <w:rPr>
                <w:sz w:val="18"/>
                <w:szCs w:val="18"/>
              </w:rPr>
            </w:pPr>
            <w:r>
              <w:rPr>
                <w:sz w:val="18"/>
                <w:szCs w:val="18"/>
              </w:rPr>
              <w:t>40</w:t>
            </w:r>
          </w:p>
          <w:p w14:paraId="29ACD3A9" w14:textId="77777777" w:rsidR="004B6321" w:rsidRDefault="004B6321">
            <w:pPr>
              <w:spacing w:before="1" w:line="213" w:lineRule="auto"/>
              <w:rPr>
                <w:sz w:val="18"/>
                <w:szCs w:val="18"/>
              </w:rPr>
            </w:pPr>
          </w:p>
          <w:p w14:paraId="6640C565" w14:textId="77777777" w:rsidR="004B6321" w:rsidRDefault="004B6321">
            <w:pPr>
              <w:spacing w:before="1" w:line="213" w:lineRule="auto"/>
              <w:rPr>
                <w:sz w:val="18"/>
                <w:szCs w:val="18"/>
              </w:rPr>
            </w:pPr>
          </w:p>
        </w:tc>
        <w:tc>
          <w:tcPr>
            <w:tcW w:w="978" w:type="dxa"/>
            <w:tcBorders>
              <w:top w:val="single" w:sz="4" w:space="0" w:color="000000"/>
            </w:tcBorders>
          </w:tcPr>
          <w:p w14:paraId="5DE1AD13" w14:textId="77777777" w:rsidR="004B6321" w:rsidRDefault="00AC7D7F">
            <w:pPr>
              <w:spacing w:before="1" w:line="213" w:lineRule="auto"/>
              <w:ind w:left="123"/>
              <w:rPr>
                <w:sz w:val="18"/>
                <w:szCs w:val="18"/>
              </w:rPr>
            </w:pPr>
            <w:r>
              <w:rPr>
                <w:sz w:val="18"/>
                <w:szCs w:val="18"/>
              </w:rPr>
              <w:t>40</w:t>
            </w:r>
          </w:p>
        </w:tc>
        <w:tc>
          <w:tcPr>
            <w:tcW w:w="1114" w:type="dxa"/>
            <w:tcBorders>
              <w:top w:val="single" w:sz="4" w:space="0" w:color="000000"/>
            </w:tcBorders>
          </w:tcPr>
          <w:p w14:paraId="35B995A2" w14:textId="77777777" w:rsidR="004B6321" w:rsidRDefault="00AC7D7F">
            <w:pPr>
              <w:spacing w:before="1" w:line="213" w:lineRule="auto"/>
              <w:ind w:left="135"/>
              <w:rPr>
                <w:sz w:val="18"/>
                <w:szCs w:val="18"/>
              </w:rPr>
            </w:pPr>
            <w:r>
              <w:rPr>
                <w:sz w:val="18"/>
                <w:szCs w:val="18"/>
              </w:rPr>
              <w:t>1.62</w:t>
            </w:r>
          </w:p>
        </w:tc>
        <w:tc>
          <w:tcPr>
            <w:tcW w:w="924" w:type="dxa"/>
            <w:tcBorders>
              <w:top w:val="single" w:sz="4" w:space="0" w:color="000000"/>
            </w:tcBorders>
          </w:tcPr>
          <w:p w14:paraId="2BAE38A0" w14:textId="77777777" w:rsidR="004B6321" w:rsidRDefault="00AC7D7F">
            <w:pPr>
              <w:spacing w:before="1" w:line="213" w:lineRule="auto"/>
              <w:ind w:left="192"/>
              <w:rPr>
                <w:sz w:val="18"/>
                <w:szCs w:val="18"/>
              </w:rPr>
            </w:pPr>
            <w:r>
              <w:rPr>
                <w:sz w:val="18"/>
                <w:szCs w:val="18"/>
              </w:rPr>
              <w:t>0.31%</w:t>
            </w:r>
          </w:p>
        </w:tc>
        <w:tc>
          <w:tcPr>
            <w:tcW w:w="1103" w:type="dxa"/>
            <w:tcBorders>
              <w:top w:val="single" w:sz="4" w:space="0" w:color="000000"/>
            </w:tcBorders>
          </w:tcPr>
          <w:p w14:paraId="55BF249F" w14:textId="77777777" w:rsidR="004B6321" w:rsidRDefault="00AC7D7F">
            <w:pPr>
              <w:spacing w:before="1" w:line="213" w:lineRule="auto"/>
              <w:ind w:left="168"/>
              <w:rPr>
                <w:sz w:val="18"/>
                <w:szCs w:val="18"/>
              </w:rPr>
            </w:pPr>
            <w:r>
              <w:rPr>
                <w:sz w:val="18"/>
                <w:szCs w:val="18"/>
              </w:rPr>
              <w:t>1.75</w:t>
            </w:r>
          </w:p>
        </w:tc>
        <w:tc>
          <w:tcPr>
            <w:tcW w:w="911" w:type="dxa"/>
            <w:tcBorders>
              <w:top w:val="single" w:sz="4" w:space="0" w:color="000000"/>
            </w:tcBorders>
          </w:tcPr>
          <w:p w14:paraId="20ECC114" w14:textId="77777777" w:rsidR="004B6321" w:rsidRDefault="00AC7D7F">
            <w:pPr>
              <w:spacing w:before="1" w:line="213" w:lineRule="auto"/>
              <w:ind w:left="145"/>
              <w:rPr>
                <w:sz w:val="18"/>
                <w:szCs w:val="18"/>
              </w:rPr>
            </w:pPr>
            <w:r>
              <w:rPr>
                <w:sz w:val="18"/>
                <w:szCs w:val="18"/>
              </w:rPr>
              <w:t>0.06%</w:t>
            </w:r>
          </w:p>
        </w:tc>
        <w:tc>
          <w:tcPr>
            <w:tcW w:w="1371" w:type="dxa"/>
            <w:tcBorders>
              <w:top w:val="single" w:sz="4" w:space="0" w:color="000000"/>
            </w:tcBorders>
          </w:tcPr>
          <w:p w14:paraId="35B7E386" w14:textId="77777777" w:rsidR="004B6321" w:rsidRDefault="00AC7D7F">
            <w:pPr>
              <w:spacing w:before="1" w:line="213" w:lineRule="auto"/>
              <w:ind w:left="134"/>
              <w:rPr>
                <w:sz w:val="18"/>
                <w:szCs w:val="18"/>
              </w:rPr>
            </w:pPr>
            <w:r>
              <w:rPr>
                <w:sz w:val="18"/>
                <w:szCs w:val="18"/>
              </w:rPr>
              <w:t>0.040</w:t>
            </w:r>
          </w:p>
        </w:tc>
        <w:tc>
          <w:tcPr>
            <w:tcW w:w="1200" w:type="dxa"/>
            <w:tcBorders>
              <w:top w:val="single" w:sz="4" w:space="0" w:color="000000"/>
            </w:tcBorders>
          </w:tcPr>
          <w:p w14:paraId="6AA05B8D" w14:textId="77777777" w:rsidR="004B6321" w:rsidRDefault="00AC7D7F">
            <w:pPr>
              <w:spacing w:before="1" w:line="213" w:lineRule="auto"/>
              <w:ind w:left="113"/>
              <w:rPr>
                <w:sz w:val="18"/>
                <w:szCs w:val="18"/>
              </w:rPr>
            </w:pPr>
            <w:r>
              <w:rPr>
                <w:sz w:val="18"/>
                <w:szCs w:val="18"/>
              </w:rPr>
              <w:t>1.08</w:t>
            </w:r>
          </w:p>
        </w:tc>
      </w:tr>
      <w:tr w:rsidR="004B6321" w14:paraId="65E17562" w14:textId="77777777">
        <w:trPr>
          <w:trHeight w:val="230"/>
        </w:trPr>
        <w:tc>
          <w:tcPr>
            <w:tcW w:w="1417" w:type="dxa"/>
            <w:vMerge/>
          </w:tcPr>
          <w:p w14:paraId="055D6FD8" w14:textId="77777777" w:rsidR="004B6321" w:rsidRDefault="004B6321">
            <w:pPr>
              <w:rPr>
                <w:sz w:val="18"/>
                <w:szCs w:val="18"/>
              </w:rPr>
            </w:pPr>
          </w:p>
        </w:tc>
        <w:tc>
          <w:tcPr>
            <w:tcW w:w="978" w:type="dxa"/>
          </w:tcPr>
          <w:p w14:paraId="6C98743A" w14:textId="77777777" w:rsidR="004B6321" w:rsidRDefault="00AC7D7F">
            <w:pPr>
              <w:spacing w:before="1" w:line="211" w:lineRule="auto"/>
              <w:ind w:left="123"/>
              <w:rPr>
                <w:sz w:val="18"/>
                <w:szCs w:val="18"/>
              </w:rPr>
            </w:pPr>
            <w:r>
              <w:rPr>
                <w:sz w:val="18"/>
                <w:szCs w:val="18"/>
              </w:rPr>
              <w:t>50</w:t>
            </w:r>
          </w:p>
        </w:tc>
        <w:tc>
          <w:tcPr>
            <w:tcW w:w="1114" w:type="dxa"/>
          </w:tcPr>
          <w:p w14:paraId="2FAFCF34" w14:textId="77777777" w:rsidR="004B6321" w:rsidRDefault="00AC7D7F">
            <w:pPr>
              <w:spacing w:before="1" w:line="211" w:lineRule="auto"/>
              <w:ind w:left="135"/>
              <w:rPr>
                <w:sz w:val="18"/>
                <w:szCs w:val="18"/>
              </w:rPr>
            </w:pPr>
            <w:r>
              <w:rPr>
                <w:sz w:val="18"/>
                <w:szCs w:val="18"/>
              </w:rPr>
              <w:t>2.93</w:t>
            </w:r>
          </w:p>
        </w:tc>
        <w:tc>
          <w:tcPr>
            <w:tcW w:w="924" w:type="dxa"/>
          </w:tcPr>
          <w:p w14:paraId="06ACDABB" w14:textId="77777777" w:rsidR="004B6321" w:rsidRDefault="00AC7D7F">
            <w:pPr>
              <w:spacing w:before="1" w:line="211" w:lineRule="auto"/>
              <w:ind w:left="192"/>
              <w:rPr>
                <w:sz w:val="18"/>
                <w:szCs w:val="18"/>
              </w:rPr>
            </w:pPr>
            <w:r>
              <w:rPr>
                <w:sz w:val="18"/>
                <w:szCs w:val="18"/>
              </w:rPr>
              <w:t>0.06%</w:t>
            </w:r>
          </w:p>
        </w:tc>
        <w:tc>
          <w:tcPr>
            <w:tcW w:w="1103" w:type="dxa"/>
          </w:tcPr>
          <w:p w14:paraId="304FED6F" w14:textId="77777777" w:rsidR="004B6321" w:rsidRDefault="00AC7D7F">
            <w:pPr>
              <w:spacing w:before="1" w:line="211" w:lineRule="auto"/>
              <w:ind w:left="168"/>
              <w:rPr>
                <w:sz w:val="18"/>
                <w:szCs w:val="18"/>
              </w:rPr>
            </w:pPr>
            <w:r>
              <w:rPr>
                <w:sz w:val="18"/>
                <w:szCs w:val="18"/>
              </w:rPr>
              <w:t>3.25</w:t>
            </w:r>
          </w:p>
        </w:tc>
        <w:tc>
          <w:tcPr>
            <w:tcW w:w="911" w:type="dxa"/>
          </w:tcPr>
          <w:p w14:paraId="05548954" w14:textId="77777777" w:rsidR="004B6321" w:rsidRDefault="00AC7D7F">
            <w:pPr>
              <w:spacing w:before="1" w:line="211" w:lineRule="auto"/>
              <w:ind w:left="145"/>
              <w:rPr>
                <w:sz w:val="18"/>
                <w:szCs w:val="18"/>
              </w:rPr>
            </w:pPr>
            <w:r>
              <w:rPr>
                <w:sz w:val="18"/>
                <w:szCs w:val="18"/>
              </w:rPr>
              <w:t>1.36%</w:t>
            </w:r>
          </w:p>
        </w:tc>
        <w:tc>
          <w:tcPr>
            <w:tcW w:w="1371" w:type="dxa"/>
          </w:tcPr>
          <w:p w14:paraId="1725125E" w14:textId="77777777" w:rsidR="004B6321" w:rsidRDefault="00AC7D7F">
            <w:pPr>
              <w:spacing w:before="1" w:line="211" w:lineRule="auto"/>
              <w:ind w:left="134"/>
              <w:rPr>
                <w:sz w:val="18"/>
                <w:szCs w:val="18"/>
              </w:rPr>
            </w:pPr>
            <w:r>
              <w:rPr>
                <w:sz w:val="18"/>
                <w:szCs w:val="18"/>
              </w:rPr>
              <w:t>0.073</w:t>
            </w:r>
          </w:p>
        </w:tc>
        <w:tc>
          <w:tcPr>
            <w:tcW w:w="1200" w:type="dxa"/>
          </w:tcPr>
          <w:p w14:paraId="043E5221" w14:textId="77777777" w:rsidR="004B6321" w:rsidRDefault="00AC7D7F">
            <w:pPr>
              <w:spacing w:before="1" w:line="211" w:lineRule="auto"/>
              <w:ind w:left="113"/>
              <w:rPr>
                <w:sz w:val="18"/>
                <w:szCs w:val="18"/>
              </w:rPr>
            </w:pPr>
            <w:r>
              <w:rPr>
                <w:sz w:val="18"/>
                <w:szCs w:val="18"/>
              </w:rPr>
              <w:t>1.11</w:t>
            </w:r>
          </w:p>
        </w:tc>
      </w:tr>
      <w:tr w:rsidR="004B6321" w14:paraId="3A918ECE" w14:textId="77777777">
        <w:trPr>
          <w:trHeight w:val="230"/>
        </w:trPr>
        <w:tc>
          <w:tcPr>
            <w:tcW w:w="1417" w:type="dxa"/>
            <w:vMerge/>
          </w:tcPr>
          <w:p w14:paraId="15610FB0" w14:textId="77777777" w:rsidR="004B6321" w:rsidRDefault="004B6321">
            <w:pPr>
              <w:rPr>
                <w:sz w:val="18"/>
                <w:szCs w:val="18"/>
              </w:rPr>
            </w:pPr>
          </w:p>
        </w:tc>
        <w:tc>
          <w:tcPr>
            <w:tcW w:w="978" w:type="dxa"/>
          </w:tcPr>
          <w:p w14:paraId="47A399AB" w14:textId="77777777" w:rsidR="004B6321" w:rsidRDefault="00AC7D7F">
            <w:pPr>
              <w:spacing w:before="1" w:line="210" w:lineRule="auto"/>
              <w:ind w:left="123"/>
              <w:rPr>
                <w:sz w:val="18"/>
                <w:szCs w:val="18"/>
              </w:rPr>
            </w:pPr>
            <w:r>
              <w:rPr>
                <w:sz w:val="18"/>
                <w:szCs w:val="18"/>
              </w:rPr>
              <w:t>60</w:t>
            </w:r>
          </w:p>
        </w:tc>
        <w:tc>
          <w:tcPr>
            <w:tcW w:w="1114" w:type="dxa"/>
          </w:tcPr>
          <w:p w14:paraId="6A4B20F1" w14:textId="77777777" w:rsidR="004B6321" w:rsidRDefault="00AC7D7F">
            <w:pPr>
              <w:spacing w:before="1" w:line="210" w:lineRule="auto"/>
              <w:ind w:left="135"/>
              <w:rPr>
                <w:sz w:val="18"/>
                <w:szCs w:val="18"/>
              </w:rPr>
            </w:pPr>
            <w:r>
              <w:rPr>
                <w:sz w:val="18"/>
                <w:szCs w:val="18"/>
              </w:rPr>
              <w:t>4.37</w:t>
            </w:r>
          </w:p>
        </w:tc>
        <w:tc>
          <w:tcPr>
            <w:tcW w:w="924" w:type="dxa"/>
          </w:tcPr>
          <w:p w14:paraId="5F3BA600" w14:textId="77777777" w:rsidR="004B6321" w:rsidRDefault="00AC7D7F">
            <w:pPr>
              <w:spacing w:before="1" w:line="210" w:lineRule="auto"/>
              <w:ind w:left="192"/>
              <w:rPr>
                <w:sz w:val="18"/>
                <w:szCs w:val="18"/>
              </w:rPr>
            </w:pPr>
            <w:r>
              <w:rPr>
                <w:sz w:val="18"/>
                <w:szCs w:val="18"/>
              </w:rPr>
              <w:t>0.57%</w:t>
            </w:r>
          </w:p>
        </w:tc>
        <w:tc>
          <w:tcPr>
            <w:tcW w:w="1103" w:type="dxa"/>
          </w:tcPr>
          <w:p w14:paraId="0E5C2FC9" w14:textId="77777777" w:rsidR="004B6321" w:rsidRDefault="00AC7D7F">
            <w:pPr>
              <w:spacing w:before="1" w:line="210" w:lineRule="auto"/>
              <w:ind w:left="168"/>
              <w:rPr>
                <w:sz w:val="18"/>
                <w:szCs w:val="18"/>
              </w:rPr>
            </w:pPr>
            <w:r>
              <w:rPr>
                <w:sz w:val="18"/>
                <w:szCs w:val="18"/>
              </w:rPr>
              <w:t>4.93</w:t>
            </w:r>
          </w:p>
        </w:tc>
        <w:tc>
          <w:tcPr>
            <w:tcW w:w="911" w:type="dxa"/>
          </w:tcPr>
          <w:p w14:paraId="01A1E713" w14:textId="77777777" w:rsidR="004B6321" w:rsidRDefault="00AC7D7F">
            <w:pPr>
              <w:spacing w:before="1" w:line="210" w:lineRule="auto"/>
              <w:ind w:left="145"/>
              <w:rPr>
                <w:sz w:val="18"/>
                <w:szCs w:val="18"/>
              </w:rPr>
            </w:pPr>
            <w:r>
              <w:rPr>
                <w:sz w:val="18"/>
                <w:szCs w:val="18"/>
              </w:rPr>
              <w:t>0.60%</w:t>
            </w:r>
          </w:p>
        </w:tc>
        <w:tc>
          <w:tcPr>
            <w:tcW w:w="1371" w:type="dxa"/>
          </w:tcPr>
          <w:p w14:paraId="3B2A6818" w14:textId="77777777" w:rsidR="004B6321" w:rsidRDefault="00AC7D7F">
            <w:pPr>
              <w:spacing w:before="1" w:line="210" w:lineRule="auto"/>
              <w:ind w:left="134"/>
              <w:rPr>
                <w:sz w:val="18"/>
                <w:szCs w:val="18"/>
              </w:rPr>
            </w:pPr>
            <w:r>
              <w:rPr>
                <w:sz w:val="18"/>
                <w:szCs w:val="18"/>
              </w:rPr>
              <w:t>0.109</w:t>
            </w:r>
          </w:p>
        </w:tc>
        <w:tc>
          <w:tcPr>
            <w:tcW w:w="1200" w:type="dxa"/>
          </w:tcPr>
          <w:p w14:paraId="64E8304B" w14:textId="77777777" w:rsidR="004B6321" w:rsidRDefault="00AC7D7F">
            <w:pPr>
              <w:spacing w:before="1" w:line="210" w:lineRule="auto"/>
              <w:ind w:left="113"/>
              <w:rPr>
                <w:sz w:val="18"/>
                <w:szCs w:val="18"/>
              </w:rPr>
            </w:pPr>
            <w:r>
              <w:rPr>
                <w:sz w:val="18"/>
                <w:szCs w:val="18"/>
              </w:rPr>
              <w:t>1.13</w:t>
            </w:r>
          </w:p>
        </w:tc>
      </w:tr>
      <w:tr w:rsidR="004B6321" w14:paraId="21439F63" w14:textId="77777777">
        <w:trPr>
          <w:trHeight w:val="230"/>
        </w:trPr>
        <w:tc>
          <w:tcPr>
            <w:tcW w:w="1417" w:type="dxa"/>
            <w:vMerge/>
          </w:tcPr>
          <w:p w14:paraId="7D203B57" w14:textId="77777777" w:rsidR="004B6321" w:rsidRDefault="004B6321">
            <w:pPr>
              <w:rPr>
                <w:sz w:val="18"/>
                <w:szCs w:val="18"/>
              </w:rPr>
            </w:pPr>
          </w:p>
        </w:tc>
        <w:tc>
          <w:tcPr>
            <w:tcW w:w="978" w:type="dxa"/>
          </w:tcPr>
          <w:p w14:paraId="589175E2" w14:textId="77777777" w:rsidR="004B6321" w:rsidRDefault="00AC7D7F">
            <w:pPr>
              <w:spacing w:before="1" w:line="210" w:lineRule="auto"/>
              <w:ind w:left="123"/>
              <w:rPr>
                <w:sz w:val="18"/>
                <w:szCs w:val="18"/>
              </w:rPr>
            </w:pPr>
            <w:r>
              <w:rPr>
                <w:sz w:val="18"/>
                <w:szCs w:val="18"/>
              </w:rPr>
              <w:t>70</w:t>
            </w:r>
          </w:p>
        </w:tc>
        <w:tc>
          <w:tcPr>
            <w:tcW w:w="1114" w:type="dxa"/>
          </w:tcPr>
          <w:p w14:paraId="5F6453EA" w14:textId="77777777" w:rsidR="004B6321" w:rsidRDefault="00AC7D7F">
            <w:pPr>
              <w:spacing w:before="1" w:line="210" w:lineRule="auto"/>
              <w:ind w:left="135"/>
              <w:rPr>
                <w:sz w:val="18"/>
                <w:szCs w:val="18"/>
              </w:rPr>
            </w:pPr>
            <w:r>
              <w:rPr>
                <w:sz w:val="18"/>
                <w:szCs w:val="18"/>
              </w:rPr>
              <w:t>5.93</w:t>
            </w:r>
          </w:p>
        </w:tc>
        <w:tc>
          <w:tcPr>
            <w:tcW w:w="924" w:type="dxa"/>
          </w:tcPr>
          <w:p w14:paraId="26F418AB" w14:textId="77777777" w:rsidR="004B6321" w:rsidRDefault="00AC7D7F">
            <w:pPr>
              <w:spacing w:before="1" w:line="210" w:lineRule="auto"/>
              <w:ind w:left="192"/>
              <w:rPr>
                <w:sz w:val="18"/>
                <w:szCs w:val="18"/>
              </w:rPr>
            </w:pPr>
            <w:r>
              <w:rPr>
                <w:sz w:val="18"/>
                <w:szCs w:val="18"/>
              </w:rPr>
              <w:t>0.49%</w:t>
            </w:r>
          </w:p>
        </w:tc>
        <w:tc>
          <w:tcPr>
            <w:tcW w:w="1103" w:type="dxa"/>
          </w:tcPr>
          <w:p w14:paraId="7D6317BB" w14:textId="77777777" w:rsidR="004B6321" w:rsidRDefault="00AC7D7F">
            <w:pPr>
              <w:spacing w:before="1" w:line="210" w:lineRule="auto"/>
              <w:ind w:left="168"/>
              <w:rPr>
                <w:sz w:val="18"/>
                <w:szCs w:val="18"/>
              </w:rPr>
            </w:pPr>
            <w:r>
              <w:rPr>
                <w:sz w:val="18"/>
                <w:szCs w:val="18"/>
              </w:rPr>
              <w:t>6.77</w:t>
            </w:r>
          </w:p>
        </w:tc>
        <w:tc>
          <w:tcPr>
            <w:tcW w:w="911" w:type="dxa"/>
          </w:tcPr>
          <w:p w14:paraId="5D92694D" w14:textId="77777777" w:rsidR="004B6321" w:rsidRDefault="00AC7D7F">
            <w:pPr>
              <w:spacing w:before="1" w:line="210" w:lineRule="auto"/>
              <w:ind w:left="145"/>
              <w:rPr>
                <w:sz w:val="18"/>
                <w:szCs w:val="18"/>
              </w:rPr>
            </w:pPr>
            <w:r>
              <w:rPr>
                <w:sz w:val="18"/>
                <w:szCs w:val="18"/>
              </w:rPr>
              <w:t>0.61%</w:t>
            </w:r>
          </w:p>
        </w:tc>
        <w:tc>
          <w:tcPr>
            <w:tcW w:w="1371" w:type="dxa"/>
          </w:tcPr>
          <w:p w14:paraId="54DE9F4A" w14:textId="77777777" w:rsidR="004B6321" w:rsidRDefault="00AC7D7F">
            <w:pPr>
              <w:spacing w:before="1" w:line="210" w:lineRule="auto"/>
              <w:ind w:left="134"/>
              <w:rPr>
                <w:sz w:val="18"/>
                <w:szCs w:val="18"/>
              </w:rPr>
            </w:pPr>
            <w:r>
              <w:rPr>
                <w:sz w:val="18"/>
                <w:szCs w:val="18"/>
              </w:rPr>
              <w:t>0.148</w:t>
            </w:r>
          </w:p>
        </w:tc>
        <w:tc>
          <w:tcPr>
            <w:tcW w:w="1200" w:type="dxa"/>
          </w:tcPr>
          <w:p w14:paraId="7B91BE6F" w14:textId="77777777" w:rsidR="004B6321" w:rsidRDefault="00AC7D7F">
            <w:pPr>
              <w:spacing w:before="1" w:line="210" w:lineRule="auto"/>
              <w:ind w:left="113"/>
              <w:rPr>
                <w:sz w:val="18"/>
                <w:szCs w:val="18"/>
              </w:rPr>
            </w:pPr>
            <w:r>
              <w:rPr>
                <w:sz w:val="18"/>
                <w:szCs w:val="18"/>
              </w:rPr>
              <w:t>1.14</w:t>
            </w:r>
          </w:p>
        </w:tc>
      </w:tr>
      <w:tr w:rsidR="004B6321" w14:paraId="5923E921" w14:textId="77777777">
        <w:trPr>
          <w:trHeight w:val="229"/>
        </w:trPr>
        <w:tc>
          <w:tcPr>
            <w:tcW w:w="1417" w:type="dxa"/>
            <w:vMerge/>
          </w:tcPr>
          <w:p w14:paraId="3A466491" w14:textId="77777777" w:rsidR="004B6321" w:rsidRDefault="004B6321">
            <w:pPr>
              <w:rPr>
                <w:sz w:val="18"/>
                <w:szCs w:val="18"/>
              </w:rPr>
            </w:pPr>
          </w:p>
        </w:tc>
        <w:tc>
          <w:tcPr>
            <w:tcW w:w="978" w:type="dxa"/>
          </w:tcPr>
          <w:p w14:paraId="398CF315" w14:textId="77777777" w:rsidR="004B6321" w:rsidRDefault="00AC7D7F">
            <w:pPr>
              <w:spacing w:before="1" w:line="209" w:lineRule="auto"/>
              <w:ind w:left="123"/>
              <w:rPr>
                <w:sz w:val="18"/>
                <w:szCs w:val="18"/>
              </w:rPr>
            </w:pPr>
            <w:r>
              <w:rPr>
                <w:sz w:val="18"/>
                <w:szCs w:val="18"/>
              </w:rPr>
              <w:t>81</w:t>
            </w:r>
          </w:p>
        </w:tc>
        <w:tc>
          <w:tcPr>
            <w:tcW w:w="1114" w:type="dxa"/>
          </w:tcPr>
          <w:p w14:paraId="6F562F63" w14:textId="77777777" w:rsidR="004B6321" w:rsidRDefault="00AC7D7F">
            <w:pPr>
              <w:spacing w:before="1" w:line="209" w:lineRule="auto"/>
              <w:ind w:left="135"/>
              <w:rPr>
                <w:sz w:val="18"/>
                <w:szCs w:val="18"/>
              </w:rPr>
            </w:pPr>
            <w:r>
              <w:rPr>
                <w:sz w:val="18"/>
                <w:szCs w:val="18"/>
              </w:rPr>
              <w:t>7.61</w:t>
            </w:r>
          </w:p>
        </w:tc>
        <w:tc>
          <w:tcPr>
            <w:tcW w:w="924" w:type="dxa"/>
          </w:tcPr>
          <w:p w14:paraId="5864E319" w14:textId="77777777" w:rsidR="004B6321" w:rsidRDefault="00AC7D7F">
            <w:pPr>
              <w:spacing w:before="1" w:line="209" w:lineRule="auto"/>
              <w:ind w:left="192"/>
              <w:rPr>
                <w:sz w:val="18"/>
                <w:szCs w:val="18"/>
              </w:rPr>
            </w:pPr>
            <w:r>
              <w:rPr>
                <w:sz w:val="18"/>
                <w:szCs w:val="18"/>
              </w:rPr>
              <w:t>0.83%</w:t>
            </w:r>
          </w:p>
        </w:tc>
        <w:tc>
          <w:tcPr>
            <w:tcW w:w="1103" w:type="dxa"/>
          </w:tcPr>
          <w:p w14:paraId="316912EB" w14:textId="77777777" w:rsidR="004B6321" w:rsidRDefault="00AC7D7F">
            <w:pPr>
              <w:spacing w:before="1" w:line="209" w:lineRule="auto"/>
              <w:ind w:left="168"/>
              <w:rPr>
                <w:sz w:val="18"/>
                <w:szCs w:val="18"/>
              </w:rPr>
            </w:pPr>
            <w:r>
              <w:rPr>
                <w:sz w:val="18"/>
                <w:szCs w:val="18"/>
              </w:rPr>
              <w:t>8.82</w:t>
            </w:r>
          </w:p>
        </w:tc>
        <w:tc>
          <w:tcPr>
            <w:tcW w:w="911" w:type="dxa"/>
          </w:tcPr>
          <w:p w14:paraId="27079D3C" w14:textId="77777777" w:rsidR="004B6321" w:rsidRDefault="00AC7D7F">
            <w:pPr>
              <w:spacing w:before="1" w:line="209" w:lineRule="auto"/>
              <w:ind w:left="145"/>
              <w:rPr>
                <w:sz w:val="18"/>
                <w:szCs w:val="18"/>
              </w:rPr>
            </w:pPr>
            <w:r>
              <w:rPr>
                <w:sz w:val="18"/>
                <w:szCs w:val="18"/>
              </w:rPr>
              <w:t>0.59%</w:t>
            </w:r>
          </w:p>
        </w:tc>
        <w:tc>
          <w:tcPr>
            <w:tcW w:w="1371" w:type="dxa"/>
          </w:tcPr>
          <w:p w14:paraId="6A27D4CC" w14:textId="77777777" w:rsidR="004B6321" w:rsidRDefault="00AC7D7F">
            <w:pPr>
              <w:spacing w:before="1" w:line="209" w:lineRule="auto"/>
              <w:ind w:left="134"/>
              <w:rPr>
                <w:sz w:val="18"/>
                <w:szCs w:val="18"/>
              </w:rPr>
            </w:pPr>
            <w:r>
              <w:rPr>
                <w:sz w:val="18"/>
                <w:szCs w:val="18"/>
              </w:rPr>
              <w:t>0.190</w:t>
            </w:r>
          </w:p>
        </w:tc>
        <w:tc>
          <w:tcPr>
            <w:tcW w:w="1200" w:type="dxa"/>
          </w:tcPr>
          <w:p w14:paraId="151B7353" w14:textId="77777777" w:rsidR="004B6321" w:rsidRDefault="00AC7D7F">
            <w:pPr>
              <w:spacing w:before="1" w:line="209" w:lineRule="auto"/>
              <w:ind w:left="113"/>
              <w:rPr>
                <w:sz w:val="18"/>
                <w:szCs w:val="18"/>
              </w:rPr>
            </w:pPr>
            <w:r>
              <w:rPr>
                <w:sz w:val="18"/>
                <w:szCs w:val="18"/>
              </w:rPr>
              <w:t>1.16</w:t>
            </w:r>
          </w:p>
        </w:tc>
      </w:tr>
      <w:tr w:rsidR="004B6321" w14:paraId="0FBCEDAD" w14:textId="77777777">
        <w:trPr>
          <w:trHeight w:val="229"/>
        </w:trPr>
        <w:tc>
          <w:tcPr>
            <w:tcW w:w="1417" w:type="dxa"/>
            <w:vMerge/>
          </w:tcPr>
          <w:p w14:paraId="51B376BF" w14:textId="77777777" w:rsidR="004B6321" w:rsidRDefault="004B6321">
            <w:pPr>
              <w:rPr>
                <w:sz w:val="18"/>
                <w:szCs w:val="18"/>
              </w:rPr>
            </w:pPr>
          </w:p>
        </w:tc>
        <w:tc>
          <w:tcPr>
            <w:tcW w:w="978" w:type="dxa"/>
          </w:tcPr>
          <w:p w14:paraId="6CDF5C78" w14:textId="77777777" w:rsidR="004B6321" w:rsidRDefault="00AC7D7F">
            <w:pPr>
              <w:spacing w:before="1" w:line="209" w:lineRule="auto"/>
              <w:ind w:left="123"/>
              <w:rPr>
                <w:sz w:val="18"/>
                <w:szCs w:val="18"/>
              </w:rPr>
            </w:pPr>
            <w:r>
              <w:rPr>
                <w:sz w:val="18"/>
                <w:szCs w:val="18"/>
              </w:rPr>
              <w:t>90</w:t>
            </w:r>
          </w:p>
        </w:tc>
        <w:tc>
          <w:tcPr>
            <w:tcW w:w="1114" w:type="dxa"/>
          </w:tcPr>
          <w:p w14:paraId="4FEB54B0" w14:textId="77777777" w:rsidR="004B6321" w:rsidRDefault="00AC7D7F">
            <w:pPr>
              <w:spacing w:before="1" w:line="209" w:lineRule="auto"/>
              <w:ind w:left="135"/>
              <w:rPr>
                <w:sz w:val="18"/>
                <w:szCs w:val="18"/>
              </w:rPr>
            </w:pPr>
            <w:r>
              <w:rPr>
                <w:sz w:val="18"/>
                <w:szCs w:val="18"/>
              </w:rPr>
              <w:t>8.95</w:t>
            </w:r>
          </w:p>
        </w:tc>
        <w:tc>
          <w:tcPr>
            <w:tcW w:w="924" w:type="dxa"/>
          </w:tcPr>
          <w:p w14:paraId="121CCFC3" w14:textId="77777777" w:rsidR="004B6321" w:rsidRDefault="00AC7D7F">
            <w:pPr>
              <w:spacing w:before="1" w:line="209" w:lineRule="auto"/>
              <w:ind w:left="192"/>
              <w:rPr>
                <w:sz w:val="18"/>
                <w:szCs w:val="18"/>
              </w:rPr>
            </w:pPr>
            <w:r>
              <w:rPr>
                <w:sz w:val="18"/>
                <w:szCs w:val="18"/>
              </w:rPr>
              <w:t>0.87%</w:t>
            </w:r>
          </w:p>
        </w:tc>
        <w:tc>
          <w:tcPr>
            <w:tcW w:w="1103" w:type="dxa"/>
          </w:tcPr>
          <w:p w14:paraId="765B2DEC" w14:textId="77777777" w:rsidR="004B6321" w:rsidRDefault="00AC7D7F">
            <w:pPr>
              <w:spacing w:before="1" w:line="209" w:lineRule="auto"/>
              <w:ind w:left="168"/>
              <w:rPr>
                <w:sz w:val="18"/>
                <w:szCs w:val="18"/>
              </w:rPr>
            </w:pPr>
            <w:r>
              <w:rPr>
                <w:sz w:val="18"/>
                <w:szCs w:val="18"/>
              </w:rPr>
              <w:t>10.46</w:t>
            </w:r>
          </w:p>
        </w:tc>
        <w:tc>
          <w:tcPr>
            <w:tcW w:w="911" w:type="dxa"/>
          </w:tcPr>
          <w:p w14:paraId="22FDBEE2" w14:textId="77777777" w:rsidR="004B6321" w:rsidRDefault="00AC7D7F">
            <w:pPr>
              <w:spacing w:before="1" w:line="209" w:lineRule="auto"/>
              <w:ind w:left="145"/>
              <w:rPr>
                <w:sz w:val="18"/>
                <w:szCs w:val="18"/>
              </w:rPr>
            </w:pPr>
            <w:r>
              <w:rPr>
                <w:sz w:val="18"/>
                <w:szCs w:val="18"/>
              </w:rPr>
              <w:t>0.58%</w:t>
            </w:r>
          </w:p>
        </w:tc>
        <w:tc>
          <w:tcPr>
            <w:tcW w:w="1371" w:type="dxa"/>
          </w:tcPr>
          <w:p w14:paraId="7B909939" w14:textId="77777777" w:rsidR="004B6321" w:rsidRDefault="00AC7D7F">
            <w:pPr>
              <w:spacing w:before="1" w:line="209" w:lineRule="auto"/>
              <w:ind w:left="134"/>
              <w:rPr>
                <w:sz w:val="18"/>
                <w:szCs w:val="18"/>
              </w:rPr>
            </w:pPr>
            <w:r>
              <w:rPr>
                <w:sz w:val="18"/>
                <w:szCs w:val="18"/>
              </w:rPr>
              <w:t>0.224</w:t>
            </w:r>
          </w:p>
        </w:tc>
        <w:tc>
          <w:tcPr>
            <w:tcW w:w="1200" w:type="dxa"/>
          </w:tcPr>
          <w:p w14:paraId="75531797" w14:textId="77777777" w:rsidR="004B6321" w:rsidRDefault="00AC7D7F">
            <w:pPr>
              <w:spacing w:before="1" w:line="209" w:lineRule="auto"/>
              <w:ind w:left="113"/>
              <w:rPr>
                <w:sz w:val="18"/>
                <w:szCs w:val="18"/>
              </w:rPr>
            </w:pPr>
            <w:r>
              <w:rPr>
                <w:sz w:val="18"/>
                <w:szCs w:val="18"/>
              </w:rPr>
              <w:t>1.17</w:t>
            </w:r>
          </w:p>
        </w:tc>
      </w:tr>
      <w:tr w:rsidR="004B6321" w14:paraId="00C32ABA" w14:textId="77777777">
        <w:trPr>
          <w:trHeight w:val="230"/>
        </w:trPr>
        <w:tc>
          <w:tcPr>
            <w:tcW w:w="1417" w:type="dxa"/>
            <w:vMerge/>
          </w:tcPr>
          <w:p w14:paraId="5DF6B606" w14:textId="77777777" w:rsidR="004B6321" w:rsidRDefault="004B6321">
            <w:pPr>
              <w:rPr>
                <w:sz w:val="18"/>
                <w:szCs w:val="18"/>
              </w:rPr>
            </w:pPr>
          </w:p>
        </w:tc>
        <w:tc>
          <w:tcPr>
            <w:tcW w:w="978" w:type="dxa"/>
          </w:tcPr>
          <w:p w14:paraId="5CB1FC83" w14:textId="77777777" w:rsidR="004B6321" w:rsidRDefault="00AC7D7F">
            <w:pPr>
              <w:spacing w:before="1" w:line="210" w:lineRule="auto"/>
              <w:ind w:left="123"/>
              <w:rPr>
                <w:sz w:val="18"/>
                <w:szCs w:val="18"/>
              </w:rPr>
            </w:pPr>
            <w:r>
              <w:rPr>
                <w:sz w:val="18"/>
                <w:szCs w:val="18"/>
              </w:rPr>
              <w:t>102</w:t>
            </w:r>
          </w:p>
        </w:tc>
        <w:tc>
          <w:tcPr>
            <w:tcW w:w="1114" w:type="dxa"/>
          </w:tcPr>
          <w:p w14:paraId="333122DB" w14:textId="77777777" w:rsidR="004B6321" w:rsidRDefault="00AC7D7F">
            <w:pPr>
              <w:spacing w:before="1" w:line="210" w:lineRule="auto"/>
              <w:ind w:left="135"/>
              <w:rPr>
                <w:sz w:val="18"/>
                <w:szCs w:val="18"/>
              </w:rPr>
            </w:pPr>
            <w:r>
              <w:rPr>
                <w:sz w:val="18"/>
                <w:szCs w:val="18"/>
              </w:rPr>
              <w:t>10.88</w:t>
            </w:r>
          </w:p>
        </w:tc>
        <w:tc>
          <w:tcPr>
            <w:tcW w:w="924" w:type="dxa"/>
          </w:tcPr>
          <w:p w14:paraId="7F12E94C" w14:textId="77777777" w:rsidR="004B6321" w:rsidRDefault="00AC7D7F">
            <w:pPr>
              <w:spacing w:before="1" w:line="210" w:lineRule="auto"/>
              <w:ind w:left="192"/>
              <w:rPr>
                <w:sz w:val="18"/>
                <w:szCs w:val="18"/>
              </w:rPr>
            </w:pPr>
            <w:r>
              <w:rPr>
                <w:sz w:val="18"/>
                <w:szCs w:val="18"/>
              </w:rPr>
              <w:t>4.04%</w:t>
            </w:r>
          </w:p>
        </w:tc>
        <w:tc>
          <w:tcPr>
            <w:tcW w:w="1103" w:type="dxa"/>
          </w:tcPr>
          <w:p w14:paraId="138CFC3A" w14:textId="77777777" w:rsidR="004B6321" w:rsidRDefault="00AC7D7F">
            <w:pPr>
              <w:spacing w:before="1" w:line="210" w:lineRule="auto"/>
              <w:ind w:left="168"/>
              <w:rPr>
                <w:sz w:val="18"/>
                <w:szCs w:val="18"/>
              </w:rPr>
            </w:pPr>
            <w:r>
              <w:rPr>
                <w:sz w:val="18"/>
                <w:szCs w:val="18"/>
              </w:rPr>
              <w:t>12.93</w:t>
            </w:r>
          </w:p>
        </w:tc>
        <w:tc>
          <w:tcPr>
            <w:tcW w:w="911" w:type="dxa"/>
          </w:tcPr>
          <w:p w14:paraId="22B4FB0A" w14:textId="77777777" w:rsidR="004B6321" w:rsidRDefault="00AC7D7F">
            <w:pPr>
              <w:spacing w:before="1" w:line="210" w:lineRule="auto"/>
              <w:ind w:left="145"/>
              <w:rPr>
                <w:sz w:val="18"/>
                <w:szCs w:val="18"/>
              </w:rPr>
            </w:pPr>
            <w:r>
              <w:rPr>
                <w:sz w:val="18"/>
                <w:szCs w:val="18"/>
              </w:rPr>
              <w:t>2.65%</w:t>
            </w:r>
          </w:p>
        </w:tc>
        <w:tc>
          <w:tcPr>
            <w:tcW w:w="1371" w:type="dxa"/>
          </w:tcPr>
          <w:p w14:paraId="140F6A6E" w14:textId="77777777" w:rsidR="004B6321" w:rsidRDefault="00AC7D7F">
            <w:pPr>
              <w:spacing w:before="1" w:line="210" w:lineRule="auto"/>
              <w:ind w:left="134"/>
              <w:rPr>
                <w:sz w:val="18"/>
                <w:szCs w:val="18"/>
              </w:rPr>
            </w:pPr>
            <w:r>
              <w:rPr>
                <w:sz w:val="18"/>
                <w:szCs w:val="18"/>
              </w:rPr>
              <w:t>0.272</w:t>
            </w:r>
          </w:p>
        </w:tc>
        <w:tc>
          <w:tcPr>
            <w:tcW w:w="1200" w:type="dxa"/>
          </w:tcPr>
          <w:p w14:paraId="2E72AF7D" w14:textId="77777777" w:rsidR="004B6321" w:rsidRDefault="00AC7D7F">
            <w:pPr>
              <w:spacing w:before="1" w:line="210" w:lineRule="auto"/>
              <w:ind w:left="113"/>
              <w:rPr>
                <w:sz w:val="18"/>
                <w:szCs w:val="18"/>
              </w:rPr>
            </w:pPr>
            <w:r>
              <w:rPr>
                <w:sz w:val="18"/>
                <w:szCs w:val="18"/>
              </w:rPr>
              <w:t>1.19</w:t>
            </w:r>
          </w:p>
        </w:tc>
      </w:tr>
      <w:tr w:rsidR="004B6321" w14:paraId="39AD7587" w14:textId="77777777">
        <w:trPr>
          <w:trHeight w:val="230"/>
        </w:trPr>
        <w:tc>
          <w:tcPr>
            <w:tcW w:w="1417" w:type="dxa"/>
            <w:vMerge/>
          </w:tcPr>
          <w:p w14:paraId="5A4ACCA7" w14:textId="77777777" w:rsidR="004B6321" w:rsidRDefault="004B6321">
            <w:pPr>
              <w:rPr>
                <w:sz w:val="18"/>
                <w:szCs w:val="18"/>
              </w:rPr>
            </w:pPr>
          </w:p>
        </w:tc>
        <w:tc>
          <w:tcPr>
            <w:tcW w:w="978" w:type="dxa"/>
          </w:tcPr>
          <w:p w14:paraId="029A0D85" w14:textId="77777777" w:rsidR="004B6321" w:rsidRDefault="00AC7D7F">
            <w:pPr>
              <w:spacing w:before="1" w:line="210" w:lineRule="auto"/>
              <w:ind w:left="123"/>
              <w:rPr>
                <w:sz w:val="18"/>
                <w:szCs w:val="18"/>
              </w:rPr>
            </w:pPr>
            <w:r>
              <w:rPr>
                <w:sz w:val="18"/>
                <w:szCs w:val="18"/>
              </w:rPr>
              <w:t>109</w:t>
            </w:r>
          </w:p>
        </w:tc>
        <w:tc>
          <w:tcPr>
            <w:tcW w:w="1114" w:type="dxa"/>
          </w:tcPr>
          <w:p w14:paraId="6B056701" w14:textId="77777777" w:rsidR="004B6321" w:rsidRDefault="00AC7D7F">
            <w:pPr>
              <w:spacing w:before="1" w:line="210" w:lineRule="auto"/>
              <w:ind w:left="135"/>
              <w:rPr>
                <w:sz w:val="18"/>
                <w:szCs w:val="18"/>
              </w:rPr>
            </w:pPr>
            <w:r>
              <w:rPr>
                <w:sz w:val="18"/>
                <w:szCs w:val="18"/>
              </w:rPr>
              <w:t>12.10</w:t>
            </w:r>
          </w:p>
        </w:tc>
        <w:tc>
          <w:tcPr>
            <w:tcW w:w="924" w:type="dxa"/>
          </w:tcPr>
          <w:p w14:paraId="494D7A57" w14:textId="77777777" w:rsidR="004B6321" w:rsidRDefault="00AC7D7F">
            <w:pPr>
              <w:spacing w:before="1" w:line="210" w:lineRule="auto"/>
              <w:ind w:left="192"/>
              <w:rPr>
                <w:sz w:val="18"/>
                <w:szCs w:val="18"/>
              </w:rPr>
            </w:pPr>
            <w:r>
              <w:rPr>
                <w:sz w:val="18"/>
                <w:szCs w:val="18"/>
              </w:rPr>
              <w:t>3.06%</w:t>
            </w:r>
          </w:p>
        </w:tc>
        <w:tc>
          <w:tcPr>
            <w:tcW w:w="1103" w:type="dxa"/>
          </w:tcPr>
          <w:p w14:paraId="3C5B3871" w14:textId="77777777" w:rsidR="004B6321" w:rsidRDefault="00AC7D7F">
            <w:pPr>
              <w:spacing w:before="1" w:line="210" w:lineRule="auto"/>
              <w:ind w:left="168"/>
              <w:rPr>
                <w:sz w:val="18"/>
                <w:szCs w:val="18"/>
              </w:rPr>
            </w:pPr>
            <w:r>
              <w:rPr>
                <w:sz w:val="18"/>
                <w:szCs w:val="18"/>
              </w:rPr>
              <w:t>14.33</w:t>
            </w:r>
          </w:p>
        </w:tc>
        <w:tc>
          <w:tcPr>
            <w:tcW w:w="911" w:type="dxa"/>
          </w:tcPr>
          <w:p w14:paraId="129122EA" w14:textId="77777777" w:rsidR="004B6321" w:rsidRDefault="00AC7D7F">
            <w:pPr>
              <w:spacing w:before="1" w:line="210" w:lineRule="auto"/>
              <w:ind w:left="145"/>
              <w:rPr>
                <w:sz w:val="18"/>
                <w:szCs w:val="18"/>
              </w:rPr>
            </w:pPr>
            <w:r>
              <w:rPr>
                <w:sz w:val="18"/>
                <w:szCs w:val="18"/>
              </w:rPr>
              <w:t>1.73%</w:t>
            </w:r>
          </w:p>
        </w:tc>
        <w:tc>
          <w:tcPr>
            <w:tcW w:w="1371" w:type="dxa"/>
          </w:tcPr>
          <w:p w14:paraId="64F53902" w14:textId="77777777" w:rsidR="004B6321" w:rsidRDefault="00AC7D7F">
            <w:pPr>
              <w:spacing w:before="1" w:line="210" w:lineRule="auto"/>
              <w:ind w:left="134"/>
              <w:rPr>
                <w:sz w:val="18"/>
                <w:szCs w:val="18"/>
              </w:rPr>
            </w:pPr>
            <w:r>
              <w:rPr>
                <w:sz w:val="18"/>
                <w:szCs w:val="18"/>
              </w:rPr>
              <w:t>0.302</w:t>
            </w:r>
          </w:p>
        </w:tc>
        <w:tc>
          <w:tcPr>
            <w:tcW w:w="1200" w:type="dxa"/>
          </w:tcPr>
          <w:p w14:paraId="2E98DEF0" w14:textId="77777777" w:rsidR="004B6321" w:rsidRDefault="00AC7D7F">
            <w:pPr>
              <w:spacing w:before="1" w:line="210" w:lineRule="auto"/>
              <w:ind w:left="113"/>
              <w:rPr>
                <w:sz w:val="18"/>
                <w:szCs w:val="18"/>
              </w:rPr>
            </w:pPr>
            <w:r>
              <w:rPr>
                <w:sz w:val="18"/>
                <w:szCs w:val="18"/>
              </w:rPr>
              <w:t>1.18</w:t>
            </w:r>
          </w:p>
        </w:tc>
      </w:tr>
      <w:tr w:rsidR="004B6321" w14:paraId="7ADEA195" w14:textId="77777777">
        <w:trPr>
          <w:trHeight w:val="227"/>
        </w:trPr>
        <w:tc>
          <w:tcPr>
            <w:tcW w:w="1417" w:type="dxa"/>
            <w:vMerge/>
            <w:tcBorders>
              <w:bottom w:val="single" w:sz="4" w:space="0" w:color="000000"/>
            </w:tcBorders>
          </w:tcPr>
          <w:p w14:paraId="4E829BCD" w14:textId="77777777" w:rsidR="004B6321" w:rsidRDefault="004B6321">
            <w:pPr>
              <w:rPr>
                <w:sz w:val="18"/>
                <w:szCs w:val="18"/>
              </w:rPr>
            </w:pPr>
          </w:p>
        </w:tc>
        <w:tc>
          <w:tcPr>
            <w:tcW w:w="978" w:type="dxa"/>
            <w:tcBorders>
              <w:bottom w:val="single" w:sz="4" w:space="0" w:color="000000"/>
            </w:tcBorders>
          </w:tcPr>
          <w:p w14:paraId="039FE690" w14:textId="77777777" w:rsidR="004B6321" w:rsidRDefault="00AC7D7F">
            <w:pPr>
              <w:spacing w:before="1" w:line="207" w:lineRule="auto"/>
              <w:ind w:left="123"/>
              <w:rPr>
                <w:sz w:val="18"/>
                <w:szCs w:val="18"/>
              </w:rPr>
            </w:pPr>
            <w:r>
              <w:rPr>
                <w:sz w:val="18"/>
                <w:szCs w:val="18"/>
              </w:rPr>
              <w:t>120</w:t>
            </w:r>
          </w:p>
        </w:tc>
        <w:tc>
          <w:tcPr>
            <w:tcW w:w="1114" w:type="dxa"/>
            <w:tcBorders>
              <w:bottom w:val="single" w:sz="4" w:space="0" w:color="000000"/>
            </w:tcBorders>
          </w:tcPr>
          <w:p w14:paraId="285CC2AF" w14:textId="77777777" w:rsidR="004B6321" w:rsidRDefault="00AC7D7F">
            <w:pPr>
              <w:spacing w:before="1" w:line="207" w:lineRule="auto"/>
              <w:ind w:left="135"/>
              <w:rPr>
                <w:sz w:val="18"/>
                <w:szCs w:val="18"/>
              </w:rPr>
            </w:pPr>
            <w:r>
              <w:rPr>
                <w:sz w:val="18"/>
                <w:szCs w:val="18"/>
              </w:rPr>
              <w:t>13.85</w:t>
            </w:r>
          </w:p>
        </w:tc>
        <w:tc>
          <w:tcPr>
            <w:tcW w:w="924" w:type="dxa"/>
            <w:tcBorders>
              <w:bottom w:val="single" w:sz="4" w:space="0" w:color="000000"/>
            </w:tcBorders>
          </w:tcPr>
          <w:p w14:paraId="09A57909" w14:textId="77777777" w:rsidR="004B6321" w:rsidRDefault="00AC7D7F">
            <w:pPr>
              <w:spacing w:before="1" w:line="207" w:lineRule="auto"/>
              <w:ind w:left="192"/>
              <w:rPr>
                <w:sz w:val="18"/>
                <w:szCs w:val="18"/>
              </w:rPr>
            </w:pPr>
            <w:r>
              <w:rPr>
                <w:sz w:val="18"/>
                <w:szCs w:val="18"/>
              </w:rPr>
              <w:t>3.61%</w:t>
            </w:r>
          </w:p>
        </w:tc>
        <w:tc>
          <w:tcPr>
            <w:tcW w:w="1103" w:type="dxa"/>
            <w:tcBorders>
              <w:bottom w:val="single" w:sz="4" w:space="0" w:color="000000"/>
            </w:tcBorders>
          </w:tcPr>
          <w:p w14:paraId="2C21105C" w14:textId="77777777" w:rsidR="004B6321" w:rsidRDefault="00AC7D7F">
            <w:pPr>
              <w:spacing w:before="1" w:line="207" w:lineRule="auto"/>
              <w:ind w:left="168"/>
              <w:rPr>
                <w:sz w:val="18"/>
                <w:szCs w:val="18"/>
              </w:rPr>
            </w:pPr>
            <w:r>
              <w:rPr>
                <w:sz w:val="18"/>
                <w:szCs w:val="18"/>
              </w:rPr>
              <w:t>16.46</w:t>
            </w:r>
          </w:p>
        </w:tc>
        <w:tc>
          <w:tcPr>
            <w:tcW w:w="911" w:type="dxa"/>
            <w:tcBorders>
              <w:bottom w:val="single" w:sz="4" w:space="0" w:color="000000"/>
            </w:tcBorders>
          </w:tcPr>
          <w:p w14:paraId="0B7D54D8" w14:textId="77777777" w:rsidR="004B6321" w:rsidRDefault="00AC7D7F">
            <w:pPr>
              <w:spacing w:before="1" w:line="207" w:lineRule="auto"/>
              <w:ind w:left="145"/>
              <w:rPr>
                <w:sz w:val="18"/>
                <w:szCs w:val="18"/>
              </w:rPr>
            </w:pPr>
            <w:r>
              <w:rPr>
                <w:sz w:val="18"/>
                <w:szCs w:val="18"/>
              </w:rPr>
              <w:t>4.62%</w:t>
            </w:r>
          </w:p>
        </w:tc>
        <w:tc>
          <w:tcPr>
            <w:tcW w:w="1371" w:type="dxa"/>
            <w:tcBorders>
              <w:bottom w:val="single" w:sz="4" w:space="0" w:color="000000"/>
            </w:tcBorders>
          </w:tcPr>
          <w:p w14:paraId="622C9784" w14:textId="77777777" w:rsidR="004B6321" w:rsidRDefault="00AC7D7F">
            <w:pPr>
              <w:spacing w:before="1" w:line="207" w:lineRule="auto"/>
              <w:ind w:left="134"/>
              <w:rPr>
                <w:sz w:val="18"/>
                <w:szCs w:val="18"/>
              </w:rPr>
            </w:pPr>
            <w:r>
              <w:rPr>
                <w:sz w:val="18"/>
                <w:szCs w:val="18"/>
              </w:rPr>
              <w:t>0.346</w:t>
            </w:r>
          </w:p>
        </w:tc>
        <w:tc>
          <w:tcPr>
            <w:tcW w:w="1200" w:type="dxa"/>
            <w:tcBorders>
              <w:bottom w:val="single" w:sz="4" w:space="0" w:color="000000"/>
            </w:tcBorders>
          </w:tcPr>
          <w:p w14:paraId="63BD93DE" w14:textId="77777777" w:rsidR="004B6321" w:rsidRDefault="00AC7D7F">
            <w:pPr>
              <w:spacing w:before="1" w:line="207" w:lineRule="auto"/>
              <w:ind w:left="113"/>
              <w:rPr>
                <w:sz w:val="18"/>
                <w:szCs w:val="18"/>
              </w:rPr>
            </w:pPr>
            <w:r>
              <w:rPr>
                <w:sz w:val="18"/>
                <w:szCs w:val="18"/>
              </w:rPr>
              <w:t>1.19</w:t>
            </w:r>
          </w:p>
        </w:tc>
      </w:tr>
    </w:tbl>
    <w:p w14:paraId="49E9CD96" w14:textId="77777777" w:rsidR="004B6321" w:rsidRDefault="004B6321">
      <w:pPr>
        <w:pBdr>
          <w:top w:val="nil"/>
          <w:left w:val="nil"/>
          <w:bottom w:val="nil"/>
          <w:right w:val="nil"/>
          <w:between w:val="nil"/>
        </w:pBdr>
        <w:spacing w:before="1"/>
        <w:rPr>
          <w:b/>
          <w:sz w:val="18"/>
          <w:szCs w:val="18"/>
        </w:rPr>
      </w:pPr>
    </w:p>
    <w:p w14:paraId="2980C218" w14:textId="77777777" w:rsidR="004B6321" w:rsidRDefault="00AC7D7F">
      <w:pPr>
        <w:pBdr>
          <w:top w:val="nil"/>
          <w:left w:val="nil"/>
          <w:bottom w:val="nil"/>
          <w:right w:val="nil"/>
          <w:between w:val="nil"/>
        </w:pBdr>
        <w:ind w:left="23" w:right="23"/>
        <w:jc w:val="both"/>
        <w:rPr>
          <w:color w:val="000000"/>
          <w:sz w:val="18"/>
          <w:szCs w:val="18"/>
        </w:rPr>
      </w:pPr>
      <w:r>
        <w:rPr>
          <w:color w:val="000000"/>
          <w:sz w:val="18"/>
          <w:szCs w:val="18"/>
        </w:rPr>
        <w:t xml:space="preserve">According to Diop </w:t>
      </w:r>
      <w:r>
        <w:rPr>
          <w:i/>
          <w:color w:val="000000"/>
          <w:sz w:val="18"/>
          <w:szCs w:val="18"/>
        </w:rPr>
        <w:t xml:space="preserve">et al. </w:t>
      </w:r>
      <w:r>
        <w:rPr>
          <w:color w:val="000000"/>
          <w:sz w:val="18"/>
          <w:szCs w:val="18"/>
        </w:rPr>
        <w:t>[5], after obtaining the K</w:t>
      </w:r>
      <w:r>
        <w:rPr>
          <w:color w:val="000000"/>
          <w:sz w:val="18"/>
          <w:szCs w:val="18"/>
          <w:vertAlign w:val="subscript"/>
        </w:rPr>
        <w:t>AIR</w:t>
      </w:r>
      <w:r>
        <w:rPr>
          <w:color w:val="000000"/>
          <w:sz w:val="18"/>
          <w:szCs w:val="18"/>
        </w:rPr>
        <w:t xml:space="preserve"> values for each kV and a fixed </w:t>
      </w:r>
      <w:proofErr w:type="spellStart"/>
      <w:proofErr w:type="gramStart"/>
      <w:r>
        <w:rPr>
          <w:color w:val="000000"/>
          <w:sz w:val="18"/>
          <w:szCs w:val="18"/>
        </w:rPr>
        <w:t>mA.s</w:t>
      </w:r>
      <w:proofErr w:type="spellEnd"/>
      <w:proofErr w:type="gramEnd"/>
      <w:r>
        <w:rPr>
          <w:color w:val="000000"/>
          <w:sz w:val="18"/>
          <w:szCs w:val="18"/>
        </w:rPr>
        <w:t xml:space="preserve"> value in the spreadsheet, the output curve (output value) for the X-ray tube can be obtained. Other studies by </w:t>
      </w:r>
      <w:proofErr w:type="spellStart"/>
      <w:r>
        <w:rPr>
          <w:color w:val="000000"/>
          <w:sz w:val="18"/>
          <w:szCs w:val="18"/>
        </w:rPr>
        <w:t>Tompe</w:t>
      </w:r>
      <w:proofErr w:type="spellEnd"/>
      <w:r>
        <w:rPr>
          <w:color w:val="000000"/>
          <w:sz w:val="18"/>
          <w:szCs w:val="18"/>
        </w:rPr>
        <w:t xml:space="preserve"> &amp; </w:t>
      </w:r>
      <w:proofErr w:type="spellStart"/>
      <w:r>
        <w:rPr>
          <w:color w:val="000000"/>
          <w:sz w:val="18"/>
          <w:szCs w:val="18"/>
        </w:rPr>
        <w:t>Sargar</w:t>
      </w:r>
      <w:proofErr w:type="spellEnd"/>
      <w:r>
        <w:rPr>
          <w:color w:val="000000"/>
          <w:sz w:val="18"/>
          <w:szCs w:val="18"/>
        </w:rPr>
        <w:t xml:space="preserve"> [13] highlighted that the intensity of the X-ray beam produced in a radiographic tube can be affected by the applied voltage due to two main factors: the number of electrons released and the energy of the photons.</w:t>
      </w:r>
    </w:p>
    <w:p w14:paraId="4BA2DAF3" w14:textId="77777777" w:rsidR="004B6321" w:rsidRDefault="00AC7D7F">
      <w:pPr>
        <w:spacing w:before="93"/>
        <w:ind w:left="23" w:right="24"/>
        <w:jc w:val="both"/>
        <w:rPr>
          <w:sz w:val="18"/>
          <w:szCs w:val="18"/>
        </w:rPr>
        <w:sectPr w:rsidR="004B6321">
          <w:type w:val="continuous"/>
          <w:pgSz w:w="11910" w:h="16840"/>
          <w:pgMar w:top="1000" w:right="1417" w:bottom="280" w:left="1417" w:header="1440" w:footer="1068" w:gutter="0"/>
          <w:cols w:space="720"/>
        </w:sectPr>
      </w:pPr>
      <w:r>
        <w:rPr>
          <w:sz w:val="18"/>
          <w:szCs w:val="18"/>
        </w:rPr>
        <w:t>It can be observed in the graph of Figure 3 that the radiographic tube’s output (</w:t>
      </w:r>
      <w:proofErr w:type="spellStart"/>
      <w:r>
        <w:rPr>
          <w:sz w:val="18"/>
          <w:szCs w:val="18"/>
        </w:rPr>
        <w:t>mGy</w:t>
      </w:r>
      <w:proofErr w:type="spellEnd"/>
      <w:r>
        <w:rPr>
          <w:sz w:val="18"/>
          <w:szCs w:val="18"/>
        </w:rPr>
        <w:t>/</w:t>
      </w:r>
      <w:proofErr w:type="spellStart"/>
      <w:proofErr w:type="gramStart"/>
      <w:r>
        <w:rPr>
          <w:sz w:val="18"/>
          <w:szCs w:val="18"/>
        </w:rPr>
        <w:t>mA.s</w:t>
      </w:r>
      <w:proofErr w:type="spellEnd"/>
      <w:proofErr w:type="gramEnd"/>
      <w:r>
        <w:rPr>
          <w:sz w:val="18"/>
          <w:szCs w:val="18"/>
        </w:rPr>
        <w:t>) exhibits a linear increasing trend as a function of kV. This behavior is expected, as the increase in the applied voltage results in higher-energy photons, which in turn increases radiation production. Using the obtained values of output (</w:t>
      </w:r>
      <w:proofErr w:type="spellStart"/>
      <w:r>
        <w:rPr>
          <w:sz w:val="18"/>
          <w:szCs w:val="18"/>
        </w:rPr>
        <w:t>mGy</w:t>
      </w:r>
      <w:proofErr w:type="spellEnd"/>
      <w:r>
        <w:rPr>
          <w:sz w:val="18"/>
          <w:szCs w:val="18"/>
        </w:rPr>
        <w:t>/</w:t>
      </w:r>
      <w:proofErr w:type="spellStart"/>
      <w:proofErr w:type="gramStart"/>
      <w:r>
        <w:rPr>
          <w:sz w:val="18"/>
          <w:szCs w:val="18"/>
        </w:rPr>
        <w:t>mA.s</w:t>
      </w:r>
      <w:proofErr w:type="spellEnd"/>
      <w:proofErr w:type="gramEnd"/>
      <w:r>
        <w:rPr>
          <w:sz w:val="18"/>
          <w:szCs w:val="18"/>
        </w:rPr>
        <w:t xml:space="preserve">) and BSF in this study, the </w:t>
      </w:r>
      <w:proofErr w:type="spellStart"/>
      <w:r>
        <w:rPr>
          <w:sz w:val="18"/>
          <w:szCs w:val="18"/>
        </w:rPr>
        <w:t>K</w:t>
      </w:r>
      <w:r>
        <w:rPr>
          <w:sz w:val="18"/>
          <w:szCs w:val="18"/>
          <w:vertAlign w:val="subscript"/>
        </w:rPr>
        <w:t>a,e</w:t>
      </w:r>
      <w:proofErr w:type="spellEnd"/>
      <w:r>
        <w:rPr>
          <w:sz w:val="18"/>
          <w:szCs w:val="18"/>
        </w:rPr>
        <w:t xml:space="preserve"> values for a standard individual were calculated based on Equation 3. The backscatter factor (BSF) also shows a gradual variation across the voltage range studied, with values ranging from 1.08 to 1.19. This change is natural, as the BSF depends on the average photon energy and the characteristics of the irradiated medium. The relevant parameters, including anatomical region, projection, and thickness, were determined according to the guidelines outlined in ANVISA (from </w:t>
      </w:r>
      <w:proofErr w:type="spellStart"/>
      <w:r>
        <w:rPr>
          <w:sz w:val="18"/>
          <w:szCs w:val="18"/>
        </w:rPr>
        <w:t>portuguese</w:t>
      </w:r>
      <w:proofErr w:type="spellEnd"/>
      <w:r>
        <w:rPr>
          <w:sz w:val="18"/>
          <w:szCs w:val="18"/>
        </w:rPr>
        <w:t xml:space="preserve"> </w:t>
      </w:r>
      <w:proofErr w:type="spellStart"/>
      <w:r>
        <w:rPr>
          <w:i/>
          <w:sz w:val="18"/>
          <w:szCs w:val="18"/>
        </w:rPr>
        <w:t>Agência</w:t>
      </w:r>
      <w:proofErr w:type="spellEnd"/>
      <w:r>
        <w:rPr>
          <w:i/>
          <w:sz w:val="18"/>
          <w:szCs w:val="18"/>
        </w:rPr>
        <w:t xml:space="preserve"> Nacional de </w:t>
      </w:r>
      <w:proofErr w:type="spellStart"/>
      <w:r>
        <w:rPr>
          <w:i/>
          <w:sz w:val="18"/>
          <w:szCs w:val="18"/>
        </w:rPr>
        <w:t>Vigilância</w:t>
      </w:r>
      <w:proofErr w:type="spellEnd"/>
      <w:r>
        <w:rPr>
          <w:i/>
          <w:sz w:val="18"/>
          <w:szCs w:val="18"/>
        </w:rPr>
        <w:t xml:space="preserve"> </w:t>
      </w:r>
      <w:proofErr w:type="spellStart"/>
      <w:r>
        <w:rPr>
          <w:i/>
          <w:sz w:val="18"/>
          <w:szCs w:val="18"/>
        </w:rPr>
        <w:t>Sanitária</w:t>
      </w:r>
      <w:proofErr w:type="spellEnd"/>
      <w:r>
        <w:rPr>
          <w:sz w:val="18"/>
          <w:szCs w:val="18"/>
        </w:rPr>
        <w:t>)'s technical manual for radiodiagnosis [14].</w:t>
      </w:r>
    </w:p>
    <w:p w14:paraId="41B67A03" w14:textId="77777777" w:rsidR="004B6321" w:rsidRDefault="00AC7D7F">
      <w:pPr>
        <w:pBdr>
          <w:top w:val="nil"/>
          <w:left w:val="nil"/>
          <w:bottom w:val="nil"/>
          <w:right w:val="nil"/>
          <w:between w:val="nil"/>
        </w:pBdr>
        <w:spacing w:before="20"/>
        <w:jc w:val="center"/>
        <w:rPr>
          <w:b/>
          <w:sz w:val="18"/>
          <w:szCs w:val="18"/>
        </w:rPr>
      </w:pPr>
      <w:r>
        <w:rPr>
          <w:b/>
          <w:noProof/>
          <w:sz w:val="18"/>
          <w:szCs w:val="18"/>
        </w:rPr>
        <w:drawing>
          <wp:inline distT="114300" distB="114300" distL="114300" distR="114300" wp14:anchorId="23BE4C4A" wp14:editId="568187B3">
            <wp:extent cx="4711108" cy="2844800"/>
            <wp:effectExtent l="0" t="0" r="0" b="0"/>
            <wp:docPr id="5" name="image6.png" descr="Gráfico"/>
            <wp:cNvGraphicFramePr/>
            <a:graphic xmlns:a="http://schemas.openxmlformats.org/drawingml/2006/main">
              <a:graphicData uri="http://schemas.openxmlformats.org/drawingml/2006/picture">
                <pic:pic xmlns:pic="http://schemas.openxmlformats.org/drawingml/2006/picture">
                  <pic:nvPicPr>
                    <pic:cNvPr id="0" name="image6.png" descr="Gráfico"/>
                    <pic:cNvPicPr preferRelativeResize="0"/>
                  </pic:nvPicPr>
                  <pic:blipFill>
                    <a:blip r:embed="rId20"/>
                    <a:srcRect/>
                    <a:stretch>
                      <a:fillRect/>
                    </a:stretch>
                  </pic:blipFill>
                  <pic:spPr>
                    <a:xfrm>
                      <a:off x="0" y="0"/>
                      <a:ext cx="4711108" cy="2844800"/>
                    </a:xfrm>
                    <a:prstGeom prst="rect">
                      <a:avLst/>
                    </a:prstGeom>
                    <a:ln/>
                  </pic:spPr>
                </pic:pic>
              </a:graphicData>
            </a:graphic>
          </wp:inline>
        </w:drawing>
      </w:r>
    </w:p>
    <w:p w14:paraId="1073A7D9" w14:textId="77777777" w:rsidR="004B6321" w:rsidRDefault="00AC7D7F">
      <w:pPr>
        <w:ind w:left="23" w:right="24"/>
        <w:jc w:val="center"/>
        <w:rPr>
          <w:b/>
          <w:sz w:val="18"/>
          <w:szCs w:val="18"/>
        </w:rPr>
        <w:sectPr w:rsidR="004B6321">
          <w:type w:val="continuous"/>
          <w:pgSz w:w="11910" w:h="16840"/>
          <w:pgMar w:top="1000" w:right="1417" w:bottom="280" w:left="1417" w:header="1440" w:footer="1068" w:gutter="0"/>
          <w:cols w:space="720"/>
        </w:sectPr>
      </w:pPr>
      <w:r>
        <w:rPr>
          <w:b/>
          <w:sz w:val="18"/>
          <w:szCs w:val="18"/>
        </w:rPr>
        <w:t>Fig. 3. Output Values (</w:t>
      </w:r>
      <w:proofErr w:type="spellStart"/>
      <w:r>
        <w:rPr>
          <w:b/>
          <w:sz w:val="18"/>
          <w:szCs w:val="18"/>
        </w:rPr>
        <w:t>mGy</w:t>
      </w:r>
      <w:proofErr w:type="spellEnd"/>
      <w:r>
        <w:rPr>
          <w:b/>
          <w:sz w:val="18"/>
          <w:szCs w:val="18"/>
        </w:rPr>
        <w:t>/</w:t>
      </w:r>
      <w:proofErr w:type="spellStart"/>
      <w:proofErr w:type="gramStart"/>
      <w:r>
        <w:rPr>
          <w:b/>
          <w:sz w:val="18"/>
          <w:szCs w:val="18"/>
        </w:rPr>
        <w:t>mA.s</w:t>
      </w:r>
      <w:proofErr w:type="spellEnd"/>
      <w:proofErr w:type="gramEnd"/>
      <w:r>
        <w:rPr>
          <w:b/>
          <w:sz w:val="18"/>
          <w:szCs w:val="18"/>
        </w:rPr>
        <w:t>) as a Function of the Voltage Selected on the X-ray Equipment Control Panel</w:t>
      </w:r>
    </w:p>
    <w:p w14:paraId="3FFAF2BE" w14:textId="77777777" w:rsidR="004B6321" w:rsidRDefault="004B6321">
      <w:pPr>
        <w:pBdr>
          <w:top w:val="nil"/>
          <w:left w:val="nil"/>
          <w:bottom w:val="nil"/>
          <w:right w:val="nil"/>
          <w:between w:val="nil"/>
        </w:pBdr>
        <w:spacing w:before="93"/>
        <w:jc w:val="both"/>
        <w:rPr>
          <w:color w:val="000000"/>
          <w:sz w:val="18"/>
          <w:szCs w:val="18"/>
        </w:rPr>
      </w:pPr>
    </w:p>
    <w:p w14:paraId="193F44BC" w14:textId="77777777" w:rsidR="004B6321" w:rsidRDefault="00AC7D7F">
      <w:pPr>
        <w:pBdr>
          <w:top w:val="nil"/>
          <w:left w:val="nil"/>
          <w:bottom w:val="nil"/>
          <w:right w:val="nil"/>
          <w:between w:val="nil"/>
        </w:pBdr>
        <w:spacing w:before="185"/>
        <w:ind w:left="23" w:right="1"/>
        <w:jc w:val="both"/>
        <w:rPr>
          <w:color w:val="000000"/>
          <w:sz w:val="18"/>
          <w:szCs w:val="18"/>
        </w:rPr>
      </w:pPr>
      <w:r>
        <w:rPr>
          <w:color w:val="000000"/>
          <w:sz w:val="18"/>
          <w:szCs w:val="18"/>
        </w:rPr>
        <w:t>If scattered radiation is detected by the image receptor, it affects the image and can be a significant cause of its degradation. Scattered radiation creates a grayscale in the image in areas that do not correspond to the anatomical projection, and this can significantly reduce the contrast in the radiograph [12].</w:t>
      </w:r>
    </w:p>
    <w:p w14:paraId="2B3C8E61" w14:textId="77777777" w:rsidR="004B6321" w:rsidRDefault="00AC7D7F">
      <w:pPr>
        <w:pBdr>
          <w:top w:val="nil"/>
          <w:left w:val="nil"/>
          <w:bottom w:val="nil"/>
          <w:right w:val="nil"/>
          <w:between w:val="nil"/>
        </w:pBdr>
        <w:spacing w:before="183"/>
        <w:ind w:left="23" w:right="2"/>
        <w:jc w:val="both"/>
        <w:rPr>
          <w:color w:val="000000"/>
          <w:sz w:val="18"/>
          <w:szCs w:val="18"/>
        </w:rPr>
      </w:pPr>
      <w:r>
        <w:rPr>
          <w:color w:val="000000"/>
          <w:sz w:val="18"/>
          <w:szCs w:val="18"/>
        </w:rPr>
        <w:t xml:space="preserve">Table 4 presents a comparison between the estimated </w:t>
      </w:r>
      <w:proofErr w:type="spellStart"/>
      <w:proofErr w:type="gramStart"/>
      <w:r>
        <w:rPr>
          <w:color w:val="000000"/>
          <w:sz w:val="18"/>
          <w:szCs w:val="18"/>
        </w:rPr>
        <w:t>K</w:t>
      </w:r>
      <w:r>
        <w:rPr>
          <w:color w:val="000000"/>
          <w:sz w:val="18"/>
          <w:szCs w:val="18"/>
          <w:vertAlign w:val="subscript"/>
        </w:rPr>
        <w:t>a,e</w:t>
      </w:r>
      <w:proofErr w:type="spellEnd"/>
      <w:proofErr w:type="gramEnd"/>
      <w:r>
        <w:rPr>
          <w:color w:val="000000"/>
          <w:sz w:val="18"/>
          <w:szCs w:val="18"/>
        </w:rPr>
        <w:t xml:space="preserve"> values obtained in this study and the Reference Levels established by RDC 330/52 for different radiographic exams in various projections and body regions.</w:t>
      </w:r>
    </w:p>
    <w:p w14:paraId="4D2EEDEA" w14:textId="77777777" w:rsidR="004B6321" w:rsidRDefault="00AC7D7F">
      <w:pPr>
        <w:spacing w:before="183" w:line="235" w:lineRule="auto"/>
        <w:ind w:left="5" w:right="8"/>
        <w:jc w:val="center"/>
        <w:rPr>
          <w:b/>
          <w:sz w:val="18"/>
          <w:szCs w:val="18"/>
        </w:rPr>
      </w:pPr>
      <w:r>
        <w:rPr>
          <w:b/>
          <w:sz w:val="18"/>
          <w:szCs w:val="18"/>
        </w:rPr>
        <w:t xml:space="preserve">Table 4. Comparison of the </w:t>
      </w:r>
      <w:proofErr w:type="spellStart"/>
      <w:proofErr w:type="gramStart"/>
      <w:r>
        <w:rPr>
          <w:b/>
          <w:sz w:val="18"/>
          <w:szCs w:val="18"/>
        </w:rPr>
        <w:t>K</w:t>
      </w:r>
      <w:r>
        <w:rPr>
          <w:b/>
          <w:sz w:val="18"/>
          <w:szCs w:val="18"/>
          <w:vertAlign w:val="subscript"/>
        </w:rPr>
        <w:t>a,e</w:t>
      </w:r>
      <w:proofErr w:type="spellEnd"/>
      <w:proofErr w:type="gramEnd"/>
      <w:r>
        <w:rPr>
          <w:b/>
          <w:sz w:val="18"/>
          <w:szCs w:val="18"/>
        </w:rPr>
        <w:t xml:space="preserve"> estimate with the reference levels established by RDC 330/52 [6,7]</w:t>
      </w:r>
    </w:p>
    <w:p w14:paraId="1C69F936" w14:textId="77777777" w:rsidR="004B6321" w:rsidRDefault="004B6321">
      <w:pPr>
        <w:spacing w:before="3"/>
        <w:ind w:left="23" w:right="2"/>
        <w:jc w:val="both"/>
        <w:rPr>
          <w:b/>
          <w:sz w:val="18"/>
          <w:szCs w:val="18"/>
        </w:rPr>
      </w:pPr>
    </w:p>
    <w:tbl>
      <w:tblPr>
        <w:tblStyle w:val="a2"/>
        <w:tblW w:w="9017" w:type="dxa"/>
        <w:tblInd w:w="38" w:type="dxa"/>
        <w:tblBorders>
          <w:top w:val="nil"/>
          <w:left w:val="nil"/>
          <w:bottom w:val="nil"/>
          <w:right w:val="nil"/>
          <w:insideH w:val="nil"/>
          <w:insideV w:val="nil"/>
        </w:tblBorders>
        <w:tblLayout w:type="fixed"/>
        <w:tblLook w:val="0000" w:firstRow="0" w:lastRow="0" w:firstColumn="0" w:lastColumn="0" w:noHBand="0" w:noVBand="0"/>
      </w:tblPr>
      <w:tblGrid>
        <w:gridCol w:w="1072"/>
        <w:gridCol w:w="1154"/>
        <w:gridCol w:w="1831"/>
        <w:gridCol w:w="530"/>
        <w:gridCol w:w="783"/>
        <w:gridCol w:w="1279"/>
        <w:gridCol w:w="1491"/>
        <w:gridCol w:w="877"/>
      </w:tblGrid>
      <w:tr w:rsidR="004B6321" w14:paraId="1419C430" w14:textId="77777777">
        <w:trPr>
          <w:trHeight w:val="236"/>
        </w:trPr>
        <w:tc>
          <w:tcPr>
            <w:tcW w:w="4057" w:type="dxa"/>
            <w:gridSpan w:val="3"/>
            <w:tcBorders>
              <w:top w:val="single" w:sz="4" w:space="0" w:color="000000"/>
              <w:bottom w:val="single" w:sz="4" w:space="0" w:color="000000"/>
            </w:tcBorders>
            <w:vAlign w:val="center"/>
          </w:tcPr>
          <w:p w14:paraId="288A3FDF" w14:textId="77777777" w:rsidR="004B6321" w:rsidRDefault="00AC7D7F">
            <w:pPr>
              <w:spacing w:line="210" w:lineRule="auto"/>
              <w:ind w:left="163" w:right="2"/>
              <w:jc w:val="both"/>
              <w:rPr>
                <w:b/>
                <w:sz w:val="18"/>
                <w:szCs w:val="18"/>
              </w:rPr>
            </w:pPr>
            <w:r>
              <w:rPr>
                <w:b/>
                <w:sz w:val="18"/>
                <w:szCs w:val="18"/>
              </w:rPr>
              <w:t>RADIOGRAPHIC EXAMINATION</w:t>
            </w:r>
          </w:p>
        </w:tc>
        <w:tc>
          <w:tcPr>
            <w:tcW w:w="1313" w:type="dxa"/>
            <w:gridSpan w:val="2"/>
            <w:tcBorders>
              <w:top w:val="single" w:sz="4" w:space="0" w:color="000000"/>
              <w:bottom w:val="single" w:sz="4" w:space="0" w:color="000000"/>
            </w:tcBorders>
            <w:vAlign w:val="center"/>
          </w:tcPr>
          <w:p w14:paraId="5AC10AC7" w14:textId="77777777" w:rsidR="004B6321" w:rsidRDefault="00AC7D7F">
            <w:pPr>
              <w:spacing w:line="210" w:lineRule="auto"/>
              <w:ind w:left="93" w:right="2"/>
              <w:jc w:val="both"/>
              <w:rPr>
                <w:b/>
                <w:sz w:val="18"/>
                <w:szCs w:val="18"/>
              </w:rPr>
            </w:pPr>
            <w:r>
              <w:rPr>
                <w:b/>
                <w:sz w:val="18"/>
                <w:szCs w:val="18"/>
              </w:rPr>
              <w:t>TECHNIQUE</w:t>
            </w:r>
          </w:p>
        </w:tc>
        <w:tc>
          <w:tcPr>
            <w:tcW w:w="2770" w:type="dxa"/>
            <w:gridSpan w:val="2"/>
            <w:tcBorders>
              <w:top w:val="single" w:sz="4" w:space="0" w:color="000000"/>
              <w:bottom w:val="single" w:sz="4" w:space="0" w:color="000000"/>
            </w:tcBorders>
            <w:vAlign w:val="center"/>
          </w:tcPr>
          <w:p w14:paraId="3AC75A0C" w14:textId="77777777" w:rsidR="004B6321" w:rsidRDefault="00AC7D7F">
            <w:pPr>
              <w:spacing w:line="210" w:lineRule="auto"/>
              <w:ind w:left="366" w:right="2"/>
              <w:jc w:val="both"/>
              <w:rPr>
                <w:b/>
                <w:sz w:val="18"/>
                <w:szCs w:val="18"/>
              </w:rPr>
            </w:pPr>
            <w:r>
              <w:rPr>
                <w:b/>
                <w:sz w:val="18"/>
                <w:szCs w:val="18"/>
              </w:rPr>
              <w:t>DOSIMETRY</w:t>
            </w:r>
          </w:p>
        </w:tc>
        <w:tc>
          <w:tcPr>
            <w:tcW w:w="877" w:type="dxa"/>
            <w:tcBorders>
              <w:top w:val="single" w:sz="4" w:space="0" w:color="000000"/>
              <w:bottom w:val="single" w:sz="4" w:space="0" w:color="000000"/>
            </w:tcBorders>
            <w:vAlign w:val="center"/>
          </w:tcPr>
          <w:p w14:paraId="0CD64B77" w14:textId="77777777" w:rsidR="004B6321" w:rsidRDefault="004B6321">
            <w:pPr>
              <w:ind w:left="23" w:right="2"/>
              <w:jc w:val="both"/>
              <w:rPr>
                <w:sz w:val="18"/>
                <w:szCs w:val="18"/>
              </w:rPr>
            </w:pPr>
          </w:p>
        </w:tc>
      </w:tr>
      <w:tr w:rsidR="004B6321" w14:paraId="29DB089E" w14:textId="77777777">
        <w:trPr>
          <w:trHeight w:val="236"/>
        </w:trPr>
        <w:tc>
          <w:tcPr>
            <w:tcW w:w="1072" w:type="dxa"/>
            <w:tcBorders>
              <w:top w:val="single" w:sz="4" w:space="0" w:color="000000"/>
              <w:bottom w:val="single" w:sz="4" w:space="0" w:color="000000"/>
            </w:tcBorders>
            <w:vAlign w:val="center"/>
          </w:tcPr>
          <w:p w14:paraId="3B882281" w14:textId="77777777" w:rsidR="004B6321" w:rsidRDefault="00AC7D7F">
            <w:pPr>
              <w:spacing w:line="210" w:lineRule="auto"/>
              <w:ind w:left="108" w:right="2"/>
              <w:jc w:val="both"/>
              <w:rPr>
                <w:b/>
                <w:sz w:val="18"/>
                <w:szCs w:val="18"/>
              </w:rPr>
            </w:pPr>
            <w:r>
              <w:rPr>
                <w:b/>
                <w:sz w:val="18"/>
                <w:szCs w:val="18"/>
              </w:rPr>
              <w:t>Region</w:t>
            </w:r>
          </w:p>
        </w:tc>
        <w:tc>
          <w:tcPr>
            <w:tcW w:w="1154" w:type="dxa"/>
            <w:tcBorders>
              <w:top w:val="single" w:sz="4" w:space="0" w:color="000000"/>
              <w:bottom w:val="single" w:sz="4" w:space="0" w:color="000000"/>
            </w:tcBorders>
            <w:vAlign w:val="center"/>
          </w:tcPr>
          <w:p w14:paraId="70A08A20" w14:textId="77777777" w:rsidR="004B6321" w:rsidRDefault="00AC7D7F">
            <w:pPr>
              <w:spacing w:line="210" w:lineRule="auto"/>
              <w:ind w:left="108" w:right="2"/>
              <w:jc w:val="both"/>
              <w:rPr>
                <w:b/>
                <w:sz w:val="18"/>
                <w:szCs w:val="18"/>
              </w:rPr>
            </w:pPr>
            <w:r>
              <w:rPr>
                <w:b/>
                <w:sz w:val="18"/>
                <w:szCs w:val="18"/>
              </w:rPr>
              <w:t>Incidence</w:t>
            </w:r>
          </w:p>
        </w:tc>
        <w:tc>
          <w:tcPr>
            <w:tcW w:w="1831" w:type="dxa"/>
            <w:tcBorders>
              <w:top w:val="single" w:sz="4" w:space="0" w:color="000000"/>
              <w:bottom w:val="single" w:sz="4" w:space="0" w:color="000000"/>
            </w:tcBorders>
            <w:vAlign w:val="center"/>
          </w:tcPr>
          <w:p w14:paraId="59DFD09B" w14:textId="77777777" w:rsidR="004B6321" w:rsidRDefault="00AC7D7F">
            <w:pPr>
              <w:spacing w:line="210" w:lineRule="auto"/>
              <w:ind w:left="124" w:right="2"/>
              <w:jc w:val="both"/>
              <w:rPr>
                <w:b/>
                <w:sz w:val="18"/>
                <w:szCs w:val="18"/>
              </w:rPr>
            </w:pPr>
            <w:r>
              <w:rPr>
                <w:b/>
                <w:sz w:val="18"/>
                <w:szCs w:val="18"/>
              </w:rPr>
              <w:t>Thickness</w:t>
            </w:r>
            <w:r>
              <w:rPr>
                <w:b/>
                <w:sz w:val="18"/>
                <w:szCs w:val="18"/>
                <w:vertAlign w:val="superscript"/>
              </w:rPr>
              <w:t>[a]</w:t>
            </w:r>
            <w:r>
              <w:rPr>
                <w:b/>
                <w:sz w:val="18"/>
                <w:szCs w:val="18"/>
              </w:rPr>
              <w:t xml:space="preserve"> (cm)</w:t>
            </w:r>
          </w:p>
        </w:tc>
        <w:tc>
          <w:tcPr>
            <w:tcW w:w="530" w:type="dxa"/>
            <w:tcBorders>
              <w:top w:val="single" w:sz="4" w:space="0" w:color="000000"/>
              <w:bottom w:val="single" w:sz="4" w:space="0" w:color="000000"/>
            </w:tcBorders>
            <w:vAlign w:val="center"/>
          </w:tcPr>
          <w:p w14:paraId="7A52A232" w14:textId="77777777" w:rsidR="004B6321" w:rsidRDefault="00AC7D7F">
            <w:pPr>
              <w:spacing w:line="210" w:lineRule="auto"/>
              <w:ind w:left="93" w:right="2"/>
              <w:jc w:val="both"/>
              <w:rPr>
                <w:b/>
                <w:sz w:val="18"/>
                <w:szCs w:val="18"/>
              </w:rPr>
            </w:pPr>
            <w:r>
              <w:rPr>
                <w:b/>
                <w:sz w:val="18"/>
                <w:szCs w:val="18"/>
              </w:rPr>
              <w:t>kV</w:t>
            </w:r>
          </w:p>
        </w:tc>
        <w:tc>
          <w:tcPr>
            <w:tcW w:w="783" w:type="dxa"/>
            <w:tcBorders>
              <w:top w:val="single" w:sz="4" w:space="0" w:color="000000"/>
              <w:bottom w:val="single" w:sz="4" w:space="0" w:color="000000"/>
            </w:tcBorders>
            <w:vAlign w:val="center"/>
          </w:tcPr>
          <w:p w14:paraId="4F255AD7" w14:textId="77777777" w:rsidR="004B6321" w:rsidRDefault="00AC7D7F">
            <w:pPr>
              <w:spacing w:line="210" w:lineRule="auto"/>
              <w:ind w:left="103" w:right="2"/>
              <w:jc w:val="both"/>
              <w:rPr>
                <w:b/>
                <w:sz w:val="18"/>
                <w:szCs w:val="18"/>
              </w:rPr>
            </w:pPr>
            <w:proofErr w:type="spellStart"/>
            <w:proofErr w:type="gramStart"/>
            <w:r>
              <w:rPr>
                <w:b/>
                <w:sz w:val="18"/>
                <w:szCs w:val="18"/>
              </w:rPr>
              <w:t>mA.s</w:t>
            </w:r>
            <w:proofErr w:type="spellEnd"/>
            <w:proofErr w:type="gramEnd"/>
          </w:p>
        </w:tc>
        <w:tc>
          <w:tcPr>
            <w:tcW w:w="1279" w:type="dxa"/>
            <w:tcBorders>
              <w:top w:val="single" w:sz="4" w:space="0" w:color="000000"/>
              <w:bottom w:val="single" w:sz="4" w:space="0" w:color="000000"/>
            </w:tcBorders>
            <w:vAlign w:val="center"/>
          </w:tcPr>
          <w:p w14:paraId="671ABB8D" w14:textId="77777777" w:rsidR="004B6321" w:rsidRDefault="00AC7D7F">
            <w:pPr>
              <w:spacing w:line="210" w:lineRule="auto"/>
              <w:ind w:left="40" w:right="2"/>
              <w:jc w:val="both"/>
              <w:rPr>
                <w:b/>
                <w:sz w:val="18"/>
                <w:szCs w:val="18"/>
              </w:rPr>
            </w:pPr>
            <w:proofErr w:type="spellStart"/>
            <w:proofErr w:type="gramStart"/>
            <w:r>
              <w:rPr>
                <w:b/>
                <w:sz w:val="18"/>
                <w:szCs w:val="18"/>
              </w:rPr>
              <w:t>K</w:t>
            </w:r>
            <w:r>
              <w:rPr>
                <w:b/>
                <w:sz w:val="18"/>
                <w:szCs w:val="18"/>
                <w:vertAlign w:val="subscript"/>
              </w:rPr>
              <w:t>a,e</w:t>
            </w:r>
            <w:proofErr w:type="spellEnd"/>
            <w:proofErr w:type="gramEnd"/>
            <w:r>
              <w:rPr>
                <w:b/>
                <w:sz w:val="18"/>
                <w:szCs w:val="18"/>
                <w:vertAlign w:val="superscript"/>
              </w:rPr>
              <w:t xml:space="preserve">[b] </w:t>
            </w:r>
            <w:r>
              <w:rPr>
                <w:b/>
                <w:sz w:val="18"/>
                <w:szCs w:val="18"/>
              </w:rPr>
              <w:t>(</w:t>
            </w:r>
            <w:proofErr w:type="spellStart"/>
            <w:r>
              <w:rPr>
                <w:b/>
                <w:sz w:val="18"/>
                <w:szCs w:val="18"/>
              </w:rPr>
              <w:t>mGy</w:t>
            </w:r>
            <w:proofErr w:type="spellEnd"/>
            <w:r>
              <w:rPr>
                <w:b/>
                <w:sz w:val="18"/>
                <w:szCs w:val="18"/>
              </w:rPr>
              <w:t>)</w:t>
            </w:r>
          </w:p>
        </w:tc>
        <w:tc>
          <w:tcPr>
            <w:tcW w:w="1491" w:type="dxa"/>
            <w:tcBorders>
              <w:top w:val="single" w:sz="4" w:space="0" w:color="000000"/>
              <w:bottom w:val="single" w:sz="4" w:space="0" w:color="000000"/>
            </w:tcBorders>
            <w:vAlign w:val="center"/>
          </w:tcPr>
          <w:p w14:paraId="0799FB13" w14:textId="77777777" w:rsidR="004B6321" w:rsidRDefault="00AC7D7F">
            <w:pPr>
              <w:spacing w:line="210" w:lineRule="auto"/>
              <w:ind w:left="112" w:right="2"/>
              <w:jc w:val="both"/>
              <w:rPr>
                <w:b/>
                <w:sz w:val="18"/>
                <w:szCs w:val="18"/>
              </w:rPr>
            </w:pPr>
            <w:r>
              <w:rPr>
                <w:b/>
                <w:sz w:val="18"/>
                <w:szCs w:val="18"/>
              </w:rPr>
              <w:t>DRLs</w:t>
            </w:r>
            <w:r>
              <w:rPr>
                <w:b/>
                <w:sz w:val="18"/>
                <w:szCs w:val="18"/>
                <w:vertAlign w:val="superscript"/>
              </w:rPr>
              <w:t>[c]</w:t>
            </w:r>
            <w:r>
              <w:rPr>
                <w:b/>
                <w:sz w:val="18"/>
                <w:szCs w:val="18"/>
              </w:rPr>
              <w:t xml:space="preserve"> (</w:t>
            </w:r>
            <w:proofErr w:type="spellStart"/>
            <w:r>
              <w:rPr>
                <w:b/>
                <w:sz w:val="18"/>
                <w:szCs w:val="18"/>
              </w:rPr>
              <w:t>mGy</w:t>
            </w:r>
            <w:proofErr w:type="spellEnd"/>
            <w:r>
              <w:rPr>
                <w:b/>
                <w:sz w:val="18"/>
                <w:szCs w:val="18"/>
              </w:rPr>
              <w:t>)</w:t>
            </w:r>
          </w:p>
        </w:tc>
        <w:tc>
          <w:tcPr>
            <w:tcW w:w="877" w:type="dxa"/>
            <w:tcBorders>
              <w:top w:val="single" w:sz="4" w:space="0" w:color="000000"/>
              <w:bottom w:val="single" w:sz="4" w:space="0" w:color="000000"/>
            </w:tcBorders>
            <w:vAlign w:val="center"/>
          </w:tcPr>
          <w:p w14:paraId="3941BC21" w14:textId="77777777" w:rsidR="004B6321" w:rsidRDefault="00AC7D7F">
            <w:pPr>
              <w:spacing w:line="210" w:lineRule="auto"/>
              <w:ind w:left="62" w:right="2"/>
              <w:jc w:val="both"/>
              <w:rPr>
                <w:b/>
                <w:sz w:val="18"/>
                <w:szCs w:val="18"/>
              </w:rPr>
            </w:pPr>
            <w:r>
              <w:rPr>
                <w:b/>
                <w:sz w:val="18"/>
                <w:szCs w:val="18"/>
              </w:rPr>
              <w:t>D%</w:t>
            </w:r>
          </w:p>
        </w:tc>
      </w:tr>
      <w:tr w:rsidR="004B6321" w14:paraId="267BB555" w14:textId="77777777">
        <w:trPr>
          <w:trHeight w:val="236"/>
        </w:trPr>
        <w:tc>
          <w:tcPr>
            <w:tcW w:w="1072" w:type="dxa"/>
            <w:vMerge w:val="restart"/>
            <w:tcBorders>
              <w:top w:val="single" w:sz="4" w:space="0" w:color="000000"/>
            </w:tcBorders>
            <w:vAlign w:val="center"/>
          </w:tcPr>
          <w:p w14:paraId="52E66BF1" w14:textId="77777777" w:rsidR="004B6321" w:rsidRDefault="00AC7D7F">
            <w:pPr>
              <w:spacing w:line="213" w:lineRule="auto"/>
              <w:ind w:left="108" w:right="2"/>
              <w:jc w:val="both"/>
              <w:rPr>
                <w:sz w:val="18"/>
                <w:szCs w:val="18"/>
              </w:rPr>
            </w:pPr>
            <w:r>
              <w:rPr>
                <w:sz w:val="18"/>
                <w:szCs w:val="18"/>
              </w:rPr>
              <w:t>Skull</w:t>
            </w:r>
          </w:p>
        </w:tc>
        <w:tc>
          <w:tcPr>
            <w:tcW w:w="1154" w:type="dxa"/>
            <w:tcBorders>
              <w:top w:val="single" w:sz="4" w:space="0" w:color="000000"/>
            </w:tcBorders>
            <w:vAlign w:val="center"/>
          </w:tcPr>
          <w:p w14:paraId="6CC7CE85" w14:textId="77777777" w:rsidR="004B6321" w:rsidRDefault="00AC7D7F">
            <w:pPr>
              <w:spacing w:line="213" w:lineRule="auto"/>
              <w:ind w:left="108" w:right="2"/>
              <w:jc w:val="both"/>
              <w:rPr>
                <w:sz w:val="18"/>
                <w:szCs w:val="18"/>
              </w:rPr>
            </w:pPr>
            <w:r>
              <w:rPr>
                <w:sz w:val="18"/>
                <w:szCs w:val="18"/>
              </w:rPr>
              <w:t>AP</w:t>
            </w:r>
          </w:p>
        </w:tc>
        <w:tc>
          <w:tcPr>
            <w:tcW w:w="1831" w:type="dxa"/>
            <w:tcBorders>
              <w:top w:val="single" w:sz="4" w:space="0" w:color="000000"/>
            </w:tcBorders>
            <w:vAlign w:val="center"/>
          </w:tcPr>
          <w:p w14:paraId="484AB994" w14:textId="77777777" w:rsidR="004B6321" w:rsidRDefault="00AC7D7F">
            <w:pPr>
              <w:spacing w:line="213" w:lineRule="auto"/>
              <w:ind w:left="124" w:right="2"/>
              <w:jc w:val="both"/>
              <w:rPr>
                <w:sz w:val="18"/>
                <w:szCs w:val="18"/>
              </w:rPr>
            </w:pPr>
            <w:r>
              <w:rPr>
                <w:sz w:val="18"/>
                <w:szCs w:val="18"/>
              </w:rPr>
              <w:t>19</w:t>
            </w:r>
          </w:p>
        </w:tc>
        <w:tc>
          <w:tcPr>
            <w:tcW w:w="530" w:type="dxa"/>
            <w:tcBorders>
              <w:top w:val="single" w:sz="4" w:space="0" w:color="000000"/>
            </w:tcBorders>
            <w:vAlign w:val="center"/>
          </w:tcPr>
          <w:p w14:paraId="75BE46F1" w14:textId="77777777" w:rsidR="004B6321" w:rsidRDefault="00AC7D7F">
            <w:pPr>
              <w:spacing w:line="213" w:lineRule="auto"/>
              <w:ind w:left="93" w:right="2"/>
              <w:jc w:val="both"/>
              <w:rPr>
                <w:sz w:val="18"/>
                <w:szCs w:val="18"/>
              </w:rPr>
            </w:pPr>
            <w:r>
              <w:rPr>
                <w:sz w:val="18"/>
                <w:szCs w:val="18"/>
              </w:rPr>
              <w:t>81</w:t>
            </w:r>
          </w:p>
        </w:tc>
        <w:tc>
          <w:tcPr>
            <w:tcW w:w="783" w:type="dxa"/>
            <w:tcBorders>
              <w:top w:val="single" w:sz="4" w:space="0" w:color="000000"/>
            </w:tcBorders>
            <w:vAlign w:val="center"/>
          </w:tcPr>
          <w:p w14:paraId="1FB48623" w14:textId="77777777" w:rsidR="004B6321" w:rsidRDefault="00AC7D7F">
            <w:pPr>
              <w:spacing w:line="213" w:lineRule="auto"/>
              <w:ind w:left="103" w:right="2"/>
              <w:jc w:val="both"/>
              <w:rPr>
                <w:sz w:val="18"/>
                <w:szCs w:val="18"/>
              </w:rPr>
            </w:pPr>
            <w:r>
              <w:rPr>
                <w:sz w:val="18"/>
                <w:szCs w:val="18"/>
              </w:rPr>
              <w:t>20</w:t>
            </w:r>
          </w:p>
        </w:tc>
        <w:tc>
          <w:tcPr>
            <w:tcW w:w="1279" w:type="dxa"/>
            <w:tcBorders>
              <w:top w:val="single" w:sz="4" w:space="0" w:color="000000"/>
            </w:tcBorders>
            <w:vAlign w:val="center"/>
          </w:tcPr>
          <w:p w14:paraId="6B8AA67B" w14:textId="77777777" w:rsidR="004B6321" w:rsidRDefault="00AC7D7F">
            <w:pPr>
              <w:spacing w:line="213" w:lineRule="auto"/>
              <w:ind w:left="40" w:right="2"/>
              <w:jc w:val="both"/>
              <w:rPr>
                <w:sz w:val="18"/>
                <w:szCs w:val="18"/>
              </w:rPr>
            </w:pPr>
            <w:r>
              <w:rPr>
                <w:sz w:val="18"/>
                <w:szCs w:val="18"/>
              </w:rPr>
              <w:t>4.30</w:t>
            </w:r>
          </w:p>
        </w:tc>
        <w:tc>
          <w:tcPr>
            <w:tcW w:w="1491" w:type="dxa"/>
            <w:tcBorders>
              <w:top w:val="single" w:sz="4" w:space="0" w:color="000000"/>
            </w:tcBorders>
            <w:vAlign w:val="center"/>
          </w:tcPr>
          <w:p w14:paraId="4121BE9C" w14:textId="77777777" w:rsidR="004B6321" w:rsidRDefault="00AC7D7F">
            <w:pPr>
              <w:spacing w:line="213" w:lineRule="auto"/>
              <w:ind w:left="112" w:right="2"/>
              <w:jc w:val="both"/>
              <w:rPr>
                <w:sz w:val="18"/>
                <w:szCs w:val="18"/>
              </w:rPr>
            </w:pPr>
            <w:r>
              <w:rPr>
                <w:sz w:val="18"/>
                <w:szCs w:val="18"/>
              </w:rPr>
              <w:t>5</w:t>
            </w:r>
          </w:p>
        </w:tc>
        <w:tc>
          <w:tcPr>
            <w:tcW w:w="877" w:type="dxa"/>
            <w:tcBorders>
              <w:top w:val="single" w:sz="4" w:space="0" w:color="000000"/>
            </w:tcBorders>
            <w:vAlign w:val="center"/>
          </w:tcPr>
          <w:p w14:paraId="469A3F50" w14:textId="77777777" w:rsidR="004B6321" w:rsidRDefault="00AC7D7F">
            <w:pPr>
              <w:spacing w:line="213" w:lineRule="auto"/>
              <w:ind w:left="62" w:right="2"/>
              <w:jc w:val="both"/>
              <w:rPr>
                <w:sz w:val="18"/>
                <w:szCs w:val="18"/>
              </w:rPr>
            </w:pPr>
            <w:r>
              <w:rPr>
                <w:sz w:val="18"/>
                <w:szCs w:val="18"/>
              </w:rPr>
              <w:t>-14.00%</w:t>
            </w:r>
          </w:p>
        </w:tc>
      </w:tr>
      <w:tr w:rsidR="004B6321" w14:paraId="3CB68978" w14:textId="77777777">
        <w:trPr>
          <w:trHeight w:val="236"/>
        </w:trPr>
        <w:tc>
          <w:tcPr>
            <w:tcW w:w="1072" w:type="dxa"/>
            <w:vMerge/>
            <w:vAlign w:val="center"/>
          </w:tcPr>
          <w:p w14:paraId="72E84C7A" w14:textId="77777777" w:rsidR="004B6321" w:rsidRDefault="004B6321">
            <w:pPr>
              <w:ind w:right="2"/>
              <w:jc w:val="both"/>
              <w:rPr>
                <w:sz w:val="18"/>
                <w:szCs w:val="18"/>
              </w:rPr>
            </w:pPr>
          </w:p>
        </w:tc>
        <w:tc>
          <w:tcPr>
            <w:tcW w:w="1154" w:type="dxa"/>
            <w:vAlign w:val="center"/>
          </w:tcPr>
          <w:p w14:paraId="54CAD2EA" w14:textId="77777777" w:rsidR="004B6321" w:rsidRDefault="00AC7D7F">
            <w:pPr>
              <w:spacing w:line="209" w:lineRule="auto"/>
              <w:ind w:left="108" w:right="2"/>
              <w:jc w:val="both"/>
              <w:rPr>
                <w:sz w:val="18"/>
                <w:szCs w:val="18"/>
              </w:rPr>
            </w:pPr>
            <w:r>
              <w:rPr>
                <w:sz w:val="18"/>
                <w:szCs w:val="18"/>
              </w:rPr>
              <w:t>LAT</w:t>
            </w:r>
          </w:p>
        </w:tc>
        <w:tc>
          <w:tcPr>
            <w:tcW w:w="1831" w:type="dxa"/>
            <w:vAlign w:val="center"/>
          </w:tcPr>
          <w:p w14:paraId="040A38BF" w14:textId="77777777" w:rsidR="004B6321" w:rsidRDefault="00AC7D7F">
            <w:pPr>
              <w:spacing w:line="209" w:lineRule="auto"/>
              <w:ind w:left="124" w:right="2"/>
              <w:jc w:val="both"/>
              <w:rPr>
                <w:sz w:val="18"/>
                <w:szCs w:val="18"/>
              </w:rPr>
            </w:pPr>
            <w:r>
              <w:rPr>
                <w:sz w:val="18"/>
                <w:szCs w:val="18"/>
              </w:rPr>
              <w:t>15</w:t>
            </w:r>
          </w:p>
        </w:tc>
        <w:tc>
          <w:tcPr>
            <w:tcW w:w="530" w:type="dxa"/>
            <w:vAlign w:val="center"/>
          </w:tcPr>
          <w:p w14:paraId="172FB3C8" w14:textId="77777777" w:rsidR="004B6321" w:rsidRDefault="00AC7D7F">
            <w:pPr>
              <w:spacing w:line="209" w:lineRule="auto"/>
              <w:ind w:left="93" w:right="2"/>
              <w:jc w:val="both"/>
              <w:rPr>
                <w:sz w:val="18"/>
                <w:szCs w:val="18"/>
              </w:rPr>
            </w:pPr>
            <w:r>
              <w:rPr>
                <w:sz w:val="18"/>
                <w:szCs w:val="18"/>
              </w:rPr>
              <w:t>70</w:t>
            </w:r>
          </w:p>
        </w:tc>
        <w:tc>
          <w:tcPr>
            <w:tcW w:w="783" w:type="dxa"/>
            <w:vAlign w:val="center"/>
          </w:tcPr>
          <w:p w14:paraId="1C10C292" w14:textId="77777777" w:rsidR="004B6321" w:rsidRDefault="00AC7D7F">
            <w:pPr>
              <w:spacing w:line="209" w:lineRule="auto"/>
              <w:ind w:left="103" w:right="2"/>
              <w:jc w:val="both"/>
              <w:rPr>
                <w:sz w:val="18"/>
                <w:szCs w:val="18"/>
              </w:rPr>
            </w:pPr>
            <w:r>
              <w:rPr>
                <w:sz w:val="18"/>
                <w:szCs w:val="18"/>
              </w:rPr>
              <w:t>20</w:t>
            </w:r>
          </w:p>
        </w:tc>
        <w:tc>
          <w:tcPr>
            <w:tcW w:w="1279" w:type="dxa"/>
            <w:vAlign w:val="center"/>
          </w:tcPr>
          <w:p w14:paraId="4A051662" w14:textId="77777777" w:rsidR="004B6321" w:rsidRDefault="00AC7D7F">
            <w:pPr>
              <w:spacing w:line="209" w:lineRule="auto"/>
              <w:ind w:left="40" w:right="2"/>
              <w:jc w:val="both"/>
              <w:rPr>
                <w:sz w:val="18"/>
                <w:szCs w:val="18"/>
              </w:rPr>
            </w:pPr>
            <w:r>
              <w:rPr>
                <w:sz w:val="18"/>
                <w:szCs w:val="18"/>
              </w:rPr>
              <w:t>2.99</w:t>
            </w:r>
          </w:p>
        </w:tc>
        <w:tc>
          <w:tcPr>
            <w:tcW w:w="1491" w:type="dxa"/>
            <w:vAlign w:val="center"/>
          </w:tcPr>
          <w:p w14:paraId="4038820C" w14:textId="77777777" w:rsidR="004B6321" w:rsidRDefault="00AC7D7F">
            <w:pPr>
              <w:spacing w:line="209" w:lineRule="auto"/>
              <w:ind w:left="112" w:right="2"/>
              <w:jc w:val="both"/>
              <w:rPr>
                <w:sz w:val="18"/>
                <w:szCs w:val="18"/>
              </w:rPr>
            </w:pPr>
            <w:r>
              <w:rPr>
                <w:sz w:val="18"/>
                <w:szCs w:val="18"/>
              </w:rPr>
              <w:t>3</w:t>
            </w:r>
          </w:p>
        </w:tc>
        <w:tc>
          <w:tcPr>
            <w:tcW w:w="877" w:type="dxa"/>
            <w:vAlign w:val="center"/>
          </w:tcPr>
          <w:p w14:paraId="52E1D509" w14:textId="77777777" w:rsidR="004B6321" w:rsidRDefault="00AC7D7F">
            <w:pPr>
              <w:spacing w:line="209" w:lineRule="auto"/>
              <w:ind w:left="62" w:right="2"/>
              <w:jc w:val="both"/>
              <w:rPr>
                <w:sz w:val="18"/>
                <w:szCs w:val="18"/>
              </w:rPr>
            </w:pPr>
            <w:r>
              <w:rPr>
                <w:sz w:val="18"/>
                <w:szCs w:val="18"/>
              </w:rPr>
              <w:t>-0.33%</w:t>
            </w:r>
          </w:p>
        </w:tc>
      </w:tr>
      <w:tr w:rsidR="004B6321" w14:paraId="05839A96" w14:textId="77777777">
        <w:trPr>
          <w:trHeight w:val="236"/>
        </w:trPr>
        <w:tc>
          <w:tcPr>
            <w:tcW w:w="1072" w:type="dxa"/>
            <w:vMerge w:val="restart"/>
            <w:vAlign w:val="center"/>
          </w:tcPr>
          <w:p w14:paraId="41C49A35" w14:textId="77777777" w:rsidR="004B6321" w:rsidRDefault="00AC7D7F">
            <w:pPr>
              <w:spacing w:line="209" w:lineRule="auto"/>
              <w:ind w:left="108" w:right="2"/>
              <w:jc w:val="both"/>
              <w:rPr>
                <w:sz w:val="18"/>
                <w:szCs w:val="18"/>
              </w:rPr>
            </w:pPr>
            <w:r>
              <w:rPr>
                <w:sz w:val="18"/>
                <w:szCs w:val="18"/>
              </w:rPr>
              <w:t>Chest</w:t>
            </w:r>
          </w:p>
        </w:tc>
        <w:tc>
          <w:tcPr>
            <w:tcW w:w="1154" w:type="dxa"/>
            <w:vAlign w:val="center"/>
          </w:tcPr>
          <w:p w14:paraId="2E5CC663" w14:textId="77777777" w:rsidR="004B6321" w:rsidRDefault="00AC7D7F">
            <w:pPr>
              <w:spacing w:line="209" w:lineRule="auto"/>
              <w:ind w:left="108" w:right="2"/>
              <w:jc w:val="both"/>
              <w:rPr>
                <w:sz w:val="18"/>
                <w:szCs w:val="18"/>
              </w:rPr>
            </w:pPr>
            <w:r>
              <w:rPr>
                <w:sz w:val="18"/>
                <w:szCs w:val="18"/>
              </w:rPr>
              <w:t>PA</w:t>
            </w:r>
          </w:p>
        </w:tc>
        <w:tc>
          <w:tcPr>
            <w:tcW w:w="1831" w:type="dxa"/>
            <w:vAlign w:val="center"/>
          </w:tcPr>
          <w:p w14:paraId="3833835B" w14:textId="77777777" w:rsidR="004B6321" w:rsidRDefault="00AC7D7F">
            <w:pPr>
              <w:spacing w:line="209" w:lineRule="auto"/>
              <w:ind w:left="124" w:right="2"/>
              <w:jc w:val="both"/>
              <w:rPr>
                <w:sz w:val="18"/>
                <w:szCs w:val="18"/>
              </w:rPr>
            </w:pPr>
            <w:r>
              <w:rPr>
                <w:sz w:val="18"/>
                <w:szCs w:val="18"/>
              </w:rPr>
              <w:t>23</w:t>
            </w:r>
          </w:p>
        </w:tc>
        <w:tc>
          <w:tcPr>
            <w:tcW w:w="530" w:type="dxa"/>
            <w:vAlign w:val="center"/>
          </w:tcPr>
          <w:p w14:paraId="2B430729" w14:textId="77777777" w:rsidR="004B6321" w:rsidRDefault="00AC7D7F">
            <w:pPr>
              <w:spacing w:line="209" w:lineRule="auto"/>
              <w:ind w:left="93" w:right="2"/>
              <w:jc w:val="both"/>
              <w:rPr>
                <w:sz w:val="18"/>
                <w:szCs w:val="18"/>
              </w:rPr>
            </w:pPr>
            <w:r>
              <w:rPr>
                <w:sz w:val="18"/>
                <w:szCs w:val="18"/>
              </w:rPr>
              <w:t>102</w:t>
            </w:r>
          </w:p>
        </w:tc>
        <w:tc>
          <w:tcPr>
            <w:tcW w:w="783" w:type="dxa"/>
            <w:vAlign w:val="center"/>
          </w:tcPr>
          <w:p w14:paraId="45768636" w14:textId="77777777" w:rsidR="004B6321" w:rsidRDefault="00AC7D7F">
            <w:pPr>
              <w:spacing w:line="209" w:lineRule="auto"/>
              <w:ind w:left="103" w:right="2"/>
              <w:jc w:val="both"/>
              <w:rPr>
                <w:sz w:val="18"/>
                <w:szCs w:val="18"/>
              </w:rPr>
            </w:pPr>
            <w:r>
              <w:rPr>
                <w:sz w:val="18"/>
                <w:szCs w:val="18"/>
              </w:rPr>
              <w:t>2</w:t>
            </w:r>
          </w:p>
        </w:tc>
        <w:tc>
          <w:tcPr>
            <w:tcW w:w="1279" w:type="dxa"/>
            <w:vAlign w:val="center"/>
          </w:tcPr>
          <w:p w14:paraId="6F07A90B" w14:textId="77777777" w:rsidR="004B6321" w:rsidRDefault="00AC7D7F">
            <w:pPr>
              <w:spacing w:line="209" w:lineRule="auto"/>
              <w:ind w:left="40" w:right="2"/>
              <w:jc w:val="both"/>
              <w:rPr>
                <w:sz w:val="18"/>
                <w:szCs w:val="18"/>
              </w:rPr>
            </w:pPr>
            <w:r>
              <w:rPr>
                <w:sz w:val="18"/>
                <w:szCs w:val="18"/>
              </w:rPr>
              <w:t>0.17</w:t>
            </w:r>
          </w:p>
        </w:tc>
        <w:tc>
          <w:tcPr>
            <w:tcW w:w="1491" w:type="dxa"/>
            <w:vAlign w:val="center"/>
          </w:tcPr>
          <w:p w14:paraId="13ED0CA0" w14:textId="77777777" w:rsidR="004B6321" w:rsidRDefault="00AC7D7F">
            <w:pPr>
              <w:spacing w:line="209" w:lineRule="auto"/>
              <w:ind w:left="112" w:right="2"/>
              <w:jc w:val="both"/>
              <w:rPr>
                <w:sz w:val="18"/>
                <w:szCs w:val="18"/>
              </w:rPr>
            </w:pPr>
            <w:r>
              <w:rPr>
                <w:sz w:val="18"/>
                <w:szCs w:val="18"/>
              </w:rPr>
              <w:t>0.4</w:t>
            </w:r>
          </w:p>
        </w:tc>
        <w:tc>
          <w:tcPr>
            <w:tcW w:w="877" w:type="dxa"/>
            <w:vAlign w:val="center"/>
          </w:tcPr>
          <w:p w14:paraId="080A12E5" w14:textId="77777777" w:rsidR="004B6321" w:rsidRDefault="00AC7D7F">
            <w:pPr>
              <w:spacing w:line="209" w:lineRule="auto"/>
              <w:ind w:left="62" w:right="2"/>
              <w:jc w:val="both"/>
              <w:rPr>
                <w:sz w:val="18"/>
                <w:szCs w:val="18"/>
              </w:rPr>
            </w:pPr>
            <w:r>
              <w:rPr>
                <w:sz w:val="18"/>
                <w:szCs w:val="18"/>
              </w:rPr>
              <w:t>-57.50%</w:t>
            </w:r>
          </w:p>
        </w:tc>
      </w:tr>
      <w:tr w:rsidR="004B6321" w14:paraId="763065A1" w14:textId="77777777">
        <w:trPr>
          <w:trHeight w:val="236"/>
        </w:trPr>
        <w:tc>
          <w:tcPr>
            <w:tcW w:w="1072" w:type="dxa"/>
            <w:vMerge/>
            <w:vAlign w:val="center"/>
          </w:tcPr>
          <w:p w14:paraId="24CE133B" w14:textId="77777777" w:rsidR="004B6321" w:rsidRDefault="004B6321">
            <w:pPr>
              <w:ind w:right="2"/>
              <w:jc w:val="both"/>
              <w:rPr>
                <w:sz w:val="18"/>
                <w:szCs w:val="18"/>
              </w:rPr>
            </w:pPr>
          </w:p>
        </w:tc>
        <w:tc>
          <w:tcPr>
            <w:tcW w:w="1154" w:type="dxa"/>
            <w:vAlign w:val="center"/>
          </w:tcPr>
          <w:p w14:paraId="10C494C1" w14:textId="77777777" w:rsidR="004B6321" w:rsidRDefault="00AC7D7F">
            <w:pPr>
              <w:spacing w:line="210" w:lineRule="auto"/>
              <w:ind w:left="108" w:right="2"/>
              <w:jc w:val="both"/>
              <w:rPr>
                <w:sz w:val="18"/>
                <w:szCs w:val="18"/>
              </w:rPr>
            </w:pPr>
            <w:r>
              <w:rPr>
                <w:sz w:val="18"/>
                <w:szCs w:val="18"/>
              </w:rPr>
              <w:t>LAT</w:t>
            </w:r>
          </w:p>
        </w:tc>
        <w:tc>
          <w:tcPr>
            <w:tcW w:w="1831" w:type="dxa"/>
            <w:vAlign w:val="center"/>
          </w:tcPr>
          <w:p w14:paraId="608B6D2E" w14:textId="77777777" w:rsidR="004B6321" w:rsidRDefault="00AC7D7F">
            <w:pPr>
              <w:spacing w:line="210" w:lineRule="auto"/>
              <w:ind w:left="124" w:right="2"/>
              <w:jc w:val="both"/>
              <w:rPr>
                <w:sz w:val="18"/>
                <w:szCs w:val="18"/>
              </w:rPr>
            </w:pPr>
            <w:r>
              <w:rPr>
                <w:sz w:val="18"/>
                <w:szCs w:val="18"/>
              </w:rPr>
              <w:t>32</w:t>
            </w:r>
          </w:p>
        </w:tc>
        <w:tc>
          <w:tcPr>
            <w:tcW w:w="530" w:type="dxa"/>
            <w:vAlign w:val="center"/>
          </w:tcPr>
          <w:p w14:paraId="5FE858F9" w14:textId="77777777" w:rsidR="004B6321" w:rsidRDefault="00AC7D7F">
            <w:pPr>
              <w:spacing w:line="210" w:lineRule="auto"/>
              <w:ind w:left="93" w:right="2"/>
              <w:jc w:val="both"/>
              <w:rPr>
                <w:sz w:val="18"/>
                <w:szCs w:val="18"/>
              </w:rPr>
            </w:pPr>
            <w:r>
              <w:rPr>
                <w:sz w:val="18"/>
                <w:szCs w:val="18"/>
              </w:rPr>
              <w:t>120</w:t>
            </w:r>
          </w:p>
        </w:tc>
        <w:tc>
          <w:tcPr>
            <w:tcW w:w="783" w:type="dxa"/>
            <w:vAlign w:val="center"/>
          </w:tcPr>
          <w:p w14:paraId="6FAA2B6F" w14:textId="77777777" w:rsidR="004B6321" w:rsidRDefault="00AC7D7F">
            <w:pPr>
              <w:spacing w:line="210" w:lineRule="auto"/>
              <w:ind w:left="103" w:right="2"/>
              <w:jc w:val="both"/>
              <w:rPr>
                <w:sz w:val="18"/>
                <w:szCs w:val="18"/>
              </w:rPr>
            </w:pPr>
            <w:r>
              <w:rPr>
                <w:sz w:val="18"/>
                <w:szCs w:val="18"/>
              </w:rPr>
              <w:t>5</w:t>
            </w:r>
          </w:p>
        </w:tc>
        <w:tc>
          <w:tcPr>
            <w:tcW w:w="1279" w:type="dxa"/>
            <w:vAlign w:val="center"/>
          </w:tcPr>
          <w:p w14:paraId="6E513F80" w14:textId="77777777" w:rsidR="004B6321" w:rsidRDefault="00AC7D7F">
            <w:pPr>
              <w:spacing w:line="210" w:lineRule="auto"/>
              <w:ind w:left="40" w:right="2"/>
              <w:jc w:val="both"/>
              <w:rPr>
                <w:sz w:val="18"/>
                <w:szCs w:val="18"/>
              </w:rPr>
            </w:pPr>
            <w:r>
              <w:rPr>
                <w:sz w:val="18"/>
                <w:szCs w:val="18"/>
              </w:rPr>
              <w:t>0.60</w:t>
            </w:r>
          </w:p>
        </w:tc>
        <w:tc>
          <w:tcPr>
            <w:tcW w:w="1491" w:type="dxa"/>
            <w:vAlign w:val="center"/>
          </w:tcPr>
          <w:p w14:paraId="3DFE0D35" w14:textId="77777777" w:rsidR="004B6321" w:rsidRDefault="00AC7D7F">
            <w:pPr>
              <w:spacing w:line="210" w:lineRule="auto"/>
              <w:ind w:left="112" w:right="2"/>
              <w:jc w:val="both"/>
              <w:rPr>
                <w:sz w:val="18"/>
                <w:szCs w:val="18"/>
              </w:rPr>
            </w:pPr>
            <w:r>
              <w:rPr>
                <w:sz w:val="18"/>
                <w:szCs w:val="18"/>
              </w:rPr>
              <w:t>1.4</w:t>
            </w:r>
          </w:p>
        </w:tc>
        <w:tc>
          <w:tcPr>
            <w:tcW w:w="877" w:type="dxa"/>
            <w:vAlign w:val="center"/>
          </w:tcPr>
          <w:p w14:paraId="564D7FE5" w14:textId="77777777" w:rsidR="004B6321" w:rsidRDefault="00AC7D7F">
            <w:pPr>
              <w:spacing w:line="210" w:lineRule="auto"/>
              <w:ind w:left="62" w:right="2"/>
              <w:jc w:val="both"/>
              <w:rPr>
                <w:sz w:val="18"/>
                <w:szCs w:val="18"/>
              </w:rPr>
            </w:pPr>
            <w:r>
              <w:rPr>
                <w:sz w:val="18"/>
                <w:szCs w:val="18"/>
              </w:rPr>
              <w:t>-57.14%</w:t>
            </w:r>
          </w:p>
        </w:tc>
      </w:tr>
      <w:tr w:rsidR="004B6321" w14:paraId="132BDF27" w14:textId="77777777">
        <w:trPr>
          <w:trHeight w:val="236"/>
        </w:trPr>
        <w:tc>
          <w:tcPr>
            <w:tcW w:w="1072" w:type="dxa"/>
            <w:vAlign w:val="center"/>
          </w:tcPr>
          <w:p w14:paraId="39B7D1D7" w14:textId="77777777" w:rsidR="004B6321" w:rsidRDefault="00AC7D7F">
            <w:pPr>
              <w:spacing w:line="210" w:lineRule="auto"/>
              <w:ind w:left="108" w:right="2"/>
              <w:jc w:val="both"/>
              <w:rPr>
                <w:sz w:val="18"/>
                <w:szCs w:val="18"/>
              </w:rPr>
            </w:pPr>
            <w:r>
              <w:rPr>
                <w:sz w:val="18"/>
                <w:szCs w:val="18"/>
              </w:rPr>
              <w:t>Abdomen</w:t>
            </w:r>
          </w:p>
        </w:tc>
        <w:tc>
          <w:tcPr>
            <w:tcW w:w="1154" w:type="dxa"/>
            <w:vAlign w:val="center"/>
          </w:tcPr>
          <w:p w14:paraId="5BFA04CA" w14:textId="77777777" w:rsidR="004B6321" w:rsidRDefault="00AC7D7F">
            <w:pPr>
              <w:spacing w:line="210" w:lineRule="auto"/>
              <w:ind w:left="108" w:right="2"/>
              <w:jc w:val="both"/>
              <w:rPr>
                <w:sz w:val="18"/>
                <w:szCs w:val="18"/>
              </w:rPr>
            </w:pPr>
            <w:r>
              <w:rPr>
                <w:sz w:val="18"/>
                <w:szCs w:val="18"/>
              </w:rPr>
              <w:t>AP</w:t>
            </w:r>
          </w:p>
        </w:tc>
        <w:tc>
          <w:tcPr>
            <w:tcW w:w="1831" w:type="dxa"/>
            <w:vAlign w:val="center"/>
          </w:tcPr>
          <w:p w14:paraId="21969180" w14:textId="77777777" w:rsidR="004B6321" w:rsidRDefault="00AC7D7F">
            <w:pPr>
              <w:spacing w:line="210" w:lineRule="auto"/>
              <w:ind w:left="124" w:right="2"/>
              <w:jc w:val="both"/>
              <w:rPr>
                <w:sz w:val="18"/>
                <w:szCs w:val="18"/>
              </w:rPr>
            </w:pPr>
            <w:r>
              <w:rPr>
                <w:sz w:val="18"/>
                <w:szCs w:val="18"/>
              </w:rPr>
              <w:t>23</w:t>
            </w:r>
          </w:p>
        </w:tc>
        <w:tc>
          <w:tcPr>
            <w:tcW w:w="530" w:type="dxa"/>
            <w:vAlign w:val="center"/>
          </w:tcPr>
          <w:p w14:paraId="2858A65B" w14:textId="77777777" w:rsidR="004B6321" w:rsidRDefault="00AC7D7F">
            <w:pPr>
              <w:spacing w:line="210" w:lineRule="auto"/>
              <w:ind w:left="93" w:right="2"/>
              <w:jc w:val="both"/>
              <w:rPr>
                <w:sz w:val="18"/>
                <w:szCs w:val="18"/>
              </w:rPr>
            </w:pPr>
            <w:r>
              <w:rPr>
                <w:sz w:val="18"/>
                <w:szCs w:val="18"/>
              </w:rPr>
              <w:t>81</w:t>
            </w:r>
          </w:p>
        </w:tc>
        <w:tc>
          <w:tcPr>
            <w:tcW w:w="783" w:type="dxa"/>
            <w:vAlign w:val="center"/>
          </w:tcPr>
          <w:p w14:paraId="6BF2B624" w14:textId="77777777" w:rsidR="004B6321" w:rsidRDefault="00AC7D7F">
            <w:pPr>
              <w:spacing w:line="210" w:lineRule="auto"/>
              <w:ind w:left="103" w:right="2"/>
              <w:jc w:val="both"/>
              <w:rPr>
                <w:sz w:val="18"/>
                <w:szCs w:val="18"/>
              </w:rPr>
            </w:pPr>
            <w:r>
              <w:rPr>
                <w:sz w:val="18"/>
                <w:szCs w:val="18"/>
              </w:rPr>
              <w:t>20</w:t>
            </w:r>
          </w:p>
        </w:tc>
        <w:tc>
          <w:tcPr>
            <w:tcW w:w="1279" w:type="dxa"/>
            <w:vAlign w:val="center"/>
          </w:tcPr>
          <w:p w14:paraId="59426F0C" w14:textId="77777777" w:rsidR="004B6321" w:rsidRDefault="00AC7D7F">
            <w:pPr>
              <w:spacing w:line="210" w:lineRule="auto"/>
              <w:ind w:left="40" w:right="2"/>
              <w:jc w:val="both"/>
              <w:rPr>
                <w:sz w:val="18"/>
                <w:szCs w:val="18"/>
              </w:rPr>
            </w:pPr>
            <w:r>
              <w:rPr>
                <w:sz w:val="18"/>
                <w:szCs w:val="18"/>
              </w:rPr>
              <w:t>4.76</w:t>
            </w:r>
          </w:p>
        </w:tc>
        <w:tc>
          <w:tcPr>
            <w:tcW w:w="1491" w:type="dxa"/>
            <w:vAlign w:val="center"/>
          </w:tcPr>
          <w:p w14:paraId="64AB15D2" w14:textId="77777777" w:rsidR="004B6321" w:rsidRDefault="00AC7D7F">
            <w:pPr>
              <w:spacing w:line="210" w:lineRule="auto"/>
              <w:ind w:left="112" w:right="2"/>
              <w:jc w:val="both"/>
              <w:rPr>
                <w:sz w:val="18"/>
                <w:szCs w:val="18"/>
              </w:rPr>
            </w:pPr>
            <w:r>
              <w:rPr>
                <w:sz w:val="18"/>
                <w:szCs w:val="18"/>
              </w:rPr>
              <w:t>10</w:t>
            </w:r>
          </w:p>
        </w:tc>
        <w:tc>
          <w:tcPr>
            <w:tcW w:w="877" w:type="dxa"/>
            <w:vAlign w:val="center"/>
          </w:tcPr>
          <w:p w14:paraId="1270F9CD" w14:textId="77777777" w:rsidR="004B6321" w:rsidRDefault="00AC7D7F">
            <w:pPr>
              <w:spacing w:line="210" w:lineRule="auto"/>
              <w:ind w:left="62" w:right="2"/>
              <w:jc w:val="both"/>
              <w:rPr>
                <w:sz w:val="18"/>
                <w:szCs w:val="18"/>
              </w:rPr>
            </w:pPr>
            <w:r>
              <w:rPr>
                <w:sz w:val="18"/>
                <w:szCs w:val="18"/>
              </w:rPr>
              <w:t>-52.40%</w:t>
            </w:r>
          </w:p>
        </w:tc>
      </w:tr>
      <w:tr w:rsidR="004B6321" w14:paraId="3DD21F4A" w14:textId="77777777">
        <w:trPr>
          <w:trHeight w:val="236"/>
        </w:trPr>
        <w:tc>
          <w:tcPr>
            <w:tcW w:w="1072" w:type="dxa"/>
            <w:vAlign w:val="center"/>
          </w:tcPr>
          <w:p w14:paraId="151C9F0E" w14:textId="77777777" w:rsidR="004B6321" w:rsidRDefault="00AC7D7F">
            <w:pPr>
              <w:spacing w:line="210" w:lineRule="auto"/>
              <w:ind w:left="108" w:right="2"/>
              <w:jc w:val="both"/>
              <w:rPr>
                <w:sz w:val="18"/>
                <w:szCs w:val="18"/>
              </w:rPr>
            </w:pPr>
            <w:r>
              <w:rPr>
                <w:sz w:val="18"/>
                <w:szCs w:val="18"/>
              </w:rPr>
              <w:t>Pelvis</w:t>
            </w:r>
          </w:p>
        </w:tc>
        <w:tc>
          <w:tcPr>
            <w:tcW w:w="1154" w:type="dxa"/>
            <w:vAlign w:val="center"/>
          </w:tcPr>
          <w:p w14:paraId="060EA54B" w14:textId="77777777" w:rsidR="004B6321" w:rsidRDefault="00AC7D7F">
            <w:pPr>
              <w:spacing w:line="210" w:lineRule="auto"/>
              <w:ind w:left="108" w:right="2"/>
              <w:jc w:val="both"/>
              <w:rPr>
                <w:sz w:val="18"/>
                <w:szCs w:val="18"/>
              </w:rPr>
            </w:pPr>
            <w:r>
              <w:rPr>
                <w:sz w:val="18"/>
                <w:szCs w:val="18"/>
              </w:rPr>
              <w:t>AP</w:t>
            </w:r>
          </w:p>
        </w:tc>
        <w:tc>
          <w:tcPr>
            <w:tcW w:w="1831" w:type="dxa"/>
            <w:vAlign w:val="center"/>
          </w:tcPr>
          <w:p w14:paraId="7AE7F37A" w14:textId="77777777" w:rsidR="004B6321" w:rsidRDefault="00AC7D7F">
            <w:pPr>
              <w:spacing w:line="210" w:lineRule="auto"/>
              <w:ind w:left="124" w:right="2"/>
              <w:jc w:val="both"/>
              <w:rPr>
                <w:sz w:val="18"/>
                <w:szCs w:val="18"/>
              </w:rPr>
            </w:pPr>
            <w:r>
              <w:rPr>
                <w:sz w:val="18"/>
                <w:szCs w:val="18"/>
              </w:rPr>
              <w:t>23</w:t>
            </w:r>
          </w:p>
        </w:tc>
        <w:tc>
          <w:tcPr>
            <w:tcW w:w="530" w:type="dxa"/>
            <w:vAlign w:val="center"/>
          </w:tcPr>
          <w:p w14:paraId="2F74893B" w14:textId="77777777" w:rsidR="004B6321" w:rsidRDefault="00AC7D7F">
            <w:pPr>
              <w:spacing w:line="210" w:lineRule="auto"/>
              <w:ind w:left="93" w:right="2"/>
              <w:jc w:val="both"/>
              <w:rPr>
                <w:sz w:val="18"/>
                <w:szCs w:val="18"/>
              </w:rPr>
            </w:pPr>
            <w:r>
              <w:rPr>
                <w:sz w:val="18"/>
                <w:szCs w:val="18"/>
              </w:rPr>
              <w:t>81</w:t>
            </w:r>
          </w:p>
        </w:tc>
        <w:tc>
          <w:tcPr>
            <w:tcW w:w="783" w:type="dxa"/>
            <w:vAlign w:val="center"/>
          </w:tcPr>
          <w:p w14:paraId="24C1644B" w14:textId="77777777" w:rsidR="004B6321" w:rsidRDefault="00AC7D7F">
            <w:pPr>
              <w:spacing w:line="210" w:lineRule="auto"/>
              <w:ind w:left="103" w:right="2"/>
              <w:jc w:val="both"/>
              <w:rPr>
                <w:sz w:val="18"/>
                <w:szCs w:val="18"/>
              </w:rPr>
            </w:pPr>
            <w:r>
              <w:rPr>
                <w:sz w:val="18"/>
                <w:szCs w:val="18"/>
              </w:rPr>
              <w:t>20</w:t>
            </w:r>
          </w:p>
        </w:tc>
        <w:tc>
          <w:tcPr>
            <w:tcW w:w="1279" w:type="dxa"/>
            <w:vAlign w:val="center"/>
          </w:tcPr>
          <w:p w14:paraId="2A314C24" w14:textId="77777777" w:rsidR="004B6321" w:rsidRDefault="00AC7D7F">
            <w:pPr>
              <w:spacing w:line="210" w:lineRule="auto"/>
              <w:ind w:left="40" w:right="2"/>
              <w:jc w:val="both"/>
              <w:rPr>
                <w:sz w:val="18"/>
                <w:szCs w:val="18"/>
              </w:rPr>
            </w:pPr>
            <w:r>
              <w:rPr>
                <w:sz w:val="18"/>
                <w:szCs w:val="18"/>
              </w:rPr>
              <w:t>4.76</w:t>
            </w:r>
          </w:p>
        </w:tc>
        <w:tc>
          <w:tcPr>
            <w:tcW w:w="1491" w:type="dxa"/>
            <w:vAlign w:val="center"/>
          </w:tcPr>
          <w:p w14:paraId="4042D213" w14:textId="77777777" w:rsidR="004B6321" w:rsidRDefault="00AC7D7F">
            <w:pPr>
              <w:spacing w:line="210" w:lineRule="auto"/>
              <w:ind w:left="112" w:right="2"/>
              <w:jc w:val="both"/>
              <w:rPr>
                <w:sz w:val="18"/>
                <w:szCs w:val="18"/>
              </w:rPr>
            </w:pPr>
            <w:r>
              <w:rPr>
                <w:sz w:val="18"/>
                <w:szCs w:val="18"/>
              </w:rPr>
              <w:t>10</w:t>
            </w:r>
          </w:p>
        </w:tc>
        <w:tc>
          <w:tcPr>
            <w:tcW w:w="877" w:type="dxa"/>
            <w:vAlign w:val="center"/>
          </w:tcPr>
          <w:p w14:paraId="5E820A4D" w14:textId="77777777" w:rsidR="004B6321" w:rsidRDefault="00AC7D7F">
            <w:pPr>
              <w:spacing w:line="210" w:lineRule="auto"/>
              <w:ind w:left="62" w:right="2"/>
              <w:jc w:val="both"/>
              <w:rPr>
                <w:sz w:val="18"/>
                <w:szCs w:val="18"/>
              </w:rPr>
            </w:pPr>
            <w:r>
              <w:rPr>
                <w:sz w:val="18"/>
                <w:szCs w:val="18"/>
              </w:rPr>
              <w:t>-52.40%</w:t>
            </w:r>
          </w:p>
        </w:tc>
      </w:tr>
      <w:tr w:rsidR="004B6321" w14:paraId="1CFA3CE1" w14:textId="77777777">
        <w:trPr>
          <w:trHeight w:val="236"/>
        </w:trPr>
        <w:tc>
          <w:tcPr>
            <w:tcW w:w="1072" w:type="dxa"/>
            <w:vMerge w:val="restart"/>
            <w:vAlign w:val="center"/>
          </w:tcPr>
          <w:p w14:paraId="41072244" w14:textId="77777777" w:rsidR="004B6321" w:rsidRDefault="00AC7D7F">
            <w:pPr>
              <w:spacing w:line="230" w:lineRule="auto"/>
              <w:ind w:left="108" w:right="277"/>
              <w:jc w:val="both"/>
              <w:rPr>
                <w:sz w:val="18"/>
                <w:szCs w:val="18"/>
              </w:rPr>
            </w:pPr>
            <w:r>
              <w:rPr>
                <w:sz w:val="18"/>
                <w:szCs w:val="18"/>
              </w:rPr>
              <w:t>Lumbar Spine</w:t>
            </w:r>
          </w:p>
        </w:tc>
        <w:tc>
          <w:tcPr>
            <w:tcW w:w="1154" w:type="dxa"/>
            <w:vAlign w:val="center"/>
          </w:tcPr>
          <w:p w14:paraId="49BA5003" w14:textId="77777777" w:rsidR="004B6321" w:rsidRDefault="00AC7D7F">
            <w:pPr>
              <w:spacing w:line="210" w:lineRule="auto"/>
              <w:ind w:left="108" w:right="2"/>
              <w:jc w:val="both"/>
              <w:rPr>
                <w:sz w:val="18"/>
                <w:szCs w:val="18"/>
              </w:rPr>
            </w:pPr>
            <w:r>
              <w:rPr>
                <w:sz w:val="18"/>
                <w:szCs w:val="18"/>
              </w:rPr>
              <w:t>AP</w:t>
            </w:r>
          </w:p>
        </w:tc>
        <w:tc>
          <w:tcPr>
            <w:tcW w:w="1831" w:type="dxa"/>
            <w:vAlign w:val="center"/>
          </w:tcPr>
          <w:p w14:paraId="0B9C5D9B" w14:textId="77777777" w:rsidR="004B6321" w:rsidRDefault="00AC7D7F">
            <w:pPr>
              <w:spacing w:line="210" w:lineRule="auto"/>
              <w:ind w:left="124" w:right="2"/>
              <w:jc w:val="both"/>
              <w:rPr>
                <w:sz w:val="18"/>
                <w:szCs w:val="18"/>
              </w:rPr>
            </w:pPr>
            <w:r>
              <w:rPr>
                <w:sz w:val="18"/>
                <w:szCs w:val="18"/>
              </w:rPr>
              <w:t>23</w:t>
            </w:r>
          </w:p>
        </w:tc>
        <w:tc>
          <w:tcPr>
            <w:tcW w:w="530" w:type="dxa"/>
            <w:vAlign w:val="center"/>
          </w:tcPr>
          <w:p w14:paraId="08BFC6F9" w14:textId="77777777" w:rsidR="004B6321" w:rsidRDefault="00AC7D7F">
            <w:pPr>
              <w:spacing w:line="210" w:lineRule="auto"/>
              <w:ind w:left="93" w:right="2"/>
              <w:jc w:val="both"/>
              <w:rPr>
                <w:sz w:val="18"/>
                <w:szCs w:val="18"/>
              </w:rPr>
            </w:pPr>
            <w:r>
              <w:rPr>
                <w:sz w:val="18"/>
                <w:szCs w:val="18"/>
              </w:rPr>
              <w:t>81</w:t>
            </w:r>
          </w:p>
        </w:tc>
        <w:tc>
          <w:tcPr>
            <w:tcW w:w="783" w:type="dxa"/>
            <w:vAlign w:val="center"/>
          </w:tcPr>
          <w:p w14:paraId="4040F2C2" w14:textId="77777777" w:rsidR="004B6321" w:rsidRDefault="00AC7D7F">
            <w:pPr>
              <w:spacing w:line="210" w:lineRule="auto"/>
              <w:ind w:left="103" w:right="2"/>
              <w:jc w:val="both"/>
              <w:rPr>
                <w:sz w:val="18"/>
                <w:szCs w:val="18"/>
              </w:rPr>
            </w:pPr>
            <w:r>
              <w:rPr>
                <w:sz w:val="18"/>
                <w:szCs w:val="18"/>
              </w:rPr>
              <w:t>25</w:t>
            </w:r>
          </w:p>
        </w:tc>
        <w:tc>
          <w:tcPr>
            <w:tcW w:w="1279" w:type="dxa"/>
            <w:vAlign w:val="center"/>
          </w:tcPr>
          <w:p w14:paraId="16ADCE14" w14:textId="77777777" w:rsidR="004B6321" w:rsidRDefault="00AC7D7F">
            <w:pPr>
              <w:spacing w:line="210" w:lineRule="auto"/>
              <w:ind w:left="40" w:right="2"/>
              <w:jc w:val="both"/>
              <w:rPr>
                <w:sz w:val="18"/>
                <w:szCs w:val="18"/>
              </w:rPr>
            </w:pPr>
            <w:r>
              <w:rPr>
                <w:sz w:val="18"/>
                <w:szCs w:val="18"/>
              </w:rPr>
              <w:t>5.95</w:t>
            </w:r>
          </w:p>
        </w:tc>
        <w:tc>
          <w:tcPr>
            <w:tcW w:w="1491" w:type="dxa"/>
            <w:vAlign w:val="center"/>
          </w:tcPr>
          <w:p w14:paraId="24C78153" w14:textId="77777777" w:rsidR="004B6321" w:rsidRDefault="00AC7D7F">
            <w:pPr>
              <w:spacing w:line="210" w:lineRule="auto"/>
              <w:ind w:left="112" w:right="2"/>
              <w:jc w:val="both"/>
              <w:rPr>
                <w:sz w:val="18"/>
                <w:szCs w:val="18"/>
              </w:rPr>
            </w:pPr>
            <w:r>
              <w:rPr>
                <w:sz w:val="18"/>
                <w:szCs w:val="18"/>
              </w:rPr>
              <w:t>10</w:t>
            </w:r>
          </w:p>
        </w:tc>
        <w:tc>
          <w:tcPr>
            <w:tcW w:w="877" w:type="dxa"/>
            <w:vAlign w:val="center"/>
          </w:tcPr>
          <w:p w14:paraId="14B91F80" w14:textId="77777777" w:rsidR="004B6321" w:rsidRDefault="00AC7D7F">
            <w:pPr>
              <w:spacing w:line="210" w:lineRule="auto"/>
              <w:ind w:left="62" w:right="2"/>
              <w:jc w:val="both"/>
              <w:rPr>
                <w:sz w:val="18"/>
                <w:szCs w:val="18"/>
              </w:rPr>
            </w:pPr>
            <w:r>
              <w:rPr>
                <w:sz w:val="18"/>
                <w:szCs w:val="18"/>
              </w:rPr>
              <w:t>-40.50%</w:t>
            </w:r>
          </w:p>
        </w:tc>
      </w:tr>
      <w:tr w:rsidR="004B6321" w14:paraId="05589E8E" w14:textId="77777777">
        <w:trPr>
          <w:trHeight w:val="236"/>
        </w:trPr>
        <w:tc>
          <w:tcPr>
            <w:tcW w:w="1072" w:type="dxa"/>
            <w:vMerge/>
            <w:vAlign w:val="center"/>
          </w:tcPr>
          <w:p w14:paraId="46FE533D" w14:textId="77777777" w:rsidR="004B6321" w:rsidRDefault="004B6321">
            <w:pPr>
              <w:ind w:right="2"/>
              <w:jc w:val="both"/>
              <w:rPr>
                <w:sz w:val="18"/>
                <w:szCs w:val="18"/>
              </w:rPr>
            </w:pPr>
          </w:p>
        </w:tc>
        <w:tc>
          <w:tcPr>
            <w:tcW w:w="1154" w:type="dxa"/>
            <w:vAlign w:val="center"/>
          </w:tcPr>
          <w:p w14:paraId="25CC1A49" w14:textId="77777777" w:rsidR="004B6321" w:rsidRDefault="00AC7D7F">
            <w:pPr>
              <w:spacing w:line="209" w:lineRule="auto"/>
              <w:ind w:left="108" w:right="2"/>
              <w:jc w:val="both"/>
              <w:rPr>
                <w:sz w:val="18"/>
                <w:szCs w:val="18"/>
              </w:rPr>
            </w:pPr>
            <w:r>
              <w:rPr>
                <w:sz w:val="18"/>
                <w:szCs w:val="18"/>
              </w:rPr>
              <w:t>LAT</w:t>
            </w:r>
          </w:p>
        </w:tc>
        <w:tc>
          <w:tcPr>
            <w:tcW w:w="1831" w:type="dxa"/>
            <w:vAlign w:val="center"/>
          </w:tcPr>
          <w:p w14:paraId="2219352B" w14:textId="77777777" w:rsidR="004B6321" w:rsidRDefault="00AC7D7F">
            <w:pPr>
              <w:spacing w:line="209" w:lineRule="auto"/>
              <w:ind w:left="124" w:right="2"/>
              <w:jc w:val="both"/>
              <w:rPr>
                <w:sz w:val="18"/>
                <w:szCs w:val="18"/>
              </w:rPr>
            </w:pPr>
            <w:r>
              <w:rPr>
                <w:sz w:val="18"/>
                <w:szCs w:val="18"/>
              </w:rPr>
              <w:t>30</w:t>
            </w:r>
          </w:p>
        </w:tc>
        <w:tc>
          <w:tcPr>
            <w:tcW w:w="530" w:type="dxa"/>
            <w:vAlign w:val="center"/>
          </w:tcPr>
          <w:p w14:paraId="3C197382" w14:textId="77777777" w:rsidR="004B6321" w:rsidRDefault="00AC7D7F">
            <w:pPr>
              <w:spacing w:line="209" w:lineRule="auto"/>
              <w:ind w:left="93" w:right="2"/>
              <w:jc w:val="both"/>
              <w:rPr>
                <w:sz w:val="18"/>
                <w:szCs w:val="18"/>
              </w:rPr>
            </w:pPr>
            <w:r>
              <w:rPr>
                <w:sz w:val="18"/>
                <w:szCs w:val="18"/>
              </w:rPr>
              <w:t>102</w:t>
            </w:r>
          </w:p>
        </w:tc>
        <w:tc>
          <w:tcPr>
            <w:tcW w:w="783" w:type="dxa"/>
            <w:vAlign w:val="center"/>
          </w:tcPr>
          <w:p w14:paraId="3771279B" w14:textId="77777777" w:rsidR="004B6321" w:rsidRDefault="00AC7D7F">
            <w:pPr>
              <w:spacing w:line="209" w:lineRule="auto"/>
              <w:ind w:left="103" w:right="2"/>
              <w:jc w:val="both"/>
              <w:rPr>
                <w:sz w:val="18"/>
                <w:szCs w:val="18"/>
              </w:rPr>
            </w:pPr>
            <w:r>
              <w:rPr>
                <w:sz w:val="18"/>
                <w:szCs w:val="18"/>
              </w:rPr>
              <w:t>50</w:t>
            </w:r>
          </w:p>
        </w:tc>
        <w:tc>
          <w:tcPr>
            <w:tcW w:w="1279" w:type="dxa"/>
            <w:vAlign w:val="center"/>
          </w:tcPr>
          <w:p w14:paraId="0B0935EF" w14:textId="77777777" w:rsidR="004B6321" w:rsidRDefault="00AC7D7F">
            <w:pPr>
              <w:spacing w:line="209" w:lineRule="auto"/>
              <w:ind w:left="40" w:right="2"/>
              <w:jc w:val="both"/>
              <w:rPr>
                <w:sz w:val="18"/>
                <w:szCs w:val="18"/>
              </w:rPr>
            </w:pPr>
            <w:r>
              <w:rPr>
                <w:sz w:val="18"/>
                <w:szCs w:val="18"/>
              </w:rPr>
              <w:t>21.14</w:t>
            </w:r>
          </w:p>
        </w:tc>
        <w:tc>
          <w:tcPr>
            <w:tcW w:w="1491" w:type="dxa"/>
            <w:vAlign w:val="center"/>
          </w:tcPr>
          <w:p w14:paraId="7B66D661" w14:textId="77777777" w:rsidR="004B6321" w:rsidRDefault="00AC7D7F">
            <w:pPr>
              <w:spacing w:line="209" w:lineRule="auto"/>
              <w:ind w:left="112" w:right="2"/>
              <w:jc w:val="both"/>
              <w:rPr>
                <w:sz w:val="18"/>
                <w:szCs w:val="18"/>
              </w:rPr>
            </w:pPr>
            <w:r>
              <w:rPr>
                <w:sz w:val="18"/>
                <w:szCs w:val="18"/>
              </w:rPr>
              <w:t>30</w:t>
            </w:r>
          </w:p>
        </w:tc>
        <w:tc>
          <w:tcPr>
            <w:tcW w:w="877" w:type="dxa"/>
            <w:vAlign w:val="center"/>
          </w:tcPr>
          <w:p w14:paraId="333B4F29" w14:textId="77777777" w:rsidR="004B6321" w:rsidRDefault="00AC7D7F">
            <w:pPr>
              <w:spacing w:line="209" w:lineRule="auto"/>
              <w:ind w:left="62" w:right="2"/>
              <w:jc w:val="both"/>
              <w:rPr>
                <w:sz w:val="18"/>
                <w:szCs w:val="18"/>
              </w:rPr>
            </w:pPr>
            <w:r>
              <w:rPr>
                <w:sz w:val="18"/>
                <w:szCs w:val="18"/>
              </w:rPr>
              <w:t>-29.53%</w:t>
            </w:r>
          </w:p>
        </w:tc>
      </w:tr>
      <w:tr w:rsidR="004B6321" w14:paraId="643C43C4" w14:textId="77777777">
        <w:trPr>
          <w:trHeight w:val="236"/>
        </w:trPr>
        <w:tc>
          <w:tcPr>
            <w:tcW w:w="1072" w:type="dxa"/>
            <w:vMerge/>
            <w:tcBorders>
              <w:bottom w:val="single" w:sz="4" w:space="0" w:color="000000"/>
            </w:tcBorders>
            <w:vAlign w:val="center"/>
          </w:tcPr>
          <w:p w14:paraId="33C76C14" w14:textId="77777777" w:rsidR="004B6321" w:rsidRDefault="004B6321">
            <w:pPr>
              <w:ind w:right="2"/>
              <w:jc w:val="both"/>
              <w:rPr>
                <w:sz w:val="18"/>
                <w:szCs w:val="18"/>
              </w:rPr>
            </w:pPr>
          </w:p>
        </w:tc>
        <w:tc>
          <w:tcPr>
            <w:tcW w:w="1154" w:type="dxa"/>
            <w:tcBorders>
              <w:bottom w:val="single" w:sz="4" w:space="0" w:color="000000"/>
            </w:tcBorders>
            <w:vAlign w:val="center"/>
          </w:tcPr>
          <w:p w14:paraId="048A017A" w14:textId="77777777" w:rsidR="004B6321" w:rsidRDefault="00AC7D7F">
            <w:pPr>
              <w:spacing w:line="208" w:lineRule="auto"/>
              <w:ind w:left="108" w:right="2"/>
              <w:jc w:val="both"/>
              <w:rPr>
                <w:sz w:val="18"/>
                <w:szCs w:val="18"/>
              </w:rPr>
            </w:pPr>
            <w:r>
              <w:rPr>
                <w:sz w:val="18"/>
                <w:szCs w:val="18"/>
              </w:rPr>
              <w:t>LJ</w:t>
            </w:r>
          </w:p>
        </w:tc>
        <w:tc>
          <w:tcPr>
            <w:tcW w:w="1831" w:type="dxa"/>
            <w:tcBorders>
              <w:bottom w:val="single" w:sz="4" w:space="0" w:color="000000"/>
            </w:tcBorders>
            <w:vAlign w:val="center"/>
          </w:tcPr>
          <w:p w14:paraId="3D67605D" w14:textId="77777777" w:rsidR="004B6321" w:rsidRDefault="00AC7D7F">
            <w:pPr>
              <w:spacing w:line="208" w:lineRule="auto"/>
              <w:ind w:left="124" w:right="2"/>
              <w:jc w:val="both"/>
              <w:rPr>
                <w:sz w:val="18"/>
                <w:szCs w:val="18"/>
              </w:rPr>
            </w:pPr>
            <w:r>
              <w:rPr>
                <w:sz w:val="18"/>
                <w:szCs w:val="18"/>
              </w:rPr>
              <w:t>20</w:t>
            </w:r>
          </w:p>
        </w:tc>
        <w:tc>
          <w:tcPr>
            <w:tcW w:w="530" w:type="dxa"/>
            <w:tcBorders>
              <w:bottom w:val="single" w:sz="4" w:space="0" w:color="000000"/>
            </w:tcBorders>
            <w:vAlign w:val="center"/>
          </w:tcPr>
          <w:p w14:paraId="41E8AEB8" w14:textId="77777777" w:rsidR="004B6321" w:rsidRDefault="00AC7D7F">
            <w:pPr>
              <w:spacing w:line="208" w:lineRule="auto"/>
              <w:ind w:left="93" w:right="2"/>
              <w:jc w:val="both"/>
              <w:rPr>
                <w:sz w:val="18"/>
                <w:szCs w:val="18"/>
              </w:rPr>
            </w:pPr>
            <w:r>
              <w:rPr>
                <w:sz w:val="18"/>
                <w:szCs w:val="18"/>
              </w:rPr>
              <w:t>70</w:t>
            </w:r>
          </w:p>
        </w:tc>
        <w:tc>
          <w:tcPr>
            <w:tcW w:w="783" w:type="dxa"/>
            <w:tcBorders>
              <w:bottom w:val="single" w:sz="4" w:space="0" w:color="000000"/>
            </w:tcBorders>
            <w:vAlign w:val="center"/>
          </w:tcPr>
          <w:p w14:paraId="1683A801" w14:textId="77777777" w:rsidR="004B6321" w:rsidRDefault="00AC7D7F">
            <w:pPr>
              <w:spacing w:line="208" w:lineRule="auto"/>
              <w:ind w:left="103" w:right="2"/>
              <w:jc w:val="both"/>
              <w:rPr>
                <w:sz w:val="18"/>
                <w:szCs w:val="18"/>
              </w:rPr>
            </w:pPr>
            <w:r>
              <w:rPr>
                <w:sz w:val="18"/>
                <w:szCs w:val="18"/>
              </w:rPr>
              <w:t>40</w:t>
            </w:r>
          </w:p>
        </w:tc>
        <w:tc>
          <w:tcPr>
            <w:tcW w:w="1279" w:type="dxa"/>
            <w:tcBorders>
              <w:bottom w:val="single" w:sz="4" w:space="0" w:color="000000"/>
            </w:tcBorders>
            <w:vAlign w:val="center"/>
          </w:tcPr>
          <w:p w14:paraId="53D0FC10" w14:textId="77777777" w:rsidR="004B6321" w:rsidRDefault="00AC7D7F">
            <w:pPr>
              <w:spacing w:line="208" w:lineRule="auto"/>
              <w:ind w:left="40" w:right="2"/>
              <w:jc w:val="both"/>
              <w:rPr>
                <w:sz w:val="18"/>
                <w:szCs w:val="18"/>
              </w:rPr>
            </w:pPr>
            <w:r>
              <w:rPr>
                <w:sz w:val="18"/>
                <w:szCs w:val="18"/>
              </w:rPr>
              <w:t>15.78</w:t>
            </w:r>
          </w:p>
        </w:tc>
        <w:tc>
          <w:tcPr>
            <w:tcW w:w="1491" w:type="dxa"/>
            <w:tcBorders>
              <w:bottom w:val="single" w:sz="4" w:space="0" w:color="000000"/>
            </w:tcBorders>
            <w:vAlign w:val="center"/>
          </w:tcPr>
          <w:p w14:paraId="1362D984" w14:textId="77777777" w:rsidR="004B6321" w:rsidRDefault="00AC7D7F">
            <w:pPr>
              <w:spacing w:line="208" w:lineRule="auto"/>
              <w:ind w:left="112" w:right="2"/>
              <w:jc w:val="both"/>
              <w:rPr>
                <w:sz w:val="18"/>
                <w:szCs w:val="18"/>
              </w:rPr>
            </w:pPr>
            <w:r>
              <w:rPr>
                <w:sz w:val="18"/>
                <w:szCs w:val="18"/>
              </w:rPr>
              <w:t>40</w:t>
            </w:r>
          </w:p>
        </w:tc>
        <w:tc>
          <w:tcPr>
            <w:tcW w:w="877" w:type="dxa"/>
            <w:tcBorders>
              <w:bottom w:val="single" w:sz="4" w:space="0" w:color="000000"/>
            </w:tcBorders>
            <w:vAlign w:val="center"/>
          </w:tcPr>
          <w:p w14:paraId="523F5F6A" w14:textId="77777777" w:rsidR="004B6321" w:rsidRDefault="00AC7D7F">
            <w:pPr>
              <w:spacing w:line="208" w:lineRule="auto"/>
              <w:ind w:left="62" w:right="2"/>
              <w:jc w:val="both"/>
              <w:rPr>
                <w:sz w:val="18"/>
                <w:szCs w:val="18"/>
              </w:rPr>
            </w:pPr>
            <w:r>
              <w:rPr>
                <w:sz w:val="18"/>
                <w:szCs w:val="18"/>
              </w:rPr>
              <w:t>-60.55%</w:t>
            </w:r>
          </w:p>
        </w:tc>
      </w:tr>
    </w:tbl>
    <w:p w14:paraId="7700A35F" w14:textId="77777777" w:rsidR="004B6321" w:rsidRDefault="00AC7D7F">
      <w:pPr>
        <w:spacing w:before="2" w:line="235" w:lineRule="auto"/>
        <w:ind w:left="45" w:right="42" w:hanging="10"/>
        <w:jc w:val="both"/>
        <w:rPr>
          <w:b/>
          <w:sz w:val="18"/>
          <w:szCs w:val="18"/>
        </w:rPr>
      </w:pPr>
      <w:r>
        <w:rPr>
          <w:i/>
          <w:sz w:val="18"/>
          <w:szCs w:val="18"/>
          <w:vertAlign w:val="superscript"/>
        </w:rPr>
        <w:t>[a]</w:t>
      </w:r>
      <w:r>
        <w:rPr>
          <w:i/>
          <w:sz w:val="18"/>
          <w:szCs w:val="18"/>
        </w:rPr>
        <w:t xml:space="preserve">Radiographic thicknesses, considering a typical adult patient (weight from 60 kg to 75 kg and height from 1.60 m to 1.75 m); </w:t>
      </w:r>
      <w:r>
        <w:rPr>
          <w:i/>
          <w:sz w:val="18"/>
          <w:szCs w:val="18"/>
          <w:vertAlign w:val="superscript"/>
        </w:rPr>
        <w:t>[b]</w:t>
      </w:r>
      <w:proofErr w:type="spellStart"/>
      <w:r>
        <w:rPr>
          <w:i/>
          <w:sz w:val="18"/>
          <w:szCs w:val="18"/>
        </w:rPr>
        <w:t>K</w:t>
      </w:r>
      <w:r>
        <w:rPr>
          <w:i/>
          <w:sz w:val="18"/>
          <w:szCs w:val="18"/>
          <w:vertAlign w:val="subscript"/>
        </w:rPr>
        <w:t>a,e</w:t>
      </w:r>
      <w:proofErr w:type="spellEnd"/>
      <w:r>
        <w:rPr>
          <w:i/>
          <w:sz w:val="18"/>
          <w:szCs w:val="18"/>
        </w:rPr>
        <w:t xml:space="preserve"> is considered the best indicator of deterministic effects, such as the death of a large number of cells, which can lead to tissue collapse, causing it to cease its functions in the organism; [c]Reference levels for radiographic diagnostic imaging, in terms of Entrance Surface Dose, for a typical adult patient.</w:t>
      </w:r>
    </w:p>
    <w:p w14:paraId="6E88664D" w14:textId="77777777" w:rsidR="004B6321" w:rsidRDefault="00AC7D7F">
      <w:pPr>
        <w:pBdr>
          <w:top w:val="nil"/>
          <w:left w:val="nil"/>
          <w:bottom w:val="nil"/>
          <w:right w:val="nil"/>
          <w:between w:val="nil"/>
        </w:pBdr>
        <w:spacing w:before="184"/>
        <w:ind w:left="23"/>
        <w:jc w:val="both"/>
        <w:rPr>
          <w:color w:val="000000"/>
          <w:sz w:val="18"/>
          <w:szCs w:val="18"/>
        </w:rPr>
      </w:pPr>
      <w:r>
        <w:rPr>
          <w:color w:val="000000"/>
          <w:sz w:val="18"/>
          <w:szCs w:val="18"/>
        </w:rPr>
        <w:t xml:space="preserve">When comparing the </w:t>
      </w:r>
      <w:proofErr w:type="spellStart"/>
      <w:proofErr w:type="gramStart"/>
      <w:r>
        <w:rPr>
          <w:color w:val="000000"/>
          <w:sz w:val="18"/>
          <w:szCs w:val="18"/>
        </w:rPr>
        <w:t>K</w:t>
      </w:r>
      <w:r>
        <w:rPr>
          <w:color w:val="000000"/>
          <w:sz w:val="18"/>
          <w:szCs w:val="18"/>
          <w:vertAlign w:val="subscript"/>
        </w:rPr>
        <w:t>a,e</w:t>
      </w:r>
      <w:proofErr w:type="spellEnd"/>
      <w:proofErr w:type="gramEnd"/>
      <w:r>
        <w:rPr>
          <w:color w:val="000000"/>
          <w:sz w:val="18"/>
          <w:szCs w:val="18"/>
        </w:rPr>
        <w:t xml:space="preserve"> values obtained in this study with the DRLs established by RDC 330/52, we can observe a significant variation in many cases. For example, for the anteroposterior (AP) skull radiographic exam, the estimated </w:t>
      </w:r>
      <w:proofErr w:type="spellStart"/>
      <w:proofErr w:type="gramStart"/>
      <w:r>
        <w:rPr>
          <w:color w:val="000000"/>
          <w:sz w:val="18"/>
          <w:szCs w:val="18"/>
        </w:rPr>
        <w:t>K</w:t>
      </w:r>
      <w:r>
        <w:rPr>
          <w:color w:val="000000"/>
          <w:sz w:val="18"/>
          <w:szCs w:val="18"/>
          <w:vertAlign w:val="subscript"/>
        </w:rPr>
        <w:t>a,e</w:t>
      </w:r>
      <w:proofErr w:type="spellEnd"/>
      <w:proofErr w:type="gramEnd"/>
      <w:r>
        <w:rPr>
          <w:color w:val="000000"/>
          <w:sz w:val="18"/>
          <w:szCs w:val="18"/>
        </w:rPr>
        <w:t xml:space="preserve"> value is 4.30 </w:t>
      </w:r>
      <w:proofErr w:type="spellStart"/>
      <w:r>
        <w:rPr>
          <w:color w:val="000000"/>
          <w:sz w:val="18"/>
          <w:szCs w:val="18"/>
        </w:rPr>
        <w:t>mGy</w:t>
      </w:r>
      <w:proofErr w:type="spellEnd"/>
      <w:r>
        <w:rPr>
          <w:color w:val="000000"/>
          <w:sz w:val="18"/>
          <w:szCs w:val="18"/>
        </w:rPr>
        <w:t xml:space="preserve">, while the DRL established by RDC 330/52 is 5 </w:t>
      </w:r>
      <w:proofErr w:type="spellStart"/>
      <w:r>
        <w:rPr>
          <w:color w:val="000000"/>
          <w:sz w:val="18"/>
          <w:szCs w:val="18"/>
        </w:rPr>
        <w:t>mGy</w:t>
      </w:r>
      <w:proofErr w:type="spellEnd"/>
      <w:r>
        <w:rPr>
          <w:color w:val="000000"/>
          <w:sz w:val="18"/>
          <w:szCs w:val="18"/>
        </w:rPr>
        <w:t>. This results in a discrepancy of</w:t>
      </w:r>
      <w:r>
        <w:rPr>
          <w:sz w:val="18"/>
          <w:szCs w:val="18"/>
        </w:rPr>
        <w:t xml:space="preserve"> </w:t>
      </w:r>
      <w:r>
        <w:rPr>
          <w:color w:val="000000"/>
          <w:sz w:val="18"/>
          <w:szCs w:val="18"/>
        </w:rPr>
        <w:t>-14.00% compared to the DRL.</w:t>
      </w:r>
    </w:p>
    <w:p w14:paraId="01C97C4E" w14:textId="77777777" w:rsidR="004B6321" w:rsidRDefault="00AC7D7F">
      <w:pPr>
        <w:pBdr>
          <w:top w:val="nil"/>
          <w:left w:val="nil"/>
          <w:bottom w:val="nil"/>
          <w:right w:val="nil"/>
          <w:between w:val="nil"/>
        </w:pBdr>
        <w:spacing w:before="161"/>
        <w:ind w:left="23" w:right="1"/>
        <w:jc w:val="both"/>
        <w:rPr>
          <w:color w:val="000000"/>
          <w:sz w:val="18"/>
          <w:szCs w:val="18"/>
        </w:rPr>
      </w:pPr>
      <w:r>
        <w:rPr>
          <w:color w:val="000000"/>
          <w:sz w:val="18"/>
          <w:szCs w:val="18"/>
        </w:rPr>
        <w:t xml:space="preserve">These differences highlight the importance of monitoring and optimizing radiation doses used </w:t>
      </w:r>
      <w:proofErr w:type="gramStart"/>
      <w:r>
        <w:rPr>
          <w:color w:val="000000"/>
          <w:sz w:val="18"/>
          <w:szCs w:val="18"/>
        </w:rPr>
        <w:t>in  radiographic</w:t>
      </w:r>
      <w:proofErr w:type="gramEnd"/>
      <w:r>
        <w:rPr>
          <w:color w:val="000000"/>
          <w:sz w:val="18"/>
          <w:szCs w:val="18"/>
        </w:rPr>
        <w:t xml:space="preserve">  procedures  to  ensure  they</w:t>
      </w:r>
      <w:r>
        <w:rPr>
          <w:sz w:val="18"/>
          <w:szCs w:val="18"/>
        </w:rPr>
        <w:t xml:space="preserve"> </w:t>
      </w:r>
      <w:r>
        <w:rPr>
          <w:color w:val="000000"/>
          <w:sz w:val="18"/>
          <w:szCs w:val="18"/>
        </w:rPr>
        <w:t xml:space="preserve">comply with standards set by regulatory authorities. When </w:t>
      </w:r>
      <w:proofErr w:type="spellStart"/>
      <w:proofErr w:type="gramStart"/>
      <w:r>
        <w:rPr>
          <w:color w:val="000000"/>
          <w:sz w:val="18"/>
          <w:szCs w:val="18"/>
        </w:rPr>
        <w:t>K</w:t>
      </w:r>
      <w:r>
        <w:rPr>
          <w:color w:val="000000"/>
          <w:sz w:val="18"/>
          <w:szCs w:val="18"/>
          <w:vertAlign w:val="subscript"/>
        </w:rPr>
        <w:t>a,e</w:t>
      </w:r>
      <w:proofErr w:type="spellEnd"/>
      <w:proofErr w:type="gramEnd"/>
      <w:r>
        <w:rPr>
          <w:color w:val="000000"/>
          <w:sz w:val="18"/>
          <w:szCs w:val="18"/>
        </w:rPr>
        <w:t xml:space="preserve"> values exceed DRLs, it may indicate excessive patient exposure to radiation, increasing the risk of adverse health effects.</w:t>
      </w:r>
    </w:p>
    <w:p w14:paraId="29B27835" w14:textId="77777777" w:rsidR="004B6321" w:rsidRDefault="004B6321">
      <w:pPr>
        <w:pBdr>
          <w:top w:val="nil"/>
          <w:left w:val="nil"/>
          <w:bottom w:val="nil"/>
          <w:right w:val="nil"/>
          <w:between w:val="nil"/>
        </w:pBdr>
        <w:rPr>
          <w:color w:val="000000"/>
          <w:sz w:val="18"/>
          <w:szCs w:val="18"/>
        </w:rPr>
      </w:pPr>
    </w:p>
    <w:p w14:paraId="3EBA41C1" w14:textId="77777777" w:rsidR="004B6321" w:rsidRDefault="00AC7D7F">
      <w:pPr>
        <w:pBdr>
          <w:top w:val="nil"/>
          <w:left w:val="nil"/>
          <w:bottom w:val="nil"/>
          <w:right w:val="nil"/>
          <w:between w:val="nil"/>
        </w:pBdr>
        <w:ind w:left="23" w:right="23"/>
        <w:jc w:val="both"/>
        <w:rPr>
          <w:color w:val="000000"/>
          <w:sz w:val="18"/>
          <w:szCs w:val="18"/>
        </w:rPr>
      </w:pPr>
      <w:r>
        <w:rPr>
          <w:color w:val="000000"/>
          <w:sz w:val="18"/>
          <w:szCs w:val="18"/>
        </w:rPr>
        <w:t xml:space="preserve">In the case of the lateral (LAT) projection of the skull, the </w:t>
      </w:r>
      <w:proofErr w:type="spellStart"/>
      <w:proofErr w:type="gramStart"/>
      <w:r>
        <w:rPr>
          <w:color w:val="000000"/>
          <w:sz w:val="18"/>
          <w:szCs w:val="18"/>
        </w:rPr>
        <w:t>K</w:t>
      </w:r>
      <w:r>
        <w:rPr>
          <w:color w:val="000000"/>
          <w:sz w:val="18"/>
          <w:szCs w:val="18"/>
          <w:vertAlign w:val="subscript"/>
        </w:rPr>
        <w:t>a,e</w:t>
      </w:r>
      <w:proofErr w:type="spellEnd"/>
      <w:proofErr w:type="gramEnd"/>
      <w:r>
        <w:rPr>
          <w:color w:val="000000"/>
          <w:sz w:val="18"/>
          <w:szCs w:val="18"/>
        </w:rPr>
        <w:t xml:space="preserve"> estimate resulted in a percentage deviation of -14%, indicating an underestimation compared to the established DRL. However, in other projections, such as the posteroanterior (PA) chest and lateral lumbar spine, there are significantly higher percentage deviations, indicating a substantial reduction in </w:t>
      </w:r>
      <w:proofErr w:type="spellStart"/>
      <w:proofErr w:type="gramStart"/>
      <w:r>
        <w:rPr>
          <w:color w:val="000000"/>
          <w:sz w:val="18"/>
          <w:szCs w:val="18"/>
        </w:rPr>
        <w:t>K</w:t>
      </w:r>
      <w:r>
        <w:rPr>
          <w:color w:val="000000"/>
          <w:sz w:val="18"/>
          <w:szCs w:val="18"/>
          <w:vertAlign w:val="subscript"/>
        </w:rPr>
        <w:t>a,e</w:t>
      </w:r>
      <w:proofErr w:type="spellEnd"/>
      <w:proofErr w:type="gramEnd"/>
      <w:r>
        <w:rPr>
          <w:color w:val="000000"/>
          <w:sz w:val="18"/>
          <w:szCs w:val="18"/>
        </w:rPr>
        <w:t xml:space="preserve"> values compared to the established DRLs.</w:t>
      </w:r>
    </w:p>
    <w:p w14:paraId="0A7951F2" w14:textId="77777777" w:rsidR="004B6321" w:rsidRDefault="004B6321">
      <w:pPr>
        <w:pBdr>
          <w:top w:val="nil"/>
          <w:left w:val="nil"/>
          <w:bottom w:val="nil"/>
          <w:right w:val="nil"/>
          <w:between w:val="nil"/>
        </w:pBdr>
        <w:rPr>
          <w:color w:val="000000"/>
          <w:sz w:val="18"/>
          <w:szCs w:val="18"/>
        </w:rPr>
      </w:pPr>
    </w:p>
    <w:p w14:paraId="6B4979AB" w14:textId="77777777" w:rsidR="004B6321" w:rsidRDefault="00AC7D7F">
      <w:pPr>
        <w:pBdr>
          <w:top w:val="nil"/>
          <w:left w:val="nil"/>
          <w:bottom w:val="nil"/>
          <w:right w:val="nil"/>
          <w:between w:val="nil"/>
        </w:pBdr>
        <w:ind w:left="23" w:right="24"/>
        <w:jc w:val="both"/>
        <w:rPr>
          <w:color w:val="000000"/>
          <w:sz w:val="18"/>
          <w:szCs w:val="18"/>
        </w:rPr>
      </w:pPr>
      <w:r>
        <w:rPr>
          <w:color w:val="000000"/>
          <w:sz w:val="18"/>
          <w:szCs w:val="18"/>
        </w:rPr>
        <w:t xml:space="preserve">Suliman's studies [15] conducted a retrospective analysis through image analysis and found that the average </w:t>
      </w:r>
      <w:proofErr w:type="spellStart"/>
      <w:proofErr w:type="gramStart"/>
      <w:r>
        <w:rPr>
          <w:color w:val="000000"/>
          <w:sz w:val="18"/>
          <w:szCs w:val="18"/>
        </w:rPr>
        <w:t>K</w:t>
      </w:r>
      <w:r>
        <w:rPr>
          <w:color w:val="000000"/>
          <w:sz w:val="18"/>
          <w:szCs w:val="18"/>
          <w:vertAlign w:val="subscript"/>
        </w:rPr>
        <w:t>a,e</w:t>
      </w:r>
      <w:proofErr w:type="spellEnd"/>
      <w:proofErr w:type="gramEnd"/>
      <w:r>
        <w:rPr>
          <w:color w:val="000000"/>
          <w:sz w:val="18"/>
          <w:szCs w:val="18"/>
        </w:rPr>
        <w:t xml:space="preserve"> (</w:t>
      </w:r>
      <w:proofErr w:type="spellStart"/>
      <w:r>
        <w:rPr>
          <w:color w:val="000000"/>
          <w:sz w:val="18"/>
          <w:szCs w:val="18"/>
        </w:rPr>
        <w:t>mGy</w:t>
      </w:r>
      <w:proofErr w:type="spellEnd"/>
      <w:r>
        <w:rPr>
          <w:color w:val="000000"/>
          <w:sz w:val="18"/>
          <w:szCs w:val="18"/>
        </w:rPr>
        <w:t xml:space="preserve">) values for radiographic exams of PA chest, LAT chest, AP abdomen, AP pelvis, AP lumbar spine, and LAT lumbar spine were 0.13, 0.27, 0.70, 1.06, 2.33, and 4.18 </w:t>
      </w:r>
      <w:proofErr w:type="spellStart"/>
      <w:r>
        <w:rPr>
          <w:color w:val="000000"/>
          <w:sz w:val="18"/>
          <w:szCs w:val="18"/>
        </w:rPr>
        <w:t>mGy</w:t>
      </w:r>
      <w:proofErr w:type="spellEnd"/>
      <w:r>
        <w:rPr>
          <w:color w:val="000000"/>
          <w:sz w:val="18"/>
          <w:szCs w:val="18"/>
        </w:rPr>
        <w:t>,</w:t>
      </w:r>
    </w:p>
    <w:p w14:paraId="7CCD7D45" w14:textId="77777777" w:rsidR="004B6321" w:rsidRDefault="00AC7D7F">
      <w:pPr>
        <w:pBdr>
          <w:top w:val="nil"/>
          <w:left w:val="nil"/>
          <w:bottom w:val="nil"/>
          <w:right w:val="nil"/>
          <w:between w:val="nil"/>
        </w:pBdr>
        <w:ind w:left="23" w:right="26"/>
        <w:jc w:val="both"/>
        <w:rPr>
          <w:color w:val="000000"/>
          <w:sz w:val="18"/>
          <w:szCs w:val="18"/>
        </w:rPr>
      </w:pPr>
      <w:r>
        <w:rPr>
          <w:color w:val="000000"/>
          <w:sz w:val="18"/>
          <w:szCs w:val="18"/>
        </w:rPr>
        <w:t>respectively. Our study's results are consistent with chest findings; however, for the abdomen, pelvis, and lumbar spine regions, the values were higher.</w:t>
      </w:r>
    </w:p>
    <w:p w14:paraId="724BAC7C" w14:textId="77777777" w:rsidR="004B6321" w:rsidRDefault="004B6321">
      <w:pPr>
        <w:pBdr>
          <w:top w:val="nil"/>
          <w:left w:val="nil"/>
          <w:bottom w:val="nil"/>
          <w:right w:val="nil"/>
          <w:between w:val="nil"/>
        </w:pBdr>
        <w:rPr>
          <w:color w:val="000000"/>
          <w:sz w:val="18"/>
          <w:szCs w:val="18"/>
        </w:rPr>
      </w:pPr>
    </w:p>
    <w:p w14:paraId="5C250AF4" w14:textId="6FD2FAB6" w:rsidR="004B6321" w:rsidRDefault="00AC7D7F">
      <w:pPr>
        <w:pBdr>
          <w:top w:val="nil"/>
          <w:left w:val="nil"/>
          <w:bottom w:val="nil"/>
          <w:right w:val="nil"/>
          <w:between w:val="nil"/>
        </w:pBdr>
        <w:ind w:left="23" w:right="24"/>
        <w:jc w:val="both"/>
        <w:rPr>
          <w:color w:val="000000"/>
          <w:sz w:val="18"/>
          <w:szCs w:val="18"/>
        </w:rPr>
        <w:sectPr w:rsidR="004B6321">
          <w:type w:val="continuous"/>
          <w:pgSz w:w="11910" w:h="16840"/>
          <w:pgMar w:top="1000" w:right="1417" w:bottom="280" w:left="1417" w:header="1440" w:footer="1068" w:gutter="0"/>
          <w:cols w:space="720" w:equalWidth="0">
            <w:col w:w="9071" w:space="0"/>
          </w:cols>
        </w:sectPr>
      </w:pPr>
      <w:r>
        <w:rPr>
          <w:color w:val="000000"/>
          <w:sz w:val="18"/>
          <w:szCs w:val="18"/>
        </w:rPr>
        <w:t xml:space="preserve">Additionally, comparing the obtained doses with the DRLs emphasizes the importance of periodically reviewing and updating DRLs to ensure they align with current clinical practices and evolving imaging technologies. </w:t>
      </w:r>
      <w:r w:rsidRPr="00A8084C">
        <w:rPr>
          <w:color w:val="C00000"/>
          <w:sz w:val="18"/>
          <w:szCs w:val="18"/>
        </w:rPr>
        <w:t xml:space="preserve">If doses consistently exceed recommended </w:t>
      </w:r>
      <w:proofErr w:type="gramStart"/>
      <w:r w:rsidRPr="00A8084C">
        <w:rPr>
          <w:color w:val="C00000"/>
          <w:sz w:val="18"/>
          <w:szCs w:val="18"/>
        </w:rPr>
        <w:t>values</w:t>
      </w:r>
      <w:r w:rsidRPr="00A8084C">
        <w:rPr>
          <w:color w:val="1F497D" w:themeColor="text2"/>
          <w:sz w:val="18"/>
          <w:szCs w:val="18"/>
        </w:rPr>
        <w:t>,</w:t>
      </w:r>
      <w:r w:rsidR="00A8084C" w:rsidRPr="00A8084C">
        <w:rPr>
          <w:color w:val="1F497D" w:themeColor="text2"/>
          <w:sz w:val="18"/>
          <w:szCs w:val="18"/>
        </w:rPr>
        <w:t>(</w:t>
      </w:r>
      <w:proofErr w:type="gramEnd"/>
      <w:r w:rsidR="00A8084C" w:rsidRPr="00A8084C">
        <w:rPr>
          <w:color w:val="1F497D" w:themeColor="text2"/>
          <w:sz w:val="18"/>
          <w:szCs w:val="18"/>
        </w:rPr>
        <w:t>how did it exceed recommended values the are below the values, only skull AP and LAT that are very close to the recommended values)</w:t>
      </w:r>
      <w:r w:rsidRPr="00A8084C">
        <w:rPr>
          <w:color w:val="1F497D" w:themeColor="text2"/>
          <w:sz w:val="18"/>
          <w:szCs w:val="18"/>
        </w:rPr>
        <w:t xml:space="preserve"> </w:t>
      </w:r>
      <w:r w:rsidRPr="00A8084C">
        <w:rPr>
          <w:sz w:val="18"/>
          <w:szCs w:val="18"/>
        </w:rPr>
        <w:t xml:space="preserve">it </w:t>
      </w:r>
      <w:r>
        <w:rPr>
          <w:color w:val="000000"/>
          <w:sz w:val="18"/>
          <w:szCs w:val="18"/>
        </w:rPr>
        <w:t>may indicate a need to review radiological practices. This will help ensure patient safety and the quality of radiographic procedures, contributing to more effective and safer clinical practice.</w:t>
      </w:r>
    </w:p>
    <w:p w14:paraId="142220DD" w14:textId="77777777" w:rsidR="004B6321" w:rsidRDefault="00AC7D7F">
      <w:pPr>
        <w:pBdr>
          <w:top w:val="nil"/>
          <w:left w:val="nil"/>
          <w:bottom w:val="nil"/>
          <w:right w:val="nil"/>
          <w:between w:val="nil"/>
        </w:pBdr>
        <w:spacing w:before="92"/>
        <w:ind w:right="1"/>
        <w:jc w:val="both"/>
        <w:rPr>
          <w:color w:val="000000"/>
          <w:sz w:val="18"/>
          <w:szCs w:val="18"/>
        </w:rPr>
      </w:pPr>
      <w:r>
        <w:rPr>
          <w:color w:val="000000"/>
          <w:sz w:val="18"/>
          <w:szCs w:val="18"/>
        </w:rPr>
        <w:t>However, assessing the quality of radiographic images and their suitability for the clinical objective is a complex process that requires the expertise of a radiologist and, therefore, goes beyond the scope of this study.</w:t>
      </w:r>
    </w:p>
    <w:p w14:paraId="7C53792D" w14:textId="77777777" w:rsidR="004B6321" w:rsidRDefault="004B6321">
      <w:pPr>
        <w:pBdr>
          <w:top w:val="nil"/>
          <w:left w:val="nil"/>
          <w:bottom w:val="nil"/>
          <w:right w:val="nil"/>
          <w:between w:val="nil"/>
        </w:pBdr>
        <w:spacing w:before="24"/>
        <w:rPr>
          <w:color w:val="000000"/>
          <w:sz w:val="18"/>
          <w:szCs w:val="18"/>
        </w:rPr>
      </w:pPr>
    </w:p>
    <w:p w14:paraId="295CAAB6" w14:textId="77777777" w:rsidR="004B6321" w:rsidRDefault="00AC7D7F">
      <w:pPr>
        <w:pBdr>
          <w:top w:val="nil"/>
          <w:left w:val="nil"/>
          <w:bottom w:val="nil"/>
          <w:right w:val="nil"/>
          <w:between w:val="nil"/>
        </w:pBdr>
        <w:spacing w:before="1"/>
        <w:ind w:left="23"/>
        <w:jc w:val="both"/>
        <w:rPr>
          <w:color w:val="000000"/>
          <w:sz w:val="18"/>
          <w:szCs w:val="18"/>
        </w:rPr>
      </w:pPr>
      <w:r>
        <w:rPr>
          <w:color w:val="000000"/>
          <w:sz w:val="18"/>
          <w:szCs w:val="18"/>
        </w:rPr>
        <w:t xml:space="preserve">Table 5 presents a comparative analysis between the </w:t>
      </w:r>
      <w:proofErr w:type="spellStart"/>
      <w:proofErr w:type="gramStart"/>
      <w:r>
        <w:rPr>
          <w:color w:val="000000"/>
          <w:sz w:val="18"/>
          <w:szCs w:val="18"/>
        </w:rPr>
        <w:t>K</w:t>
      </w:r>
      <w:r>
        <w:rPr>
          <w:color w:val="000000"/>
          <w:sz w:val="18"/>
          <w:szCs w:val="18"/>
          <w:vertAlign w:val="subscript"/>
        </w:rPr>
        <w:t>a,e</w:t>
      </w:r>
      <w:proofErr w:type="spellEnd"/>
      <w:proofErr w:type="gramEnd"/>
      <w:r>
        <w:rPr>
          <w:color w:val="000000"/>
          <w:sz w:val="18"/>
          <w:szCs w:val="18"/>
        </w:rPr>
        <w:t xml:space="preserve"> (</w:t>
      </w:r>
      <w:proofErr w:type="spellStart"/>
      <w:r>
        <w:rPr>
          <w:color w:val="000000"/>
          <w:sz w:val="18"/>
          <w:szCs w:val="18"/>
        </w:rPr>
        <w:t>mGy</w:t>
      </w:r>
      <w:proofErr w:type="spellEnd"/>
      <w:r>
        <w:rPr>
          <w:color w:val="000000"/>
          <w:sz w:val="18"/>
          <w:szCs w:val="18"/>
        </w:rPr>
        <w:t>) values obtained in this Brazilian study and the internationally recognized Diagnostic Reference Levels (DRLs). The comparison covers the most frequent anatomical regions in clinical practice, considering different radiographic projections common between countries.</w:t>
      </w:r>
    </w:p>
    <w:p w14:paraId="630DC93A" w14:textId="77777777" w:rsidR="004B6321" w:rsidRDefault="004B6321">
      <w:pPr>
        <w:pBdr>
          <w:top w:val="nil"/>
          <w:left w:val="nil"/>
          <w:bottom w:val="nil"/>
          <w:right w:val="nil"/>
          <w:between w:val="nil"/>
        </w:pBdr>
        <w:spacing w:before="1"/>
        <w:ind w:left="23"/>
        <w:jc w:val="both"/>
        <w:rPr>
          <w:sz w:val="18"/>
          <w:szCs w:val="18"/>
        </w:rPr>
      </w:pPr>
    </w:p>
    <w:p w14:paraId="22EDB05B" w14:textId="77777777" w:rsidR="004B6321" w:rsidRDefault="00AC7D7F">
      <w:pPr>
        <w:spacing w:before="23"/>
        <w:ind w:left="5" w:right="6"/>
        <w:jc w:val="center"/>
        <w:rPr>
          <w:b/>
          <w:sz w:val="18"/>
          <w:szCs w:val="18"/>
        </w:rPr>
      </w:pPr>
      <w:r>
        <w:rPr>
          <w:b/>
          <w:sz w:val="18"/>
          <w:szCs w:val="18"/>
        </w:rPr>
        <w:t xml:space="preserve">Table 5. Comparison of the </w:t>
      </w:r>
      <w:proofErr w:type="spellStart"/>
      <w:proofErr w:type="gramStart"/>
      <w:r>
        <w:rPr>
          <w:b/>
          <w:sz w:val="18"/>
          <w:szCs w:val="18"/>
        </w:rPr>
        <w:t>K</w:t>
      </w:r>
      <w:r>
        <w:rPr>
          <w:b/>
          <w:sz w:val="18"/>
          <w:szCs w:val="18"/>
          <w:vertAlign w:val="subscript"/>
        </w:rPr>
        <w:t>a,e</w:t>
      </w:r>
      <w:proofErr w:type="spellEnd"/>
      <w:proofErr w:type="gramEnd"/>
      <w:r>
        <w:rPr>
          <w:b/>
          <w:sz w:val="18"/>
          <w:szCs w:val="18"/>
        </w:rPr>
        <w:t xml:space="preserve"> estimate with international reference levels</w:t>
      </w:r>
    </w:p>
    <w:p w14:paraId="13935752" w14:textId="77777777" w:rsidR="004B6321" w:rsidRDefault="004B6321">
      <w:pPr>
        <w:spacing w:before="21"/>
        <w:rPr>
          <w:b/>
          <w:sz w:val="18"/>
          <w:szCs w:val="18"/>
        </w:rPr>
      </w:pPr>
    </w:p>
    <w:tbl>
      <w:tblPr>
        <w:tblStyle w:val="a3"/>
        <w:tblW w:w="9029" w:type="dxa"/>
        <w:tblInd w:w="23" w:type="dxa"/>
        <w:tblBorders>
          <w:top w:val="nil"/>
          <w:left w:val="nil"/>
          <w:bottom w:val="nil"/>
          <w:right w:val="nil"/>
          <w:insideH w:val="nil"/>
          <w:insideV w:val="nil"/>
        </w:tblBorders>
        <w:tblLayout w:type="fixed"/>
        <w:tblLook w:val="0000" w:firstRow="0" w:lastRow="0" w:firstColumn="0" w:lastColumn="0" w:noHBand="0" w:noVBand="0"/>
      </w:tblPr>
      <w:tblGrid>
        <w:gridCol w:w="1493"/>
        <w:gridCol w:w="1118"/>
        <w:gridCol w:w="1150"/>
        <w:gridCol w:w="1415"/>
        <w:gridCol w:w="1256"/>
        <w:gridCol w:w="1072"/>
        <w:gridCol w:w="719"/>
        <w:gridCol w:w="806"/>
      </w:tblGrid>
      <w:tr w:rsidR="004B6321" w14:paraId="3A5DBAF3" w14:textId="77777777">
        <w:trPr>
          <w:trHeight w:val="246"/>
        </w:trPr>
        <w:tc>
          <w:tcPr>
            <w:tcW w:w="9029" w:type="dxa"/>
            <w:gridSpan w:val="8"/>
            <w:tcBorders>
              <w:top w:val="single" w:sz="4" w:space="0" w:color="000000"/>
              <w:bottom w:val="single" w:sz="4" w:space="0" w:color="000000"/>
            </w:tcBorders>
          </w:tcPr>
          <w:p w14:paraId="1689AA7A" w14:textId="77777777" w:rsidR="004B6321" w:rsidRDefault="00AC7D7F">
            <w:pPr>
              <w:spacing w:before="15" w:line="211" w:lineRule="auto"/>
              <w:ind w:left="177"/>
              <w:rPr>
                <w:b/>
                <w:sz w:val="18"/>
                <w:szCs w:val="18"/>
              </w:rPr>
            </w:pPr>
            <w:proofErr w:type="spellStart"/>
            <w:proofErr w:type="gramStart"/>
            <w:r>
              <w:rPr>
                <w:b/>
                <w:sz w:val="18"/>
                <w:szCs w:val="18"/>
              </w:rPr>
              <w:t>K</w:t>
            </w:r>
            <w:r>
              <w:rPr>
                <w:b/>
                <w:sz w:val="18"/>
                <w:szCs w:val="18"/>
                <w:vertAlign w:val="subscript"/>
              </w:rPr>
              <w:t>a,e</w:t>
            </w:r>
            <w:proofErr w:type="spellEnd"/>
            <w:proofErr w:type="gramEnd"/>
            <w:r>
              <w:rPr>
                <w:b/>
                <w:sz w:val="18"/>
                <w:szCs w:val="18"/>
              </w:rPr>
              <w:t xml:space="preserve"> (</w:t>
            </w:r>
            <w:proofErr w:type="spellStart"/>
            <w:r>
              <w:rPr>
                <w:b/>
                <w:sz w:val="18"/>
                <w:szCs w:val="18"/>
              </w:rPr>
              <w:t>mGy</w:t>
            </w:r>
            <w:proofErr w:type="spellEnd"/>
            <w:r>
              <w:rPr>
                <w:b/>
                <w:sz w:val="18"/>
                <w:szCs w:val="18"/>
              </w:rPr>
              <w:t>) versus DRL (</w:t>
            </w:r>
            <w:proofErr w:type="spellStart"/>
            <w:r>
              <w:rPr>
                <w:b/>
                <w:sz w:val="18"/>
                <w:szCs w:val="18"/>
              </w:rPr>
              <w:t>mGy</w:t>
            </w:r>
            <w:proofErr w:type="spellEnd"/>
            <w:r>
              <w:rPr>
                <w:b/>
                <w:sz w:val="18"/>
                <w:szCs w:val="18"/>
              </w:rPr>
              <w:t>)</w:t>
            </w:r>
          </w:p>
        </w:tc>
      </w:tr>
      <w:tr w:rsidR="004B6321" w14:paraId="70BE8709" w14:textId="77777777">
        <w:trPr>
          <w:trHeight w:val="477"/>
        </w:trPr>
        <w:tc>
          <w:tcPr>
            <w:tcW w:w="1493" w:type="dxa"/>
            <w:tcBorders>
              <w:top w:val="single" w:sz="4" w:space="0" w:color="000000"/>
              <w:bottom w:val="single" w:sz="4" w:space="0" w:color="000000"/>
            </w:tcBorders>
          </w:tcPr>
          <w:p w14:paraId="38D9D1B2" w14:textId="77777777" w:rsidR="004B6321" w:rsidRDefault="00AC7D7F">
            <w:pPr>
              <w:spacing w:before="23" w:line="210" w:lineRule="auto"/>
              <w:ind w:left="122"/>
              <w:rPr>
                <w:b/>
                <w:sz w:val="18"/>
                <w:szCs w:val="18"/>
              </w:rPr>
            </w:pPr>
            <w:r>
              <w:rPr>
                <w:b/>
                <w:sz w:val="18"/>
                <w:szCs w:val="18"/>
              </w:rPr>
              <w:t>Region (Incidence)</w:t>
            </w:r>
          </w:p>
        </w:tc>
        <w:tc>
          <w:tcPr>
            <w:tcW w:w="1118" w:type="dxa"/>
            <w:tcBorders>
              <w:top w:val="single" w:sz="4" w:space="0" w:color="000000"/>
              <w:bottom w:val="single" w:sz="4" w:space="0" w:color="000000"/>
            </w:tcBorders>
          </w:tcPr>
          <w:p w14:paraId="174E7634" w14:textId="77777777" w:rsidR="004B6321" w:rsidRDefault="00AC7D7F">
            <w:pPr>
              <w:spacing w:before="16"/>
              <w:ind w:left="62"/>
              <w:rPr>
                <w:b/>
                <w:sz w:val="18"/>
                <w:szCs w:val="18"/>
              </w:rPr>
            </w:pPr>
            <w:r>
              <w:rPr>
                <w:b/>
                <w:sz w:val="18"/>
                <w:szCs w:val="18"/>
              </w:rPr>
              <w:t>Our study</w:t>
            </w:r>
          </w:p>
        </w:tc>
        <w:tc>
          <w:tcPr>
            <w:tcW w:w="1150" w:type="dxa"/>
            <w:tcBorders>
              <w:top w:val="single" w:sz="4" w:space="0" w:color="000000"/>
              <w:bottom w:val="single" w:sz="4" w:space="0" w:color="000000"/>
            </w:tcBorders>
          </w:tcPr>
          <w:p w14:paraId="381968E1" w14:textId="77777777" w:rsidR="004B6321" w:rsidRDefault="00AC7D7F">
            <w:pPr>
              <w:spacing w:before="16"/>
              <w:ind w:left="113"/>
              <w:rPr>
                <w:b/>
                <w:sz w:val="18"/>
                <w:szCs w:val="18"/>
              </w:rPr>
            </w:pPr>
            <w:r>
              <w:rPr>
                <w:b/>
                <w:sz w:val="18"/>
                <w:szCs w:val="18"/>
              </w:rPr>
              <w:t>France</w:t>
            </w:r>
            <w:r>
              <w:rPr>
                <w:b/>
                <w:sz w:val="18"/>
                <w:szCs w:val="18"/>
                <w:vertAlign w:val="superscript"/>
              </w:rPr>
              <w:t>[a]</w:t>
            </w:r>
          </w:p>
        </w:tc>
        <w:tc>
          <w:tcPr>
            <w:tcW w:w="1415" w:type="dxa"/>
            <w:tcBorders>
              <w:top w:val="single" w:sz="4" w:space="0" w:color="000000"/>
              <w:bottom w:val="single" w:sz="4" w:space="0" w:color="000000"/>
            </w:tcBorders>
          </w:tcPr>
          <w:p w14:paraId="41D95E39" w14:textId="77777777" w:rsidR="004B6321" w:rsidRDefault="00AC7D7F">
            <w:pPr>
              <w:spacing w:before="23" w:line="210" w:lineRule="auto"/>
              <w:ind w:left="223"/>
              <w:rPr>
                <w:b/>
                <w:sz w:val="18"/>
                <w:szCs w:val="18"/>
              </w:rPr>
            </w:pPr>
            <w:r>
              <w:rPr>
                <w:b/>
                <w:sz w:val="18"/>
                <w:szCs w:val="18"/>
              </w:rPr>
              <w:t>United Kingdom</w:t>
            </w:r>
            <w:r>
              <w:rPr>
                <w:b/>
                <w:sz w:val="18"/>
                <w:szCs w:val="18"/>
                <w:vertAlign w:val="superscript"/>
              </w:rPr>
              <w:t>[b]</w:t>
            </w:r>
          </w:p>
        </w:tc>
        <w:tc>
          <w:tcPr>
            <w:tcW w:w="1256" w:type="dxa"/>
            <w:tcBorders>
              <w:top w:val="single" w:sz="4" w:space="0" w:color="000000"/>
              <w:bottom w:val="single" w:sz="4" w:space="0" w:color="000000"/>
            </w:tcBorders>
          </w:tcPr>
          <w:p w14:paraId="4B008C6B" w14:textId="77777777" w:rsidR="004B6321" w:rsidRDefault="00AC7D7F">
            <w:pPr>
              <w:spacing w:before="16"/>
              <w:ind w:left="160"/>
              <w:rPr>
                <w:b/>
                <w:sz w:val="18"/>
                <w:szCs w:val="18"/>
              </w:rPr>
            </w:pPr>
            <w:r>
              <w:rPr>
                <w:b/>
                <w:sz w:val="18"/>
                <w:szCs w:val="18"/>
              </w:rPr>
              <w:t>Germany</w:t>
            </w:r>
            <w:r>
              <w:rPr>
                <w:b/>
                <w:sz w:val="18"/>
                <w:szCs w:val="18"/>
                <w:vertAlign w:val="superscript"/>
              </w:rPr>
              <w:t>[c]</w:t>
            </w:r>
          </w:p>
        </w:tc>
        <w:tc>
          <w:tcPr>
            <w:tcW w:w="1072" w:type="dxa"/>
            <w:tcBorders>
              <w:top w:val="single" w:sz="4" w:space="0" w:color="000000"/>
              <w:bottom w:val="single" w:sz="4" w:space="0" w:color="000000"/>
            </w:tcBorders>
          </w:tcPr>
          <w:p w14:paraId="6F17CB4C" w14:textId="77777777" w:rsidR="004B6321" w:rsidRDefault="00AC7D7F">
            <w:pPr>
              <w:spacing w:before="16"/>
              <w:ind w:left="72"/>
              <w:rPr>
                <w:b/>
                <w:sz w:val="18"/>
                <w:szCs w:val="18"/>
              </w:rPr>
            </w:pPr>
            <w:r>
              <w:rPr>
                <w:b/>
                <w:sz w:val="18"/>
                <w:szCs w:val="18"/>
              </w:rPr>
              <w:t>Sweden</w:t>
            </w:r>
            <w:r>
              <w:rPr>
                <w:b/>
                <w:sz w:val="18"/>
                <w:szCs w:val="18"/>
                <w:vertAlign w:val="superscript"/>
              </w:rPr>
              <w:t>[d]</w:t>
            </w:r>
          </w:p>
        </w:tc>
        <w:tc>
          <w:tcPr>
            <w:tcW w:w="719" w:type="dxa"/>
            <w:tcBorders>
              <w:top w:val="single" w:sz="4" w:space="0" w:color="000000"/>
              <w:bottom w:val="single" w:sz="4" w:space="0" w:color="000000"/>
            </w:tcBorders>
          </w:tcPr>
          <w:p w14:paraId="7EDF080F" w14:textId="77777777" w:rsidR="004B6321" w:rsidRDefault="00AC7D7F">
            <w:pPr>
              <w:spacing w:before="16"/>
              <w:ind w:left="81"/>
              <w:rPr>
                <w:b/>
                <w:sz w:val="18"/>
                <w:szCs w:val="18"/>
              </w:rPr>
            </w:pPr>
            <w:r>
              <w:rPr>
                <w:b/>
                <w:sz w:val="18"/>
                <w:szCs w:val="18"/>
              </w:rPr>
              <w:t>Italy</w:t>
            </w:r>
            <w:r>
              <w:rPr>
                <w:b/>
                <w:sz w:val="18"/>
                <w:szCs w:val="18"/>
                <w:vertAlign w:val="superscript"/>
              </w:rPr>
              <w:t>[e]</w:t>
            </w:r>
          </w:p>
        </w:tc>
        <w:tc>
          <w:tcPr>
            <w:tcW w:w="806" w:type="dxa"/>
            <w:tcBorders>
              <w:top w:val="single" w:sz="4" w:space="0" w:color="000000"/>
              <w:bottom w:val="single" w:sz="4" w:space="0" w:color="000000"/>
            </w:tcBorders>
          </w:tcPr>
          <w:p w14:paraId="4D45258E" w14:textId="77777777" w:rsidR="004B6321" w:rsidRDefault="00AC7D7F">
            <w:pPr>
              <w:spacing w:before="16"/>
              <w:ind w:left="82"/>
              <w:rPr>
                <w:b/>
                <w:sz w:val="18"/>
                <w:szCs w:val="18"/>
              </w:rPr>
            </w:pPr>
            <w:r>
              <w:rPr>
                <w:b/>
                <w:sz w:val="18"/>
                <w:szCs w:val="18"/>
              </w:rPr>
              <w:t>Japan</w:t>
            </w:r>
            <w:r>
              <w:rPr>
                <w:b/>
                <w:sz w:val="18"/>
                <w:szCs w:val="18"/>
                <w:vertAlign w:val="superscript"/>
              </w:rPr>
              <w:t>[f]</w:t>
            </w:r>
          </w:p>
        </w:tc>
      </w:tr>
      <w:tr w:rsidR="004B6321" w14:paraId="5E66FFBA" w14:textId="77777777">
        <w:trPr>
          <w:trHeight w:val="260"/>
        </w:trPr>
        <w:tc>
          <w:tcPr>
            <w:tcW w:w="1493" w:type="dxa"/>
            <w:tcBorders>
              <w:top w:val="single" w:sz="4" w:space="0" w:color="000000"/>
            </w:tcBorders>
          </w:tcPr>
          <w:p w14:paraId="584F44ED" w14:textId="77777777" w:rsidR="004B6321" w:rsidRDefault="00AC7D7F">
            <w:pPr>
              <w:spacing w:before="18" w:line="222" w:lineRule="auto"/>
              <w:ind w:left="122"/>
              <w:rPr>
                <w:sz w:val="18"/>
                <w:szCs w:val="18"/>
              </w:rPr>
            </w:pPr>
            <w:r>
              <w:rPr>
                <w:sz w:val="18"/>
                <w:szCs w:val="18"/>
              </w:rPr>
              <w:t>Skull (AP)</w:t>
            </w:r>
          </w:p>
        </w:tc>
        <w:tc>
          <w:tcPr>
            <w:tcW w:w="1118" w:type="dxa"/>
            <w:tcBorders>
              <w:top w:val="single" w:sz="4" w:space="0" w:color="000000"/>
            </w:tcBorders>
          </w:tcPr>
          <w:p w14:paraId="74141E39" w14:textId="77777777" w:rsidR="004B6321" w:rsidRDefault="00AC7D7F">
            <w:pPr>
              <w:spacing w:before="18" w:line="222" w:lineRule="auto"/>
              <w:ind w:left="62"/>
              <w:rPr>
                <w:sz w:val="18"/>
                <w:szCs w:val="18"/>
              </w:rPr>
            </w:pPr>
            <w:r>
              <w:rPr>
                <w:sz w:val="18"/>
                <w:szCs w:val="18"/>
              </w:rPr>
              <w:t>4.30</w:t>
            </w:r>
          </w:p>
        </w:tc>
        <w:tc>
          <w:tcPr>
            <w:tcW w:w="1150" w:type="dxa"/>
            <w:tcBorders>
              <w:top w:val="single" w:sz="4" w:space="0" w:color="000000"/>
            </w:tcBorders>
          </w:tcPr>
          <w:p w14:paraId="42D860A6" w14:textId="77777777" w:rsidR="004B6321" w:rsidRDefault="00AC7D7F">
            <w:pPr>
              <w:spacing w:before="18" w:line="222" w:lineRule="auto"/>
              <w:ind w:left="113"/>
              <w:rPr>
                <w:sz w:val="18"/>
                <w:szCs w:val="18"/>
              </w:rPr>
            </w:pPr>
            <w:r>
              <w:rPr>
                <w:sz w:val="18"/>
                <w:szCs w:val="18"/>
              </w:rPr>
              <w:t>-</w:t>
            </w:r>
          </w:p>
        </w:tc>
        <w:tc>
          <w:tcPr>
            <w:tcW w:w="1415" w:type="dxa"/>
            <w:tcBorders>
              <w:top w:val="single" w:sz="4" w:space="0" w:color="000000"/>
            </w:tcBorders>
          </w:tcPr>
          <w:p w14:paraId="0200A889" w14:textId="77777777" w:rsidR="004B6321" w:rsidRDefault="00AC7D7F">
            <w:pPr>
              <w:spacing w:before="18" w:line="222" w:lineRule="auto"/>
              <w:ind w:left="223"/>
              <w:rPr>
                <w:sz w:val="18"/>
                <w:szCs w:val="18"/>
              </w:rPr>
            </w:pPr>
            <w:r>
              <w:rPr>
                <w:sz w:val="18"/>
                <w:szCs w:val="18"/>
              </w:rPr>
              <w:t>-</w:t>
            </w:r>
          </w:p>
        </w:tc>
        <w:tc>
          <w:tcPr>
            <w:tcW w:w="1256" w:type="dxa"/>
            <w:tcBorders>
              <w:top w:val="single" w:sz="4" w:space="0" w:color="000000"/>
            </w:tcBorders>
          </w:tcPr>
          <w:p w14:paraId="6E4E3648" w14:textId="77777777" w:rsidR="004B6321" w:rsidRDefault="00AC7D7F">
            <w:pPr>
              <w:spacing w:before="18" w:line="222" w:lineRule="auto"/>
              <w:ind w:left="160"/>
              <w:rPr>
                <w:sz w:val="18"/>
                <w:szCs w:val="18"/>
              </w:rPr>
            </w:pPr>
            <w:r>
              <w:rPr>
                <w:sz w:val="18"/>
                <w:szCs w:val="18"/>
              </w:rPr>
              <w:t>-</w:t>
            </w:r>
          </w:p>
        </w:tc>
        <w:tc>
          <w:tcPr>
            <w:tcW w:w="1072" w:type="dxa"/>
            <w:tcBorders>
              <w:top w:val="single" w:sz="4" w:space="0" w:color="000000"/>
            </w:tcBorders>
          </w:tcPr>
          <w:p w14:paraId="49854FEF" w14:textId="77777777" w:rsidR="004B6321" w:rsidRDefault="00AC7D7F">
            <w:pPr>
              <w:spacing w:before="18" w:line="222" w:lineRule="auto"/>
              <w:ind w:left="72"/>
              <w:rPr>
                <w:sz w:val="18"/>
                <w:szCs w:val="18"/>
              </w:rPr>
            </w:pPr>
            <w:r>
              <w:rPr>
                <w:sz w:val="18"/>
                <w:szCs w:val="18"/>
              </w:rPr>
              <w:t>-</w:t>
            </w:r>
          </w:p>
        </w:tc>
        <w:tc>
          <w:tcPr>
            <w:tcW w:w="719" w:type="dxa"/>
            <w:tcBorders>
              <w:top w:val="single" w:sz="4" w:space="0" w:color="000000"/>
            </w:tcBorders>
          </w:tcPr>
          <w:p w14:paraId="1A586442" w14:textId="77777777" w:rsidR="004B6321" w:rsidRDefault="00AC7D7F">
            <w:pPr>
              <w:spacing w:before="18" w:line="222" w:lineRule="auto"/>
              <w:ind w:left="81"/>
              <w:rPr>
                <w:sz w:val="18"/>
                <w:szCs w:val="18"/>
              </w:rPr>
            </w:pPr>
            <w:r>
              <w:rPr>
                <w:sz w:val="18"/>
                <w:szCs w:val="18"/>
              </w:rPr>
              <w:t>-</w:t>
            </w:r>
          </w:p>
        </w:tc>
        <w:tc>
          <w:tcPr>
            <w:tcW w:w="806" w:type="dxa"/>
            <w:tcBorders>
              <w:top w:val="single" w:sz="4" w:space="0" w:color="000000"/>
            </w:tcBorders>
          </w:tcPr>
          <w:p w14:paraId="4C0B090C" w14:textId="77777777" w:rsidR="004B6321" w:rsidRDefault="00AC7D7F">
            <w:pPr>
              <w:spacing w:before="18" w:line="222" w:lineRule="auto"/>
              <w:ind w:left="82"/>
              <w:rPr>
                <w:sz w:val="18"/>
                <w:szCs w:val="18"/>
              </w:rPr>
            </w:pPr>
            <w:r>
              <w:rPr>
                <w:sz w:val="18"/>
                <w:szCs w:val="18"/>
              </w:rPr>
              <w:t>3</w:t>
            </w:r>
          </w:p>
        </w:tc>
      </w:tr>
      <w:tr w:rsidR="004B6321" w14:paraId="372234E0" w14:textId="77777777">
        <w:trPr>
          <w:trHeight w:val="247"/>
        </w:trPr>
        <w:tc>
          <w:tcPr>
            <w:tcW w:w="1493" w:type="dxa"/>
          </w:tcPr>
          <w:p w14:paraId="306D71C4" w14:textId="77777777" w:rsidR="004B6321" w:rsidRDefault="00AC7D7F">
            <w:pPr>
              <w:spacing w:before="5" w:line="222" w:lineRule="auto"/>
              <w:ind w:left="122"/>
              <w:rPr>
                <w:sz w:val="18"/>
                <w:szCs w:val="18"/>
              </w:rPr>
            </w:pPr>
            <w:r>
              <w:rPr>
                <w:sz w:val="18"/>
                <w:szCs w:val="18"/>
              </w:rPr>
              <w:t>Skull (LAT)</w:t>
            </w:r>
          </w:p>
        </w:tc>
        <w:tc>
          <w:tcPr>
            <w:tcW w:w="1118" w:type="dxa"/>
          </w:tcPr>
          <w:p w14:paraId="71B234F5" w14:textId="77777777" w:rsidR="004B6321" w:rsidRDefault="00AC7D7F">
            <w:pPr>
              <w:spacing w:before="5" w:line="222" w:lineRule="auto"/>
              <w:ind w:left="62"/>
              <w:rPr>
                <w:sz w:val="18"/>
                <w:szCs w:val="18"/>
              </w:rPr>
            </w:pPr>
            <w:r>
              <w:rPr>
                <w:sz w:val="18"/>
                <w:szCs w:val="18"/>
              </w:rPr>
              <w:t>2.99</w:t>
            </w:r>
          </w:p>
        </w:tc>
        <w:tc>
          <w:tcPr>
            <w:tcW w:w="1150" w:type="dxa"/>
          </w:tcPr>
          <w:p w14:paraId="5CA68327" w14:textId="77777777" w:rsidR="004B6321" w:rsidRDefault="00AC7D7F">
            <w:pPr>
              <w:spacing w:before="5" w:line="222" w:lineRule="auto"/>
              <w:ind w:left="113"/>
              <w:rPr>
                <w:sz w:val="18"/>
                <w:szCs w:val="18"/>
              </w:rPr>
            </w:pPr>
            <w:r>
              <w:rPr>
                <w:sz w:val="18"/>
                <w:szCs w:val="18"/>
              </w:rPr>
              <w:t>-</w:t>
            </w:r>
          </w:p>
        </w:tc>
        <w:tc>
          <w:tcPr>
            <w:tcW w:w="1415" w:type="dxa"/>
          </w:tcPr>
          <w:p w14:paraId="7B025B96" w14:textId="77777777" w:rsidR="004B6321" w:rsidRDefault="00AC7D7F">
            <w:pPr>
              <w:spacing w:before="5" w:line="222" w:lineRule="auto"/>
              <w:ind w:left="223"/>
              <w:rPr>
                <w:sz w:val="18"/>
                <w:szCs w:val="18"/>
              </w:rPr>
            </w:pPr>
            <w:r>
              <w:rPr>
                <w:sz w:val="18"/>
                <w:szCs w:val="18"/>
              </w:rPr>
              <w:t>-</w:t>
            </w:r>
          </w:p>
        </w:tc>
        <w:tc>
          <w:tcPr>
            <w:tcW w:w="1256" w:type="dxa"/>
          </w:tcPr>
          <w:p w14:paraId="24808354" w14:textId="77777777" w:rsidR="004B6321" w:rsidRDefault="00AC7D7F">
            <w:pPr>
              <w:spacing w:before="5" w:line="222" w:lineRule="auto"/>
              <w:ind w:left="160"/>
              <w:rPr>
                <w:sz w:val="18"/>
                <w:szCs w:val="18"/>
              </w:rPr>
            </w:pPr>
            <w:r>
              <w:rPr>
                <w:sz w:val="18"/>
                <w:szCs w:val="18"/>
              </w:rPr>
              <w:t>-</w:t>
            </w:r>
          </w:p>
        </w:tc>
        <w:tc>
          <w:tcPr>
            <w:tcW w:w="1072" w:type="dxa"/>
          </w:tcPr>
          <w:p w14:paraId="713AEE7A" w14:textId="77777777" w:rsidR="004B6321" w:rsidRDefault="00AC7D7F">
            <w:pPr>
              <w:spacing w:before="5" w:line="222" w:lineRule="auto"/>
              <w:ind w:left="72"/>
              <w:rPr>
                <w:sz w:val="18"/>
                <w:szCs w:val="18"/>
              </w:rPr>
            </w:pPr>
            <w:r>
              <w:rPr>
                <w:sz w:val="18"/>
                <w:szCs w:val="18"/>
              </w:rPr>
              <w:t>-</w:t>
            </w:r>
          </w:p>
        </w:tc>
        <w:tc>
          <w:tcPr>
            <w:tcW w:w="719" w:type="dxa"/>
          </w:tcPr>
          <w:p w14:paraId="7CDBAAAA" w14:textId="77777777" w:rsidR="004B6321" w:rsidRDefault="00AC7D7F">
            <w:pPr>
              <w:spacing w:before="5" w:line="222" w:lineRule="auto"/>
              <w:ind w:left="81"/>
              <w:rPr>
                <w:sz w:val="18"/>
                <w:szCs w:val="18"/>
              </w:rPr>
            </w:pPr>
            <w:r>
              <w:rPr>
                <w:sz w:val="18"/>
                <w:szCs w:val="18"/>
              </w:rPr>
              <w:t>-</w:t>
            </w:r>
          </w:p>
        </w:tc>
        <w:tc>
          <w:tcPr>
            <w:tcW w:w="806" w:type="dxa"/>
          </w:tcPr>
          <w:p w14:paraId="122F2EC7" w14:textId="77777777" w:rsidR="004B6321" w:rsidRDefault="00AC7D7F">
            <w:pPr>
              <w:spacing w:before="5" w:line="222" w:lineRule="auto"/>
              <w:ind w:left="82"/>
              <w:rPr>
                <w:sz w:val="18"/>
                <w:szCs w:val="18"/>
              </w:rPr>
            </w:pPr>
            <w:r>
              <w:rPr>
                <w:sz w:val="18"/>
                <w:szCs w:val="18"/>
              </w:rPr>
              <w:t>2</w:t>
            </w:r>
          </w:p>
        </w:tc>
      </w:tr>
      <w:tr w:rsidR="004B6321" w14:paraId="532CD77F" w14:textId="77777777">
        <w:trPr>
          <w:trHeight w:val="248"/>
        </w:trPr>
        <w:tc>
          <w:tcPr>
            <w:tcW w:w="1493" w:type="dxa"/>
          </w:tcPr>
          <w:p w14:paraId="36535223" w14:textId="77777777" w:rsidR="004B6321" w:rsidRDefault="00AC7D7F">
            <w:pPr>
              <w:spacing w:before="5" w:line="223" w:lineRule="auto"/>
              <w:ind w:left="122"/>
              <w:rPr>
                <w:sz w:val="18"/>
                <w:szCs w:val="18"/>
              </w:rPr>
            </w:pPr>
            <w:r>
              <w:rPr>
                <w:sz w:val="18"/>
                <w:szCs w:val="18"/>
              </w:rPr>
              <w:t>Chest (PA)</w:t>
            </w:r>
          </w:p>
        </w:tc>
        <w:tc>
          <w:tcPr>
            <w:tcW w:w="1118" w:type="dxa"/>
          </w:tcPr>
          <w:p w14:paraId="3582DD9C" w14:textId="77777777" w:rsidR="004B6321" w:rsidRDefault="00AC7D7F">
            <w:pPr>
              <w:spacing w:before="5" w:line="223" w:lineRule="auto"/>
              <w:ind w:left="62"/>
              <w:rPr>
                <w:sz w:val="18"/>
                <w:szCs w:val="18"/>
              </w:rPr>
            </w:pPr>
            <w:r>
              <w:rPr>
                <w:sz w:val="18"/>
                <w:szCs w:val="18"/>
              </w:rPr>
              <w:t>0.17</w:t>
            </w:r>
          </w:p>
        </w:tc>
        <w:tc>
          <w:tcPr>
            <w:tcW w:w="1150" w:type="dxa"/>
          </w:tcPr>
          <w:p w14:paraId="787C7BCA" w14:textId="77777777" w:rsidR="004B6321" w:rsidRDefault="00AC7D7F">
            <w:pPr>
              <w:spacing w:before="5" w:line="223" w:lineRule="auto"/>
              <w:ind w:left="113"/>
              <w:rPr>
                <w:sz w:val="18"/>
                <w:szCs w:val="18"/>
              </w:rPr>
            </w:pPr>
            <w:r>
              <w:rPr>
                <w:sz w:val="18"/>
                <w:szCs w:val="18"/>
              </w:rPr>
              <w:t>0.3</w:t>
            </w:r>
          </w:p>
        </w:tc>
        <w:tc>
          <w:tcPr>
            <w:tcW w:w="1415" w:type="dxa"/>
          </w:tcPr>
          <w:p w14:paraId="5AA5F795" w14:textId="77777777" w:rsidR="004B6321" w:rsidRDefault="00AC7D7F">
            <w:pPr>
              <w:spacing w:before="5" w:line="223" w:lineRule="auto"/>
              <w:ind w:left="223"/>
              <w:rPr>
                <w:sz w:val="18"/>
                <w:szCs w:val="18"/>
              </w:rPr>
            </w:pPr>
            <w:r>
              <w:rPr>
                <w:sz w:val="18"/>
                <w:szCs w:val="18"/>
              </w:rPr>
              <w:t>0.15</w:t>
            </w:r>
          </w:p>
        </w:tc>
        <w:tc>
          <w:tcPr>
            <w:tcW w:w="1256" w:type="dxa"/>
          </w:tcPr>
          <w:p w14:paraId="2C17EB11" w14:textId="77777777" w:rsidR="004B6321" w:rsidRDefault="00AC7D7F">
            <w:pPr>
              <w:spacing w:before="5" w:line="223" w:lineRule="auto"/>
              <w:ind w:left="160"/>
              <w:rPr>
                <w:sz w:val="18"/>
                <w:szCs w:val="18"/>
              </w:rPr>
            </w:pPr>
            <w:r>
              <w:rPr>
                <w:sz w:val="18"/>
                <w:szCs w:val="18"/>
              </w:rPr>
              <w:t>0.3</w:t>
            </w:r>
          </w:p>
        </w:tc>
        <w:tc>
          <w:tcPr>
            <w:tcW w:w="1072" w:type="dxa"/>
          </w:tcPr>
          <w:p w14:paraId="2CA1C025" w14:textId="77777777" w:rsidR="004B6321" w:rsidRDefault="00AC7D7F">
            <w:pPr>
              <w:spacing w:before="5" w:line="223" w:lineRule="auto"/>
              <w:ind w:left="72"/>
              <w:rPr>
                <w:sz w:val="18"/>
                <w:szCs w:val="18"/>
              </w:rPr>
            </w:pPr>
            <w:r>
              <w:rPr>
                <w:sz w:val="18"/>
                <w:szCs w:val="18"/>
              </w:rPr>
              <w:t>0.3</w:t>
            </w:r>
          </w:p>
        </w:tc>
        <w:tc>
          <w:tcPr>
            <w:tcW w:w="719" w:type="dxa"/>
          </w:tcPr>
          <w:p w14:paraId="54552488" w14:textId="77777777" w:rsidR="004B6321" w:rsidRDefault="00AC7D7F">
            <w:pPr>
              <w:spacing w:before="5" w:line="223" w:lineRule="auto"/>
              <w:ind w:left="81"/>
              <w:rPr>
                <w:sz w:val="18"/>
                <w:szCs w:val="18"/>
              </w:rPr>
            </w:pPr>
            <w:r>
              <w:rPr>
                <w:sz w:val="18"/>
                <w:szCs w:val="18"/>
              </w:rPr>
              <w:t>0.4</w:t>
            </w:r>
          </w:p>
        </w:tc>
        <w:tc>
          <w:tcPr>
            <w:tcW w:w="806" w:type="dxa"/>
          </w:tcPr>
          <w:p w14:paraId="61674E1F" w14:textId="77777777" w:rsidR="004B6321" w:rsidRDefault="00AC7D7F">
            <w:pPr>
              <w:spacing w:before="5" w:line="223" w:lineRule="auto"/>
              <w:ind w:left="82"/>
              <w:rPr>
                <w:sz w:val="18"/>
                <w:szCs w:val="18"/>
              </w:rPr>
            </w:pPr>
            <w:r>
              <w:rPr>
                <w:sz w:val="18"/>
                <w:szCs w:val="18"/>
              </w:rPr>
              <w:t>0.3</w:t>
            </w:r>
          </w:p>
        </w:tc>
      </w:tr>
      <w:tr w:rsidR="004B6321" w14:paraId="25B621BE" w14:textId="77777777">
        <w:trPr>
          <w:trHeight w:val="248"/>
        </w:trPr>
        <w:tc>
          <w:tcPr>
            <w:tcW w:w="1493" w:type="dxa"/>
          </w:tcPr>
          <w:p w14:paraId="7A5413FA" w14:textId="77777777" w:rsidR="004B6321" w:rsidRDefault="00AC7D7F">
            <w:pPr>
              <w:spacing w:before="6" w:line="222" w:lineRule="auto"/>
              <w:ind w:left="122"/>
              <w:rPr>
                <w:sz w:val="18"/>
                <w:szCs w:val="18"/>
              </w:rPr>
            </w:pPr>
            <w:r>
              <w:rPr>
                <w:sz w:val="18"/>
                <w:szCs w:val="18"/>
              </w:rPr>
              <w:t>Chest (LAT)</w:t>
            </w:r>
          </w:p>
        </w:tc>
        <w:tc>
          <w:tcPr>
            <w:tcW w:w="1118" w:type="dxa"/>
          </w:tcPr>
          <w:p w14:paraId="068F4CCB" w14:textId="77777777" w:rsidR="004B6321" w:rsidRDefault="00AC7D7F">
            <w:pPr>
              <w:spacing w:before="6" w:line="222" w:lineRule="auto"/>
              <w:ind w:left="62"/>
              <w:rPr>
                <w:sz w:val="18"/>
                <w:szCs w:val="18"/>
              </w:rPr>
            </w:pPr>
            <w:r>
              <w:rPr>
                <w:sz w:val="18"/>
                <w:szCs w:val="18"/>
              </w:rPr>
              <w:t>0.60</w:t>
            </w:r>
          </w:p>
        </w:tc>
        <w:tc>
          <w:tcPr>
            <w:tcW w:w="1150" w:type="dxa"/>
          </w:tcPr>
          <w:p w14:paraId="4281BBAC" w14:textId="77777777" w:rsidR="004B6321" w:rsidRDefault="00AC7D7F">
            <w:pPr>
              <w:spacing w:before="6" w:line="222" w:lineRule="auto"/>
              <w:ind w:left="113"/>
              <w:rPr>
                <w:sz w:val="18"/>
                <w:szCs w:val="18"/>
              </w:rPr>
            </w:pPr>
            <w:r>
              <w:rPr>
                <w:sz w:val="18"/>
                <w:szCs w:val="18"/>
              </w:rPr>
              <w:t>-</w:t>
            </w:r>
          </w:p>
        </w:tc>
        <w:tc>
          <w:tcPr>
            <w:tcW w:w="1415" w:type="dxa"/>
          </w:tcPr>
          <w:p w14:paraId="06098A9B" w14:textId="77777777" w:rsidR="004B6321" w:rsidRDefault="00AC7D7F">
            <w:pPr>
              <w:spacing w:before="6" w:line="222" w:lineRule="auto"/>
              <w:ind w:left="223"/>
              <w:rPr>
                <w:sz w:val="18"/>
                <w:szCs w:val="18"/>
              </w:rPr>
            </w:pPr>
            <w:r>
              <w:rPr>
                <w:sz w:val="18"/>
                <w:szCs w:val="18"/>
              </w:rPr>
              <w:t>-</w:t>
            </w:r>
          </w:p>
        </w:tc>
        <w:tc>
          <w:tcPr>
            <w:tcW w:w="1256" w:type="dxa"/>
          </w:tcPr>
          <w:p w14:paraId="37171CF9" w14:textId="77777777" w:rsidR="004B6321" w:rsidRDefault="00AC7D7F">
            <w:pPr>
              <w:spacing w:before="6" w:line="222" w:lineRule="auto"/>
              <w:ind w:left="160"/>
              <w:rPr>
                <w:sz w:val="18"/>
                <w:szCs w:val="18"/>
              </w:rPr>
            </w:pPr>
            <w:r>
              <w:rPr>
                <w:sz w:val="18"/>
                <w:szCs w:val="18"/>
              </w:rPr>
              <w:t>-</w:t>
            </w:r>
          </w:p>
        </w:tc>
        <w:tc>
          <w:tcPr>
            <w:tcW w:w="1072" w:type="dxa"/>
          </w:tcPr>
          <w:p w14:paraId="0CBF4CEF" w14:textId="77777777" w:rsidR="004B6321" w:rsidRDefault="00AC7D7F">
            <w:pPr>
              <w:spacing w:before="6" w:line="222" w:lineRule="auto"/>
              <w:ind w:left="72"/>
              <w:rPr>
                <w:sz w:val="18"/>
                <w:szCs w:val="18"/>
              </w:rPr>
            </w:pPr>
            <w:r>
              <w:rPr>
                <w:sz w:val="18"/>
                <w:szCs w:val="18"/>
              </w:rPr>
              <w:t>-</w:t>
            </w:r>
          </w:p>
        </w:tc>
        <w:tc>
          <w:tcPr>
            <w:tcW w:w="719" w:type="dxa"/>
          </w:tcPr>
          <w:p w14:paraId="21F72373" w14:textId="77777777" w:rsidR="004B6321" w:rsidRDefault="00AC7D7F">
            <w:pPr>
              <w:spacing w:before="6" w:line="222" w:lineRule="auto"/>
              <w:ind w:left="81"/>
              <w:rPr>
                <w:sz w:val="18"/>
                <w:szCs w:val="18"/>
              </w:rPr>
            </w:pPr>
            <w:r>
              <w:rPr>
                <w:sz w:val="18"/>
                <w:szCs w:val="18"/>
              </w:rPr>
              <w:t>-</w:t>
            </w:r>
          </w:p>
        </w:tc>
        <w:tc>
          <w:tcPr>
            <w:tcW w:w="806" w:type="dxa"/>
          </w:tcPr>
          <w:p w14:paraId="2117B637" w14:textId="77777777" w:rsidR="004B6321" w:rsidRDefault="00AC7D7F">
            <w:pPr>
              <w:spacing w:before="6" w:line="222" w:lineRule="auto"/>
              <w:ind w:left="82"/>
              <w:rPr>
                <w:sz w:val="18"/>
                <w:szCs w:val="18"/>
              </w:rPr>
            </w:pPr>
            <w:r>
              <w:rPr>
                <w:sz w:val="18"/>
                <w:szCs w:val="18"/>
              </w:rPr>
              <w:t>-</w:t>
            </w:r>
          </w:p>
        </w:tc>
      </w:tr>
      <w:tr w:rsidR="004B6321" w14:paraId="2D773CCE" w14:textId="77777777">
        <w:trPr>
          <w:trHeight w:val="247"/>
        </w:trPr>
        <w:tc>
          <w:tcPr>
            <w:tcW w:w="1493" w:type="dxa"/>
          </w:tcPr>
          <w:p w14:paraId="57392D9F" w14:textId="77777777" w:rsidR="004B6321" w:rsidRDefault="00AC7D7F">
            <w:pPr>
              <w:spacing w:before="5" w:line="222" w:lineRule="auto"/>
              <w:ind w:left="122"/>
              <w:rPr>
                <w:sz w:val="18"/>
                <w:szCs w:val="18"/>
              </w:rPr>
            </w:pPr>
            <w:r>
              <w:rPr>
                <w:sz w:val="18"/>
                <w:szCs w:val="18"/>
              </w:rPr>
              <w:t>Abdomen (AP)</w:t>
            </w:r>
          </w:p>
        </w:tc>
        <w:tc>
          <w:tcPr>
            <w:tcW w:w="1118" w:type="dxa"/>
          </w:tcPr>
          <w:p w14:paraId="4797FE0F" w14:textId="77777777" w:rsidR="004B6321" w:rsidRDefault="00AC7D7F">
            <w:pPr>
              <w:spacing w:before="5" w:line="222" w:lineRule="auto"/>
              <w:ind w:left="62"/>
              <w:rPr>
                <w:sz w:val="18"/>
                <w:szCs w:val="18"/>
              </w:rPr>
            </w:pPr>
            <w:r>
              <w:rPr>
                <w:sz w:val="18"/>
                <w:szCs w:val="18"/>
              </w:rPr>
              <w:t>4.76</w:t>
            </w:r>
          </w:p>
        </w:tc>
        <w:tc>
          <w:tcPr>
            <w:tcW w:w="1150" w:type="dxa"/>
          </w:tcPr>
          <w:p w14:paraId="2CFA625D" w14:textId="77777777" w:rsidR="004B6321" w:rsidRDefault="00AC7D7F">
            <w:pPr>
              <w:spacing w:before="5" w:line="222" w:lineRule="auto"/>
              <w:ind w:left="113"/>
              <w:rPr>
                <w:sz w:val="18"/>
                <w:szCs w:val="18"/>
              </w:rPr>
            </w:pPr>
            <w:r>
              <w:rPr>
                <w:sz w:val="18"/>
                <w:szCs w:val="18"/>
              </w:rPr>
              <w:t>5</w:t>
            </w:r>
          </w:p>
        </w:tc>
        <w:tc>
          <w:tcPr>
            <w:tcW w:w="1415" w:type="dxa"/>
          </w:tcPr>
          <w:p w14:paraId="1C9C4641" w14:textId="77777777" w:rsidR="004B6321" w:rsidRDefault="00AC7D7F">
            <w:pPr>
              <w:spacing w:before="5" w:line="222" w:lineRule="auto"/>
              <w:ind w:left="223"/>
              <w:rPr>
                <w:sz w:val="18"/>
                <w:szCs w:val="18"/>
              </w:rPr>
            </w:pPr>
            <w:r>
              <w:rPr>
                <w:sz w:val="18"/>
                <w:szCs w:val="18"/>
              </w:rPr>
              <w:t>2</w:t>
            </w:r>
          </w:p>
        </w:tc>
        <w:tc>
          <w:tcPr>
            <w:tcW w:w="1256" w:type="dxa"/>
          </w:tcPr>
          <w:p w14:paraId="323FF57E" w14:textId="77777777" w:rsidR="004B6321" w:rsidRDefault="00AC7D7F">
            <w:pPr>
              <w:spacing w:before="5" w:line="222" w:lineRule="auto"/>
              <w:ind w:left="160"/>
              <w:rPr>
                <w:sz w:val="18"/>
                <w:szCs w:val="18"/>
              </w:rPr>
            </w:pPr>
            <w:r>
              <w:rPr>
                <w:sz w:val="18"/>
                <w:szCs w:val="18"/>
              </w:rPr>
              <w:t>5</w:t>
            </w:r>
          </w:p>
        </w:tc>
        <w:tc>
          <w:tcPr>
            <w:tcW w:w="1072" w:type="dxa"/>
          </w:tcPr>
          <w:p w14:paraId="5AB9C05C" w14:textId="77777777" w:rsidR="004B6321" w:rsidRDefault="00AC7D7F">
            <w:pPr>
              <w:spacing w:before="5" w:line="222" w:lineRule="auto"/>
              <w:ind w:left="72"/>
              <w:rPr>
                <w:sz w:val="18"/>
                <w:szCs w:val="18"/>
              </w:rPr>
            </w:pPr>
            <w:r>
              <w:rPr>
                <w:sz w:val="18"/>
                <w:szCs w:val="18"/>
              </w:rPr>
              <w:t>5</w:t>
            </w:r>
          </w:p>
        </w:tc>
        <w:tc>
          <w:tcPr>
            <w:tcW w:w="719" w:type="dxa"/>
          </w:tcPr>
          <w:p w14:paraId="23155E3E" w14:textId="77777777" w:rsidR="004B6321" w:rsidRDefault="00AC7D7F">
            <w:pPr>
              <w:spacing w:before="5" w:line="222" w:lineRule="auto"/>
              <w:ind w:left="81"/>
              <w:rPr>
                <w:sz w:val="18"/>
                <w:szCs w:val="18"/>
              </w:rPr>
            </w:pPr>
            <w:r>
              <w:rPr>
                <w:sz w:val="18"/>
                <w:szCs w:val="18"/>
              </w:rPr>
              <w:t>5</w:t>
            </w:r>
          </w:p>
        </w:tc>
        <w:tc>
          <w:tcPr>
            <w:tcW w:w="806" w:type="dxa"/>
          </w:tcPr>
          <w:p w14:paraId="05CD3BAE" w14:textId="77777777" w:rsidR="004B6321" w:rsidRDefault="00AC7D7F">
            <w:pPr>
              <w:spacing w:before="5" w:line="222" w:lineRule="auto"/>
              <w:ind w:left="82"/>
              <w:rPr>
                <w:sz w:val="18"/>
                <w:szCs w:val="18"/>
              </w:rPr>
            </w:pPr>
            <w:r>
              <w:rPr>
                <w:sz w:val="18"/>
                <w:szCs w:val="18"/>
              </w:rPr>
              <w:t>3</w:t>
            </w:r>
          </w:p>
        </w:tc>
      </w:tr>
      <w:tr w:rsidR="004B6321" w14:paraId="02BB2FB0" w14:textId="77777777">
        <w:trPr>
          <w:trHeight w:val="247"/>
        </w:trPr>
        <w:tc>
          <w:tcPr>
            <w:tcW w:w="1493" w:type="dxa"/>
          </w:tcPr>
          <w:p w14:paraId="52648653" w14:textId="77777777" w:rsidR="004B6321" w:rsidRDefault="00AC7D7F">
            <w:pPr>
              <w:spacing w:before="5" w:line="222" w:lineRule="auto"/>
              <w:ind w:left="122"/>
              <w:rPr>
                <w:sz w:val="18"/>
                <w:szCs w:val="18"/>
              </w:rPr>
            </w:pPr>
            <w:r>
              <w:rPr>
                <w:sz w:val="18"/>
                <w:szCs w:val="18"/>
              </w:rPr>
              <w:t>Pelvis (AP)</w:t>
            </w:r>
          </w:p>
        </w:tc>
        <w:tc>
          <w:tcPr>
            <w:tcW w:w="1118" w:type="dxa"/>
          </w:tcPr>
          <w:p w14:paraId="7581EFAC" w14:textId="77777777" w:rsidR="004B6321" w:rsidRDefault="00AC7D7F">
            <w:pPr>
              <w:spacing w:before="5" w:line="222" w:lineRule="auto"/>
              <w:ind w:left="62"/>
              <w:rPr>
                <w:sz w:val="18"/>
                <w:szCs w:val="18"/>
              </w:rPr>
            </w:pPr>
            <w:r>
              <w:rPr>
                <w:sz w:val="18"/>
                <w:szCs w:val="18"/>
              </w:rPr>
              <w:t>4.76</w:t>
            </w:r>
          </w:p>
        </w:tc>
        <w:tc>
          <w:tcPr>
            <w:tcW w:w="1150" w:type="dxa"/>
          </w:tcPr>
          <w:p w14:paraId="14D48B4E" w14:textId="77777777" w:rsidR="004B6321" w:rsidRDefault="00AC7D7F">
            <w:pPr>
              <w:spacing w:before="5" w:line="222" w:lineRule="auto"/>
              <w:ind w:left="113"/>
              <w:rPr>
                <w:sz w:val="18"/>
                <w:szCs w:val="18"/>
              </w:rPr>
            </w:pPr>
            <w:r>
              <w:rPr>
                <w:sz w:val="18"/>
                <w:szCs w:val="18"/>
              </w:rPr>
              <w:t>-</w:t>
            </w:r>
          </w:p>
        </w:tc>
        <w:tc>
          <w:tcPr>
            <w:tcW w:w="1415" w:type="dxa"/>
          </w:tcPr>
          <w:p w14:paraId="38F0DF84" w14:textId="77777777" w:rsidR="004B6321" w:rsidRDefault="00AC7D7F">
            <w:pPr>
              <w:spacing w:before="5" w:line="222" w:lineRule="auto"/>
              <w:ind w:left="223"/>
              <w:rPr>
                <w:sz w:val="18"/>
                <w:szCs w:val="18"/>
              </w:rPr>
            </w:pPr>
            <w:r>
              <w:rPr>
                <w:sz w:val="18"/>
                <w:szCs w:val="18"/>
              </w:rPr>
              <w:t>-</w:t>
            </w:r>
          </w:p>
        </w:tc>
        <w:tc>
          <w:tcPr>
            <w:tcW w:w="1256" w:type="dxa"/>
          </w:tcPr>
          <w:p w14:paraId="0BBB9CEE" w14:textId="77777777" w:rsidR="004B6321" w:rsidRDefault="00AC7D7F">
            <w:pPr>
              <w:spacing w:before="5" w:line="222" w:lineRule="auto"/>
              <w:ind w:left="160"/>
              <w:rPr>
                <w:sz w:val="18"/>
                <w:szCs w:val="18"/>
              </w:rPr>
            </w:pPr>
            <w:r>
              <w:rPr>
                <w:sz w:val="18"/>
                <w:szCs w:val="18"/>
              </w:rPr>
              <w:t>-</w:t>
            </w:r>
          </w:p>
        </w:tc>
        <w:tc>
          <w:tcPr>
            <w:tcW w:w="1072" w:type="dxa"/>
          </w:tcPr>
          <w:p w14:paraId="377FFEFF" w14:textId="77777777" w:rsidR="004B6321" w:rsidRDefault="00AC7D7F">
            <w:pPr>
              <w:spacing w:before="5" w:line="222" w:lineRule="auto"/>
              <w:ind w:left="72"/>
              <w:rPr>
                <w:sz w:val="18"/>
                <w:szCs w:val="18"/>
              </w:rPr>
            </w:pPr>
            <w:r>
              <w:rPr>
                <w:sz w:val="18"/>
                <w:szCs w:val="18"/>
              </w:rPr>
              <w:t>-</w:t>
            </w:r>
          </w:p>
        </w:tc>
        <w:tc>
          <w:tcPr>
            <w:tcW w:w="719" w:type="dxa"/>
          </w:tcPr>
          <w:p w14:paraId="446660BE" w14:textId="77777777" w:rsidR="004B6321" w:rsidRDefault="00AC7D7F">
            <w:pPr>
              <w:spacing w:before="5" w:line="222" w:lineRule="auto"/>
              <w:ind w:left="81"/>
              <w:rPr>
                <w:sz w:val="18"/>
                <w:szCs w:val="18"/>
              </w:rPr>
            </w:pPr>
            <w:r>
              <w:rPr>
                <w:sz w:val="18"/>
                <w:szCs w:val="18"/>
              </w:rPr>
              <w:t>-</w:t>
            </w:r>
          </w:p>
        </w:tc>
        <w:tc>
          <w:tcPr>
            <w:tcW w:w="806" w:type="dxa"/>
          </w:tcPr>
          <w:p w14:paraId="269A2647" w14:textId="77777777" w:rsidR="004B6321" w:rsidRDefault="00AC7D7F">
            <w:pPr>
              <w:spacing w:before="5" w:line="222" w:lineRule="auto"/>
              <w:ind w:left="82"/>
              <w:rPr>
                <w:sz w:val="18"/>
                <w:szCs w:val="18"/>
              </w:rPr>
            </w:pPr>
            <w:r>
              <w:rPr>
                <w:sz w:val="18"/>
                <w:szCs w:val="18"/>
              </w:rPr>
              <w:t>3</w:t>
            </w:r>
          </w:p>
        </w:tc>
      </w:tr>
      <w:tr w:rsidR="004B6321" w14:paraId="1E91F4DF" w14:textId="77777777">
        <w:trPr>
          <w:trHeight w:val="248"/>
        </w:trPr>
        <w:tc>
          <w:tcPr>
            <w:tcW w:w="1493" w:type="dxa"/>
          </w:tcPr>
          <w:p w14:paraId="622127C3" w14:textId="77777777" w:rsidR="004B6321" w:rsidRDefault="00AC7D7F">
            <w:pPr>
              <w:spacing w:before="5" w:line="223" w:lineRule="auto"/>
              <w:ind w:left="122"/>
              <w:rPr>
                <w:sz w:val="18"/>
                <w:szCs w:val="18"/>
              </w:rPr>
            </w:pPr>
            <w:r>
              <w:rPr>
                <w:sz w:val="18"/>
                <w:szCs w:val="18"/>
              </w:rPr>
              <w:t>Lumbar (AP)</w:t>
            </w:r>
          </w:p>
        </w:tc>
        <w:tc>
          <w:tcPr>
            <w:tcW w:w="1118" w:type="dxa"/>
          </w:tcPr>
          <w:p w14:paraId="2CFF3FDB" w14:textId="77777777" w:rsidR="004B6321" w:rsidRDefault="00AC7D7F">
            <w:pPr>
              <w:spacing w:before="5" w:line="223" w:lineRule="auto"/>
              <w:ind w:left="62"/>
              <w:rPr>
                <w:sz w:val="18"/>
                <w:szCs w:val="18"/>
              </w:rPr>
            </w:pPr>
            <w:r>
              <w:rPr>
                <w:sz w:val="18"/>
                <w:szCs w:val="18"/>
              </w:rPr>
              <w:t>5.95</w:t>
            </w:r>
          </w:p>
        </w:tc>
        <w:tc>
          <w:tcPr>
            <w:tcW w:w="1150" w:type="dxa"/>
          </w:tcPr>
          <w:p w14:paraId="57418122" w14:textId="77777777" w:rsidR="004B6321" w:rsidRDefault="00AC7D7F">
            <w:pPr>
              <w:spacing w:before="5" w:line="223" w:lineRule="auto"/>
              <w:ind w:left="113"/>
              <w:rPr>
                <w:sz w:val="18"/>
                <w:szCs w:val="18"/>
              </w:rPr>
            </w:pPr>
            <w:r>
              <w:rPr>
                <w:sz w:val="18"/>
                <w:szCs w:val="18"/>
              </w:rPr>
              <w:t>10</w:t>
            </w:r>
          </w:p>
        </w:tc>
        <w:tc>
          <w:tcPr>
            <w:tcW w:w="1415" w:type="dxa"/>
          </w:tcPr>
          <w:p w14:paraId="0703E79F" w14:textId="77777777" w:rsidR="004B6321" w:rsidRDefault="00AC7D7F">
            <w:pPr>
              <w:spacing w:before="5" w:line="223" w:lineRule="auto"/>
              <w:ind w:left="223"/>
              <w:rPr>
                <w:sz w:val="18"/>
                <w:szCs w:val="18"/>
              </w:rPr>
            </w:pPr>
            <w:r>
              <w:rPr>
                <w:sz w:val="18"/>
                <w:szCs w:val="18"/>
              </w:rPr>
              <w:t>5</w:t>
            </w:r>
          </w:p>
        </w:tc>
        <w:tc>
          <w:tcPr>
            <w:tcW w:w="1256" w:type="dxa"/>
          </w:tcPr>
          <w:p w14:paraId="3BD97250" w14:textId="77777777" w:rsidR="004B6321" w:rsidRDefault="00AC7D7F">
            <w:pPr>
              <w:spacing w:before="5" w:line="223" w:lineRule="auto"/>
              <w:ind w:left="160"/>
              <w:rPr>
                <w:sz w:val="18"/>
                <w:szCs w:val="18"/>
              </w:rPr>
            </w:pPr>
            <w:r>
              <w:rPr>
                <w:sz w:val="18"/>
                <w:szCs w:val="18"/>
              </w:rPr>
              <w:t>10</w:t>
            </w:r>
          </w:p>
        </w:tc>
        <w:tc>
          <w:tcPr>
            <w:tcW w:w="1072" w:type="dxa"/>
          </w:tcPr>
          <w:p w14:paraId="20033FB4" w14:textId="77777777" w:rsidR="004B6321" w:rsidRDefault="00AC7D7F">
            <w:pPr>
              <w:spacing w:before="5" w:line="223" w:lineRule="auto"/>
              <w:ind w:left="72"/>
              <w:rPr>
                <w:sz w:val="18"/>
                <w:szCs w:val="18"/>
              </w:rPr>
            </w:pPr>
            <w:r>
              <w:rPr>
                <w:sz w:val="18"/>
                <w:szCs w:val="18"/>
              </w:rPr>
              <w:t>10</w:t>
            </w:r>
          </w:p>
        </w:tc>
        <w:tc>
          <w:tcPr>
            <w:tcW w:w="719" w:type="dxa"/>
          </w:tcPr>
          <w:p w14:paraId="37AFB1A9" w14:textId="77777777" w:rsidR="004B6321" w:rsidRDefault="00AC7D7F">
            <w:pPr>
              <w:spacing w:before="5" w:line="223" w:lineRule="auto"/>
              <w:ind w:left="81"/>
              <w:rPr>
                <w:sz w:val="18"/>
                <w:szCs w:val="18"/>
              </w:rPr>
            </w:pPr>
            <w:r>
              <w:rPr>
                <w:sz w:val="18"/>
                <w:szCs w:val="18"/>
              </w:rPr>
              <w:t>10</w:t>
            </w:r>
          </w:p>
        </w:tc>
        <w:tc>
          <w:tcPr>
            <w:tcW w:w="806" w:type="dxa"/>
          </w:tcPr>
          <w:p w14:paraId="6A3F6EFE" w14:textId="77777777" w:rsidR="004B6321" w:rsidRDefault="00AC7D7F">
            <w:pPr>
              <w:spacing w:before="5" w:line="223" w:lineRule="auto"/>
              <w:ind w:left="82"/>
              <w:rPr>
                <w:sz w:val="18"/>
                <w:szCs w:val="18"/>
              </w:rPr>
            </w:pPr>
            <w:r>
              <w:rPr>
                <w:sz w:val="18"/>
                <w:szCs w:val="18"/>
              </w:rPr>
              <w:t>4</w:t>
            </w:r>
          </w:p>
        </w:tc>
      </w:tr>
      <w:tr w:rsidR="004B6321" w14:paraId="313D3A87" w14:textId="77777777">
        <w:trPr>
          <w:trHeight w:val="248"/>
        </w:trPr>
        <w:tc>
          <w:tcPr>
            <w:tcW w:w="1493" w:type="dxa"/>
          </w:tcPr>
          <w:p w14:paraId="606BC662" w14:textId="77777777" w:rsidR="004B6321" w:rsidRDefault="00AC7D7F">
            <w:pPr>
              <w:spacing w:before="6" w:line="222" w:lineRule="auto"/>
              <w:ind w:left="122"/>
              <w:rPr>
                <w:sz w:val="18"/>
                <w:szCs w:val="18"/>
              </w:rPr>
            </w:pPr>
            <w:r>
              <w:rPr>
                <w:sz w:val="18"/>
                <w:szCs w:val="18"/>
              </w:rPr>
              <w:t>Lumbar (LAT)</w:t>
            </w:r>
          </w:p>
        </w:tc>
        <w:tc>
          <w:tcPr>
            <w:tcW w:w="1118" w:type="dxa"/>
          </w:tcPr>
          <w:p w14:paraId="21A6805C" w14:textId="77777777" w:rsidR="004B6321" w:rsidRDefault="00AC7D7F">
            <w:pPr>
              <w:spacing w:before="6" w:line="222" w:lineRule="auto"/>
              <w:ind w:left="62"/>
              <w:rPr>
                <w:sz w:val="18"/>
                <w:szCs w:val="18"/>
              </w:rPr>
            </w:pPr>
            <w:r>
              <w:rPr>
                <w:sz w:val="18"/>
                <w:szCs w:val="18"/>
              </w:rPr>
              <w:t>21.14</w:t>
            </w:r>
          </w:p>
        </w:tc>
        <w:tc>
          <w:tcPr>
            <w:tcW w:w="1150" w:type="dxa"/>
          </w:tcPr>
          <w:p w14:paraId="0B970C56" w14:textId="77777777" w:rsidR="004B6321" w:rsidRDefault="00AC7D7F">
            <w:pPr>
              <w:spacing w:before="6" w:line="222" w:lineRule="auto"/>
              <w:ind w:left="113"/>
              <w:rPr>
                <w:sz w:val="18"/>
                <w:szCs w:val="18"/>
              </w:rPr>
            </w:pPr>
            <w:r>
              <w:rPr>
                <w:sz w:val="18"/>
                <w:szCs w:val="18"/>
              </w:rPr>
              <w:t>30</w:t>
            </w:r>
          </w:p>
        </w:tc>
        <w:tc>
          <w:tcPr>
            <w:tcW w:w="1415" w:type="dxa"/>
          </w:tcPr>
          <w:p w14:paraId="3CC0FA96" w14:textId="77777777" w:rsidR="004B6321" w:rsidRDefault="00AC7D7F">
            <w:pPr>
              <w:spacing w:before="6" w:line="222" w:lineRule="auto"/>
              <w:ind w:left="223"/>
              <w:rPr>
                <w:sz w:val="18"/>
                <w:szCs w:val="18"/>
              </w:rPr>
            </w:pPr>
            <w:r>
              <w:rPr>
                <w:sz w:val="18"/>
                <w:szCs w:val="18"/>
              </w:rPr>
              <w:t>11</w:t>
            </w:r>
          </w:p>
        </w:tc>
        <w:tc>
          <w:tcPr>
            <w:tcW w:w="1256" w:type="dxa"/>
          </w:tcPr>
          <w:p w14:paraId="525A20F0" w14:textId="77777777" w:rsidR="004B6321" w:rsidRDefault="00AC7D7F">
            <w:pPr>
              <w:spacing w:before="6" w:line="222" w:lineRule="auto"/>
              <w:ind w:left="160"/>
              <w:rPr>
                <w:sz w:val="18"/>
                <w:szCs w:val="18"/>
              </w:rPr>
            </w:pPr>
            <w:r>
              <w:rPr>
                <w:sz w:val="18"/>
                <w:szCs w:val="18"/>
              </w:rPr>
              <w:t>30</w:t>
            </w:r>
          </w:p>
        </w:tc>
        <w:tc>
          <w:tcPr>
            <w:tcW w:w="1072" w:type="dxa"/>
          </w:tcPr>
          <w:p w14:paraId="66AE65DC" w14:textId="77777777" w:rsidR="004B6321" w:rsidRDefault="00AC7D7F">
            <w:pPr>
              <w:spacing w:before="6" w:line="222" w:lineRule="auto"/>
              <w:ind w:left="72"/>
              <w:rPr>
                <w:sz w:val="18"/>
                <w:szCs w:val="18"/>
              </w:rPr>
            </w:pPr>
            <w:r>
              <w:rPr>
                <w:sz w:val="18"/>
                <w:szCs w:val="18"/>
              </w:rPr>
              <w:t>30</w:t>
            </w:r>
          </w:p>
        </w:tc>
        <w:tc>
          <w:tcPr>
            <w:tcW w:w="719" w:type="dxa"/>
          </w:tcPr>
          <w:p w14:paraId="4B869E7C" w14:textId="77777777" w:rsidR="004B6321" w:rsidRDefault="00AC7D7F">
            <w:pPr>
              <w:spacing w:before="6" w:line="222" w:lineRule="auto"/>
              <w:ind w:left="81"/>
              <w:rPr>
                <w:sz w:val="18"/>
                <w:szCs w:val="18"/>
              </w:rPr>
            </w:pPr>
            <w:r>
              <w:rPr>
                <w:sz w:val="18"/>
                <w:szCs w:val="18"/>
              </w:rPr>
              <w:t>30</w:t>
            </w:r>
          </w:p>
        </w:tc>
        <w:tc>
          <w:tcPr>
            <w:tcW w:w="806" w:type="dxa"/>
          </w:tcPr>
          <w:p w14:paraId="067AD4AA" w14:textId="77777777" w:rsidR="004B6321" w:rsidRDefault="00AC7D7F">
            <w:pPr>
              <w:spacing w:before="6" w:line="222" w:lineRule="auto"/>
              <w:ind w:left="82"/>
              <w:rPr>
                <w:sz w:val="18"/>
                <w:szCs w:val="18"/>
              </w:rPr>
            </w:pPr>
            <w:r>
              <w:rPr>
                <w:sz w:val="18"/>
                <w:szCs w:val="18"/>
              </w:rPr>
              <w:t>11</w:t>
            </w:r>
          </w:p>
        </w:tc>
      </w:tr>
      <w:tr w:rsidR="004B6321" w14:paraId="534609EC" w14:textId="77777777">
        <w:trPr>
          <w:trHeight w:val="238"/>
        </w:trPr>
        <w:tc>
          <w:tcPr>
            <w:tcW w:w="1493" w:type="dxa"/>
            <w:tcBorders>
              <w:bottom w:val="single" w:sz="4" w:space="0" w:color="000000"/>
            </w:tcBorders>
          </w:tcPr>
          <w:p w14:paraId="14FB0C6F" w14:textId="77777777" w:rsidR="004B6321" w:rsidRDefault="00AC7D7F">
            <w:pPr>
              <w:spacing w:before="5" w:line="213" w:lineRule="auto"/>
              <w:ind w:left="122"/>
              <w:rPr>
                <w:sz w:val="18"/>
                <w:szCs w:val="18"/>
              </w:rPr>
            </w:pPr>
            <w:r>
              <w:rPr>
                <w:sz w:val="18"/>
                <w:szCs w:val="18"/>
              </w:rPr>
              <w:t>Lumbar (LJ)</w:t>
            </w:r>
          </w:p>
        </w:tc>
        <w:tc>
          <w:tcPr>
            <w:tcW w:w="1118" w:type="dxa"/>
            <w:tcBorders>
              <w:bottom w:val="single" w:sz="4" w:space="0" w:color="000000"/>
            </w:tcBorders>
          </w:tcPr>
          <w:p w14:paraId="7E18CB6C" w14:textId="77777777" w:rsidR="004B6321" w:rsidRDefault="00AC7D7F">
            <w:pPr>
              <w:spacing w:before="5" w:line="213" w:lineRule="auto"/>
              <w:ind w:left="62"/>
              <w:rPr>
                <w:sz w:val="18"/>
                <w:szCs w:val="18"/>
              </w:rPr>
            </w:pPr>
            <w:r>
              <w:rPr>
                <w:sz w:val="18"/>
                <w:szCs w:val="18"/>
              </w:rPr>
              <w:t>15.78</w:t>
            </w:r>
          </w:p>
        </w:tc>
        <w:tc>
          <w:tcPr>
            <w:tcW w:w="1150" w:type="dxa"/>
            <w:tcBorders>
              <w:bottom w:val="single" w:sz="4" w:space="0" w:color="000000"/>
            </w:tcBorders>
          </w:tcPr>
          <w:p w14:paraId="1840EAEB" w14:textId="77777777" w:rsidR="004B6321" w:rsidRDefault="00AC7D7F">
            <w:pPr>
              <w:spacing w:before="5" w:line="213" w:lineRule="auto"/>
              <w:ind w:left="113"/>
              <w:rPr>
                <w:sz w:val="18"/>
                <w:szCs w:val="18"/>
              </w:rPr>
            </w:pPr>
            <w:r>
              <w:rPr>
                <w:sz w:val="18"/>
                <w:szCs w:val="18"/>
              </w:rPr>
              <w:t>-</w:t>
            </w:r>
          </w:p>
        </w:tc>
        <w:tc>
          <w:tcPr>
            <w:tcW w:w="1415" w:type="dxa"/>
            <w:tcBorders>
              <w:bottom w:val="single" w:sz="4" w:space="0" w:color="000000"/>
            </w:tcBorders>
          </w:tcPr>
          <w:p w14:paraId="0D80F671" w14:textId="77777777" w:rsidR="004B6321" w:rsidRDefault="00AC7D7F">
            <w:pPr>
              <w:spacing w:before="5" w:line="213" w:lineRule="auto"/>
              <w:ind w:left="223"/>
              <w:rPr>
                <w:sz w:val="18"/>
                <w:szCs w:val="18"/>
              </w:rPr>
            </w:pPr>
            <w:r>
              <w:rPr>
                <w:sz w:val="18"/>
                <w:szCs w:val="18"/>
              </w:rPr>
              <w:t>-</w:t>
            </w:r>
          </w:p>
        </w:tc>
        <w:tc>
          <w:tcPr>
            <w:tcW w:w="1256" w:type="dxa"/>
            <w:tcBorders>
              <w:bottom w:val="single" w:sz="4" w:space="0" w:color="000000"/>
            </w:tcBorders>
          </w:tcPr>
          <w:p w14:paraId="277B01F4" w14:textId="77777777" w:rsidR="004B6321" w:rsidRDefault="00AC7D7F">
            <w:pPr>
              <w:spacing w:before="5" w:line="213" w:lineRule="auto"/>
              <w:ind w:left="160"/>
              <w:rPr>
                <w:sz w:val="18"/>
                <w:szCs w:val="18"/>
              </w:rPr>
            </w:pPr>
            <w:r>
              <w:rPr>
                <w:sz w:val="18"/>
                <w:szCs w:val="18"/>
              </w:rPr>
              <w:t>-</w:t>
            </w:r>
          </w:p>
        </w:tc>
        <w:tc>
          <w:tcPr>
            <w:tcW w:w="1072" w:type="dxa"/>
            <w:tcBorders>
              <w:bottom w:val="single" w:sz="4" w:space="0" w:color="000000"/>
            </w:tcBorders>
          </w:tcPr>
          <w:p w14:paraId="3506AA42" w14:textId="77777777" w:rsidR="004B6321" w:rsidRDefault="00AC7D7F">
            <w:pPr>
              <w:spacing w:before="5" w:line="213" w:lineRule="auto"/>
              <w:ind w:left="72"/>
              <w:rPr>
                <w:sz w:val="18"/>
                <w:szCs w:val="18"/>
              </w:rPr>
            </w:pPr>
            <w:r>
              <w:rPr>
                <w:sz w:val="18"/>
                <w:szCs w:val="18"/>
              </w:rPr>
              <w:t>-</w:t>
            </w:r>
          </w:p>
        </w:tc>
        <w:tc>
          <w:tcPr>
            <w:tcW w:w="719" w:type="dxa"/>
            <w:tcBorders>
              <w:bottom w:val="single" w:sz="4" w:space="0" w:color="000000"/>
            </w:tcBorders>
          </w:tcPr>
          <w:p w14:paraId="5BBE7DCB" w14:textId="77777777" w:rsidR="004B6321" w:rsidRDefault="00AC7D7F">
            <w:pPr>
              <w:spacing w:before="5" w:line="213" w:lineRule="auto"/>
              <w:ind w:left="81"/>
              <w:rPr>
                <w:sz w:val="18"/>
                <w:szCs w:val="18"/>
              </w:rPr>
            </w:pPr>
            <w:r>
              <w:rPr>
                <w:sz w:val="18"/>
                <w:szCs w:val="18"/>
              </w:rPr>
              <w:t>-</w:t>
            </w:r>
          </w:p>
        </w:tc>
        <w:tc>
          <w:tcPr>
            <w:tcW w:w="806" w:type="dxa"/>
            <w:tcBorders>
              <w:bottom w:val="single" w:sz="4" w:space="0" w:color="000000"/>
            </w:tcBorders>
          </w:tcPr>
          <w:p w14:paraId="35ECAA17" w14:textId="77777777" w:rsidR="004B6321" w:rsidRDefault="00AC7D7F">
            <w:pPr>
              <w:spacing w:before="5" w:line="213" w:lineRule="auto"/>
              <w:ind w:left="82"/>
              <w:rPr>
                <w:sz w:val="18"/>
                <w:szCs w:val="18"/>
              </w:rPr>
            </w:pPr>
            <w:r>
              <w:rPr>
                <w:sz w:val="18"/>
                <w:szCs w:val="18"/>
              </w:rPr>
              <w:t>-</w:t>
            </w:r>
          </w:p>
        </w:tc>
      </w:tr>
    </w:tbl>
    <w:p w14:paraId="40F78D35" w14:textId="77777777" w:rsidR="004B6321" w:rsidRDefault="00AC7D7F">
      <w:pPr>
        <w:spacing w:before="3" w:line="207" w:lineRule="auto"/>
        <w:ind w:left="3" w:right="8"/>
        <w:jc w:val="center"/>
        <w:rPr>
          <w:i/>
          <w:sz w:val="18"/>
          <w:szCs w:val="18"/>
        </w:rPr>
      </w:pPr>
      <w:r>
        <w:rPr>
          <w:i/>
          <w:sz w:val="18"/>
          <w:szCs w:val="18"/>
        </w:rPr>
        <w:t xml:space="preserve">[a]Talbot; </w:t>
      </w:r>
      <w:proofErr w:type="spellStart"/>
      <w:r>
        <w:rPr>
          <w:i/>
          <w:sz w:val="18"/>
          <w:szCs w:val="18"/>
        </w:rPr>
        <w:t>Rehel</w:t>
      </w:r>
      <w:proofErr w:type="spellEnd"/>
      <w:r>
        <w:rPr>
          <w:i/>
          <w:sz w:val="18"/>
          <w:szCs w:val="18"/>
        </w:rPr>
        <w:t xml:space="preserve"> (2004), [b]Wall (2005), [c]Diop (2022), [d]Hart; Hillier; Wall (2009), [e]Compagnone; Pagan;</w:t>
      </w:r>
    </w:p>
    <w:p w14:paraId="73F1085C" w14:textId="77777777" w:rsidR="004B6321" w:rsidRDefault="00AC7D7F">
      <w:pPr>
        <w:spacing w:before="23" w:line="207" w:lineRule="auto"/>
        <w:ind w:left="11" w:right="8"/>
        <w:jc w:val="center"/>
        <w:rPr>
          <w:i/>
          <w:sz w:val="18"/>
          <w:szCs w:val="18"/>
        </w:rPr>
      </w:pPr>
      <w:r>
        <w:rPr>
          <w:i/>
          <w:sz w:val="18"/>
          <w:szCs w:val="18"/>
        </w:rPr>
        <w:t>Bergamini, (2005), [f]Yonekura (2015, p.12) [5,16-20].</w:t>
      </w:r>
    </w:p>
    <w:p w14:paraId="00DAB706" w14:textId="77777777" w:rsidR="004B6321" w:rsidRDefault="004B6321">
      <w:pPr>
        <w:pBdr>
          <w:top w:val="nil"/>
          <w:left w:val="nil"/>
          <w:bottom w:val="nil"/>
          <w:right w:val="nil"/>
          <w:between w:val="nil"/>
        </w:pBdr>
        <w:ind w:left="23" w:right="1"/>
        <w:jc w:val="both"/>
        <w:rPr>
          <w:b/>
          <w:sz w:val="18"/>
          <w:szCs w:val="18"/>
        </w:rPr>
      </w:pPr>
    </w:p>
    <w:p w14:paraId="61AC0F8F" w14:textId="77777777" w:rsidR="004B6321" w:rsidRDefault="00AC7D7F">
      <w:pPr>
        <w:pBdr>
          <w:top w:val="nil"/>
          <w:left w:val="nil"/>
          <w:bottom w:val="nil"/>
          <w:right w:val="nil"/>
          <w:between w:val="nil"/>
        </w:pBdr>
        <w:ind w:left="23" w:right="1"/>
        <w:jc w:val="both"/>
        <w:rPr>
          <w:color w:val="000000"/>
          <w:sz w:val="18"/>
          <w:szCs w:val="18"/>
        </w:rPr>
      </w:pPr>
      <w:r>
        <w:rPr>
          <w:color w:val="000000"/>
          <w:sz w:val="18"/>
          <w:szCs w:val="18"/>
        </w:rPr>
        <w:t xml:space="preserve">The analysis of the results presented in Table 5, which relates the average </w:t>
      </w:r>
      <w:proofErr w:type="spellStart"/>
      <w:proofErr w:type="gramStart"/>
      <w:r>
        <w:rPr>
          <w:color w:val="000000"/>
          <w:sz w:val="18"/>
          <w:szCs w:val="18"/>
        </w:rPr>
        <w:t>K</w:t>
      </w:r>
      <w:r>
        <w:rPr>
          <w:color w:val="000000"/>
          <w:sz w:val="18"/>
          <w:szCs w:val="18"/>
          <w:vertAlign w:val="subscript"/>
        </w:rPr>
        <w:t>a,e</w:t>
      </w:r>
      <w:proofErr w:type="spellEnd"/>
      <w:proofErr w:type="gramEnd"/>
      <w:r>
        <w:rPr>
          <w:color w:val="000000"/>
          <w:sz w:val="18"/>
          <w:szCs w:val="18"/>
        </w:rPr>
        <w:t xml:space="preserve"> values obtained in this study with international DRLs, shows variations compared to the DRLs adopted in other countries. For example, for the AP projection skull radiographic exam, the estimated </w:t>
      </w:r>
      <w:proofErr w:type="spellStart"/>
      <w:proofErr w:type="gramStart"/>
      <w:r>
        <w:rPr>
          <w:color w:val="000000"/>
          <w:sz w:val="18"/>
          <w:szCs w:val="18"/>
        </w:rPr>
        <w:t>K</w:t>
      </w:r>
      <w:r>
        <w:rPr>
          <w:color w:val="000000"/>
          <w:sz w:val="18"/>
          <w:szCs w:val="18"/>
          <w:vertAlign w:val="subscript"/>
        </w:rPr>
        <w:t>a,e</w:t>
      </w:r>
      <w:proofErr w:type="spellEnd"/>
      <w:proofErr w:type="gramEnd"/>
      <w:r>
        <w:rPr>
          <w:color w:val="000000"/>
          <w:sz w:val="18"/>
          <w:szCs w:val="18"/>
        </w:rPr>
        <w:t xml:space="preserve"> value was 4.30 </w:t>
      </w:r>
      <w:proofErr w:type="spellStart"/>
      <w:r>
        <w:rPr>
          <w:color w:val="000000"/>
          <w:sz w:val="18"/>
          <w:szCs w:val="18"/>
        </w:rPr>
        <w:t>mGy</w:t>
      </w:r>
      <w:proofErr w:type="spellEnd"/>
      <w:r>
        <w:rPr>
          <w:color w:val="000000"/>
          <w:sz w:val="18"/>
          <w:szCs w:val="18"/>
        </w:rPr>
        <w:t xml:space="preserve">, whereas in some countries like Japan, the corresponding DRL is 3.0 </w:t>
      </w:r>
      <w:proofErr w:type="spellStart"/>
      <w:r>
        <w:rPr>
          <w:color w:val="000000"/>
          <w:sz w:val="18"/>
          <w:szCs w:val="18"/>
        </w:rPr>
        <w:t>mGy</w:t>
      </w:r>
      <w:proofErr w:type="spellEnd"/>
      <w:r>
        <w:rPr>
          <w:color w:val="000000"/>
          <w:sz w:val="18"/>
          <w:szCs w:val="18"/>
        </w:rPr>
        <w:t xml:space="preserve">. This indicates a discrepancy of approximately 30% compared to the Japanese standard. Similarly, for other body regions and different radiographic projections, such as the chest, abdomen, and lumbar spine, the </w:t>
      </w:r>
      <w:proofErr w:type="spellStart"/>
      <w:proofErr w:type="gramStart"/>
      <w:r>
        <w:rPr>
          <w:color w:val="000000"/>
          <w:sz w:val="18"/>
          <w:szCs w:val="18"/>
        </w:rPr>
        <w:t>K</w:t>
      </w:r>
      <w:r>
        <w:rPr>
          <w:color w:val="000000"/>
          <w:sz w:val="18"/>
          <w:szCs w:val="18"/>
          <w:vertAlign w:val="subscript"/>
        </w:rPr>
        <w:t>a,e</w:t>
      </w:r>
      <w:proofErr w:type="spellEnd"/>
      <w:proofErr w:type="gramEnd"/>
      <w:r>
        <w:rPr>
          <w:color w:val="000000"/>
          <w:sz w:val="18"/>
          <w:szCs w:val="18"/>
          <w:vertAlign w:val="subscript"/>
        </w:rPr>
        <w:t xml:space="preserve"> </w:t>
      </w:r>
      <w:r>
        <w:rPr>
          <w:color w:val="000000"/>
          <w:sz w:val="18"/>
          <w:szCs w:val="18"/>
        </w:rPr>
        <w:t xml:space="preserve">values estimated in this study show variations relative to the DRLs adopted in different countries. For example, for the chest in the PA projection, the estimated </w:t>
      </w:r>
      <w:proofErr w:type="spellStart"/>
      <w:proofErr w:type="gramStart"/>
      <w:r>
        <w:rPr>
          <w:color w:val="000000"/>
          <w:sz w:val="18"/>
          <w:szCs w:val="18"/>
        </w:rPr>
        <w:t>K</w:t>
      </w:r>
      <w:r>
        <w:rPr>
          <w:color w:val="000000"/>
          <w:sz w:val="18"/>
          <w:szCs w:val="18"/>
          <w:vertAlign w:val="subscript"/>
        </w:rPr>
        <w:t>a,e</w:t>
      </w:r>
      <w:proofErr w:type="spellEnd"/>
      <w:proofErr w:type="gramEnd"/>
      <w:r>
        <w:rPr>
          <w:color w:val="000000"/>
          <w:sz w:val="18"/>
          <w:szCs w:val="18"/>
        </w:rPr>
        <w:t xml:space="preserve"> value is</w:t>
      </w:r>
    </w:p>
    <w:p w14:paraId="20DDCB80" w14:textId="77777777" w:rsidR="004B6321" w:rsidRDefault="00AC7D7F">
      <w:pPr>
        <w:pBdr>
          <w:top w:val="nil"/>
          <w:left w:val="nil"/>
          <w:bottom w:val="nil"/>
          <w:right w:val="nil"/>
          <w:between w:val="nil"/>
        </w:pBdr>
        <w:ind w:left="23" w:right="1"/>
        <w:jc w:val="both"/>
        <w:rPr>
          <w:color w:val="000000"/>
          <w:sz w:val="18"/>
          <w:szCs w:val="18"/>
        </w:rPr>
      </w:pPr>
      <w:r>
        <w:rPr>
          <w:color w:val="000000"/>
          <w:sz w:val="18"/>
          <w:szCs w:val="18"/>
        </w:rPr>
        <w:t xml:space="preserve">0.17 </w:t>
      </w:r>
      <w:proofErr w:type="spellStart"/>
      <w:r>
        <w:rPr>
          <w:color w:val="000000"/>
          <w:sz w:val="18"/>
          <w:szCs w:val="18"/>
        </w:rPr>
        <w:t>mGy</w:t>
      </w:r>
      <w:proofErr w:type="spellEnd"/>
      <w:r>
        <w:rPr>
          <w:color w:val="000000"/>
          <w:sz w:val="18"/>
          <w:szCs w:val="18"/>
        </w:rPr>
        <w:t xml:space="preserve">, while in some countries like the United Kingdom, the corresponding DRL is 0.3 </w:t>
      </w:r>
      <w:proofErr w:type="spellStart"/>
      <w:r>
        <w:rPr>
          <w:color w:val="000000"/>
          <w:sz w:val="18"/>
          <w:szCs w:val="18"/>
        </w:rPr>
        <w:t>mGy</w:t>
      </w:r>
      <w:proofErr w:type="spellEnd"/>
      <w:r>
        <w:rPr>
          <w:color w:val="000000"/>
          <w:sz w:val="18"/>
          <w:szCs w:val="18"/>
        </w:rPr>
        <w:t>.</w:t>
      </w:r>
    </w:p>
    <w:p w14:paraId="77D4B7AD" w14:textId="77777777" w:rsidR="004B6321" w:rsidRDefault="004B6321">
      <w:pPr>
        <w:pBdr>
          <w:top w:val="nil"/>
          <w:left w:val="nil"/>
          <w:bottom w:val="nil"/>
          <w:right w:val="nil"/>
          <w:between w:val="nil"/>
        </w:pBdr>
        <w:spacing w:before="24"/>
        <w:rPr>
          <w:color w:val="000000"/>
          <w:sz w:val="18"/>
          <w:szCs w:val="18"/>
        </w:rPr>
      </w:pPr>
    </w:p>
    <w:p w14:paraId="3697614F" w14:textId="77777777" w:rsidR="004B6321" w:rsidRDefault="00AC7D7F">
      <w:pPr>
        <w:pBdr>
          <w:top w:val="nil"/>
          <w:left w:val="nil"/>
          <w:bottom w:val="nil"/>
          <w:right w:val="nil"/>
          <w:between w:val="nil"/>
        </w:pBdr>
        <w:ind w:left="23"/>
        <w:jc w:val="both"/>
        <w:rPr>
          <w:color w:val="000000"/>
          <w:sz w:val="18"/>
          <w:szCs w:val="18"/>
        </w:rPr>
      </w:pPr>
      <w:r>
        <w:rPr>
          <w:color w:val="000000"/>
          <w:sz w:val="18"/>
          <w:szCs w:val="18"/>
        </w:rPr>
        <w:t xml:space="preserve">These differences highlight the importance of evaluating and comparing locally obtained </w:t>
      </w:r>
      <w:proofErr w:type="spellStart"/>
      <w:proofErr w:type="gramStart"/>
      <w:r>
        <w:rPr>
          <w:color w:val="000000"/>
          <w:sz w:val="18"/>
          <w:szCs w:val="18"/>
        </w:rPr>
        <w:t>K</w:t>
      </w:r>
      <w:r>
        <w:rPr>
          <w:color w:val="000000"/>
          <w:sz w:val="18"/>
          <w:szCs w:val="18"/>
          <w:vertAlign w:val="subscript"/>
        </w:rPr>
        <w:t>a,e</w:t>
      </w:r>
      <w:proofErr w:type="spellEnd"/>
      <w:proofErr w:type="gramEnd"/>
      <w:r>
        <w:rPr>
          <w:color w:val="000000"/>
          <w:sz w:val="18"/>
          <w:szCs w:val="18"/>
        </w:rPr>
        <w:t xml:space="preserve"> values with international reference standards.</w:t>
      </w:r>
      <w:r>
        <w:rPr>
          <w:sz w:val="18"/>
          <w:szCs w:val="18"/>
        </w:rPr>
        <w:t xml:space="preserve"> T</w:t>
      </w:r>
      <w:r>
        <w:rPr>
          <w:color w:val="000000"/>
          <w:sz w:val="18"/>
          <w:szCs w:val="18"/>
        </w:rPr>
        <w:t>his allows the identification of areas where radiation doses may be above or below acceptable limits, enabling the implementation of corrective measures to ensure safe and effective radiological practice.</w:t>
      </w:r>
    </w:p>
    <w:p w14:paraId="687CD81B" w14:textId="77777777" w:rsidR="004B6321" w:rsidRDefault="004B6321">
      <w:pPr>
        <w:pBdr>
          <w:top w:val="nil"/>
          <w:left w:val="nil"/>
          <w:bottom w:val="nil"/>
          <w:right w:val="nil"/>
          <w:between w:val="nil"/>
        </w:pBdr>
        <w:spacing w:before="42"/>
        <w:rPr>
          <w:color w:val="000000"/>
          <w:sz w:val="18"/>
          <w:szCs w:val="18"/>
        </w:rPr>
      </w:pPr>
    </w:p>
    <w:p w14:paraId="187B7DCB" w14:textId="77777777" w:rsidR="004B6321" w:rsidRDefault="00AC7D7F">
      <w:pPr>
        <w:numPr>
          <w:ilvl w:val="0"/>
          <w:numId w:val="3"/>
        </w:numPr>
        <w:tabs>
          <w:tab w:val="left" w:pos="269"/>
        </w:tabs>
        <w:ind w:left="269" w:hanging="246"/>
        <w:rPr>
          <w:sz w:val="20"/>
          <w:szCs w:val="20"/>
        </w:rPr>
      </w:pPr>
      <w:r>
        <w:rPr>
          <w:b/>
          <w:sz w:val="20"/>
          <w:szCs w:val="20"/>
        </w:rPr>
        <w:t>CONCLUSION</w:t>
      </w:r>
    </w:p>
    <w:p w14:paraId="5495A37F" w14:textId="77777777" w:rsidR="004B6321" w:rsidRDefault="004B6321">
      <w:pPr>
        <w:pBdr>
          <w:top w:val="nil"/>
          <w:left w:val="nil"/>
          <w:bottom w:val="nil"/>
          <w:right w:val="nil"/>
          <w:between w:val="nil"/>
        </w:pBdr>
        <w:spacing w:before="14"/>
        <w:rPr>
          <w:b/>
          <w:color w:val="000000"/>
          <w:sz w:val="18"/>
          <w:szCs w:val="18"/>
        </w:rPr>
      </w:pPr>
    </w:p>
    <w:p w14:paraId="0BAE154F" w14:textId="77777777" w:rsidR="004B6321" w:rsidRDefault="00AC7D7F">
      <w:pPr>
        <w:pBdr>
          <w:top w:val="nil"/>
          <w:left w:val="nil"/>
          <w:bottom w:val="nil"/>
          <w:right w:val="nil"/>
          <w:between w:val="nil"/>
        </w:pBdr>
        <w:spacing w:before="1"/>
        <w:ind w:left="23" w:right="24"/>
        <w:jc w:val="both"/>
        <w:rPr>
          <w:color w:val="000000"/>
          <w:sz w:val="18"/>
          <w:szCs w:val="18"/>
        </w:rPr>
      </w:pPr>
      <w:r>
        <w:rPr>
          <w:color w:val="000000"/>
          <w:sz w:val="18"/>
          <w:szCs w:val="18"/>
        </w:rPr>
        <w:t xml:space="preserve">The results obtained demonstrate the need for adjustments in imaging acquisition protocols, as the </w:t>
      </w:r>
      <w:proofErr w:type="spellStart"/>
      <w:proofErr w:type="gramStart"/>
      <w:r>
        <w:rPr>
          <w:color w:val="000000"/>
          <w:sz w:val="18"/>
          <w:szCs w:val="18"/>
        </w:rPr>
        <w:t>K</w:t>
      </w:r>
      <w:r>
        <w:rPr>
          <w:color w:val="000000"/>
          <w:sz w:val="18"/>
          <w:szCs w:val="18"/>
          <w:vertAlign w:val="subscript"/>
        </w:rPr>
        <w:t>a,e</w:t>
      </w:r>
      <w:proofErr w:type="spellEnd"/>
      <w:proofErr w:type="gramEnd"/>
      <w:r>
        <w:rPr>
          <w:color w:val="000000"/>
          <w:sz w:val="18"/>
          <w:szCs w:val="18"/>
        </w:rPr>
        <w:t xml:space="preserve"> values found in this study, although within the limits established by national DRLs, exceed the reference values of countries such as the United Kingdom and Japan in the areas of the skull, abdomen, and lumbar spine. The methodology adopted in this study can contribute to the ongoing education of radiology professionals, promoting the correct application </w:t>
      </w:r>
      <w:proofErr w:type="gramStart"/>
      <w:r>
        <w:rPr>
          <w:color w:val="000000"/>
          <w:sz w:val="18"/>
          <w:szCs w:val="18"/>
        </w:rPr>
        <w:t>of  imaging</w:t>
      </w:r>
      <w:proofErr w:type="gramEnd"/>
      <w:r>
        <w:rPr>
          <w:color w:val="000000"/>
          <w:sz w:val="18"/>
          <w:szCs w:val="18"/>
        </w:rPr>
        <w:t xml:space="preserve">  techniques  and  reducing patient exposure to ionizing radiation. Furthermore, this study emphasizes the importance of evaluating radiation dose in diagnostic imaging and the need for a multidisciplinary approach to dose optimization and radiological safety.</w:t>
      </w:r>
    </w:p>
    <w:p w14:paraId="307426D5" w14:textId="77777777" w:rsidR="004B6321" w:rsidRDefault="004B6321">
      <w:pPr>
        <w:pBdr>
          <w:top w:val="nil"/>
          <w:left w:val="nil"/>
          <w:bottom w:val="nil"/>
          <w:right w:val="nil"/>
          <w:between w:val="nil"/>
        </w:pBdr>
        <w:spacing w:before="39"/>
        <w:rPr>
          <w:color w:val="000000"/>
          <w:sz w:val="18"/>
          <w:szCs w:val="18"/>
        </w:rPr>
      </w:pPr>
    </w:p>
    <w:p w14:paraId="73027685" w14:textId="77777777" w:rsidR="004B6321" w:rsidRDefault="00AC7D7F">
      <w:pPr>
        <w:ind w:left="23"/>
        <w:rPr>
          <w:b/>
          <w:sz w:val="20"/>
          <w:szCs w:val="20"/>
        </w:rPr>
      </w:pPr>
      <w:r>
        <w:rPr>
          <w:b/>
          <w:sz w:val="20"/>
          <w:szCs w:val="20"/>
        </w:rPr>
        <w:t>DISCLAIMER (ARTIFICIAL INTELLIGENCE)</w:t>
      </w:r>
    </w:p>
    <w:p w14:paraId="4089AE8C" w14:textId="77777777" w:rsidR="004B6321" w:rsidRDefault="004B6321">
      <w:pPr>
        <w:pBdr>
          <w:top w:val="nil"/>
          <w:left w:val="nil"/>
          <w:bottom w:val="nil"/>
          <w:right w:val="nil"/>
          <w:between w:val="nil"/>
        </w:pBdr>
        <w:spacing w:before="28"/>
        <w:rPr>
          <w:b/>
          <w:color w:val="000000"/>
          <w:sz w:val="18"/>
          <w:szCs w:val="18"/>
        </w:rPr>
      </w:pPr>
    </w:p>
    <w:p w14:paraId="7CFA0FCA" w14:textId="77777777" w:rsidR="004B6321" w:rsidRDefault="00AC7D7F">
      <w:pPr>
        <w:pBdr>
          <w:top w:val="nil"/>
          <w:left w:val="nil"/>
          <w:bottom w:val="nil"/>
          <w:right w:val="nil"/>
          <w:between w:val="nil"/>
        </w:pBdr>
        <w:ind w:left="23" w:right="21"/>
        <w:jc w:val="both"/>
        <w:rPr>
          <w:color w:val="000000"/>
          <w:sz w:val="18"/>
          <w:szCs w:val="18"/>
        </w:rPr>
      </w:pPr>
      <w:r>
        <w:rPr>
          <w:color w:val="000000"/>
          <w:sz w:val="18"/>
          <w:szCs w:val="18"/>
        </w:rPr>
        <w:t>Author(s) hereby declare that NO generative AI technologies such as Large Language Models (</w:t>
      </w:r>
      <w:proofErr w:type="spellStart"/>
      <w:r>
        <w:rPr>
          <w:color w:val="000000"/>
          <w:sz w:val="18"/>
          <w:szCs w:val="18"/>
        </w:rPr>
        <w:t>ChatGPT</w:t>
      </w:r>
      <w:proofErr w:type="spellEnd"/>
      <w:r>
        <w:rPr>
          <w:color w:val="000000"/>
          <w:sz w:val="18"/>
          <w:szCs w:val="18"/>
        </w:rPr>
        <w:t>, COPILOT, etc.) and text-to-image generators have been used during the writing or editing of this manuscript.</w:t>
      </w:r>
    </w:p>
    <w:p w14:paraId="203CBDE8" w14:textId="77777777" w:rsidR="004B6321" w:rsidRDefault="004B6321">
      <w:pPr>
        <w:pBdr>
          <w:top w:val="nil"/>
          <w:left w:val="nil"/>
          <w:bottom w:val="nil"/>
          <w:right w:val="nil"/>
          <w:between w:val="nil"/>
        </w:pBdr>
        <w:spacing w:before="41"/>
        <w:rPr>
          <w:color w:val="000000"/>
          <w:sz w:val="18"/>
          <w:szCs w:val="18"/>
        </w:rPr>
      </w:pPr>
    </w:p>
    <w:p w14:paraId="554E3B21" w14:textId="77777777" w:rsidR="004B6321" w:rsidRDefault="004B6321">
      <w:pPr>
        <w:pBdr>
          <w:top w:val="nil"/>
          <w:left w:val="nil"/>
          <w:bottom w:val="nil"/>
          <w:right w:val="nil"/>
          <w:between w:val="nil"/>
        </w:pBdr>
        <w:spacing w:before="23"/>
        <w:rPr>
          <w:color w:val="000000"/>
          <w:sz w:val="18"/>
          <w:szCs w:val="18"/>
        </w:rPr>
      </w:pPr>
    </w:p>
    <w:p w14:paraId="353F56A0" w14:textId="77777777" w:rsidR="00174F2E" w:rsidRDefault="00174F2E">
      <w:pPr>
        <w:pBdr>
          <w:top w:val="nil"/>
          <w:left w:val="nil"/>
          <w:bottom w:val="nil"/>
          <w:right w:val="nil"/>
          <w:between w:val="nil"/>
        </w:pBdr>
        <w:spacing w:before="23"/>
        <w:rPr>
          <w:color w:val="000000"/>
          <w:sz w:val="18"/>
          <w:szCs w:val="18"/>
        </w:rPr>
      </w:pPr>
    </w:p>
    <w:p w14:paraId="59EB18B5" w14:textId="77777777" w:rsidR="004B6321" w:rsidRDefault="00AC7D7F">
      <w:pPr>
        <w:ind w:firstLine="23"/>
        <w:rPr>
          <w:b/>
          <w:sz w:val="20"/>
          <w:szCs w:val="20"/>
        </w:rPr>
      </w:pPr>
      <w:r>
        <w:rPr>
          <w:b/>
          <w:sz w:val="20"/>
          <w:szCs w:val="20"/>
        </w:rPr>
        <w:t>REFERENCES</w:t>
      </w:r>
    </w:p>
    <w:p w14:paraId="2B1FB6C4" w14:textId="77777777" w:rsidR="004B6321" w:rsidRDefault="00AC7D7F">
      <w:pPr>
        <w:numPr>
          <w:ilvl w:val="0"/>
          <w:numId w:val="2"/>
        </w:numPr>
        <w:pBdr>
          <w:top w:val="nil"/>
          <w:left w:val="nil"/>
          <w:bottom w:val="nil"/>
          <w:right w:val="nil"/>
          <w:between w:val="nil"/>
        </w:pBdr>
        <w:tabs>
          <w:tab w:val="left" w:pos="563"/>
        </w:tabs>
        <w:spacing w:before="251"/>
        <w:ind w:right="1"/>
        <w:jc w:val="both"/>
        <w:rPr>
          <w:color w:val="000000"/>
        </w:rPr>
      </w:pPr>
      <w:proofErr w:type="spellStart"/>
      <w:r>
        <w:rPr>
          <w:color w:val="000000"/>
          <w:sz w:val="20"/>
          <w:szCs w:val="20"/>
        </w:rPr>
        <w:t>Vañó</w:t>
      </w:r>
      <w:proofErr w:type="spellEnd"/>
      <w:r>
        <w:rPr>
          <w:color w:val="000000"/>
          <w:sz w:val="20"/>
          <w:szCs w:val="20"/>
        </w:rPr>
        <w:t xml:space="preserve"> E, Miller DL, Martin CJ, Rehani MM, Kang K, Rosenstein M, Ortiz- López P, Mattsson S, Padovani R, Rogers A. ICRP publication 135: diagnostic reference levels in medical imaging. Annals of the ICRP. 2017;46(1):1- 144.</w:t>
      </w:r>
    </w:p>
    <w:p w14:paraId="7AB33CF7" w14:textId="77777777" w:rsidR="004B6321" w:rsidRDefault="00AC7D7F">
      <w:pPr>
        <w:numPr>
          <w:ilvl w:val="0"/>
          <w:numId w:val="2"/>
        </w:numPr>
        <w:pBdr>
          <w:top w:val="nil"/>
          <w:left w:val="nil"/>
          <w:bottom w:val="nil"/>
          <w:right w:val="nil"/>
          <w:between w:val="nil"/>
        </w:pBdr>
        <w:tabs>
          <w:tab w:val="left" w:pos="563"/>
        </w:tabs>
        <w:spacing w:before="1"/>
        <w:ind w:right="1"/>
        <w:jc w:val="both"/>
        <w:rPr>
          <w:color w:val="000000"/>
        </w:rPr>
      </w:pPr>
      <w:r>
        <w:rPr>
          <w:color w:val="000000"/>
          <w:sz w:val="20"/>
          <w:szCs w:val="20"/>
        </w:rPr>
        <w:t xml:space="preserve">Bonifaz AP, Rodriguez CSC, Esparza RP. Diagnostic reference levels for common X- ray procedures in Peru. </w:t>
      </w:r>
      <w:proofErr w:type="spellStart"/>
      <w:r>
        <w:rPr>
          <w:color w:val="000000"/>
          <w:sz w:val="20"/>
          <w:szCs w:val="20"/>
        </w:rPr>
        <w:t>Cureus</w:t>
      </w:r>
      <w:proofErr w:type="spellEnd"/>
      <w:r>
        <w:rPr>
          <w:color w:val="000000"/>
          <w:sz w:val="20"/>
          <w:szCs w:val="20"/>
        </w:rPr>
        <w:t>. 2021;13(10).</w:t>
      </w:r>
    </w:p>
    <w:p w14:paraId="4936BFAC" w14:textId="77777777" w:rsidR="004B6321" w:rsidRDefault="00AC7D7F">
      <w:pPr>
        <w:numPr>
          <w:ilvl w:val="0"/>
          <w:numId w:val="2"/>
        </w:numPr>
        <w:pBdr>
          <w:top w:val="nil"/>
          <w:left w:val="nil"/>
          <w:bottom w:val="nil"/>
          <w:right w:val="nil"/>
          <w:between w:val="nil"/>
        </w:pBdr>
        <w:tabs>
          <w:tab w:val="left" w:pos="562"/>
        </w:tabs>
        <w:spacing w:line="229" w:lineRule="auto"/>
        <w:ind w:left="562" w:hanging="539"/>
        <w:jc w:val="both"/>
        <w:rPr>
          <w:color w:val="000000"/>
        </w:rPr>
      </w:pPr>
      <w:r>
        <w:rPr>
          <w:color w:val="000000"/>
          <w:sz w:val="20"/>
          <w:szCs w:val="20"/>
        </w:rPr>
        <w:t>Seeram E, Davidson R, Bushong S, Swan</w:t>
      </w:r>
      <w:r>
        <w:rPr>
          <w:sz w:val="20"/>
          <w:szCs w:val="20"/>
        </w:rPr>
        <w:t xml:space="preserve"> </w:t>
      </w:r>
      <w:r>
        <w:rPr>
          <w:color w:val="000000"/>
          <w:sz w:val="20"/>
          <w:szCs w:val="20"/>
        </w:rPr>
        <w:t>H. Radiation dose optimization research: Exposure technique approaches in CR imaging–A literature review. Radiography. 2013;19(4):331-338.</w:t>
      </w:r>
    </w:p>
    <w:p w14:paraId="546411B5" w14:textId="77777777" w:rsidR="004B6321" w:rsidRDefault="00AC7D7F">
      <w:pPr>
        <w:numPr>
          <w:ilvl w:val="0"/>
          <w:numId w:val="2"/>
        </w:numPr>
        <w:pBdr>
          <w:top w:val="nil"/>
          <w:left w:val="nil"/>
          <w:bottom w:val="nil"/>
          <w:right w:val="nil"/>
          <w:between w:val="nil"/>
        </w:pBdr>
        <w:tabs>
          <w:tab w:val="left" w:pos="563"/>
        </w:tabs>
        <w:spacing w:before="2"/>
        <w:jc w:val="both"/>
        <w:rPr>
          <w:color w:val="000000"/>
        </w:rPr>
      </w:pPr>
      <w:r>
        <w:rPr>
          <w:color w:val="000000"/>
          <w:sz w:val="20"/>
          <w:szCs w:val="20"/>
        </w:rPr>
        <w:t xml:space="preserve">Alvarez M, Milani AL, Souza SP, Marques TGS, Silva MAA, </w:t>
      </w:r>
      <w:proofErr w:type="spellStart"/>
      <w:r>
        <w:rPr>
          <w:color w:val="000000"/>
          <w:sz w:val="20"/>
          <w:szCs w:val="20"/>
        </w:rPr>
        <w:t>Guassu</w:t>
      </w:r>
      <w:proofErr w:type="spellEnd"/>
      <w:r>
        <w:rPr>
          <w:color w:val="000000"/>
          <w:sz w:val="20"/>
          <w:szCs w:val="20"/>
        </w:rPr>
        <w:t xml:space="preserve"> RAC, Bucci J, Matsuki GB, Pina DR de, Alves AFF. Effective Dose and Dose Reference Level (DRL) in radiology at a tertiary hospital. Brazilian Journal of Medical Physics. 2022; 16: 678-678. Portuguese.</w:t>
      </w:r>
    </w:p>
    <w:p w14:paraId="1E083FFF" w14:textId="77777777" w:rsidR="004B6321" w:rsidRDefault="00AC7D7F">
      <w:pPr>
        <w:numPr>
          <w:ilvl w:val="0"/>
          <w:numId w:val="2"/>
        </w:numPr>
        <w:pBdr>
          <w:top w:val="nil"/>
          <w:left w:val="nil"/>
          <w:bottom w:val="nil"/>
          <w:right w:val="nil"/>
          <w:between w:val="nil"/>
        </w:pBdr>
        <w:tabs>
          <w:tab w:val="left" w:pos="563"/>
        </w:tabs>
        <w:jc w:val="both"/>
        <w:rPr>
          <w:color w:val="000000"/>
        </w:rPr>
      </w:pPr>
      <w:r>
        <w:rPr>
          <w:color w:val="000000"/>
          <w:sz w:val="20"/>
          <w:szCs w:val="20"/>
        </w:rPr>
        <w:t>Diop AY, Diagne M, Faye NAB, Dieng MM. Establishment of local diagnostic reference levels in conventional radiography: A pilot study in Dakar, Senegal. World Journal of Nuclear Science and Technology. 2022;12(1):28-42.</w:t>
      </w:r>
    </w:p>
    <w:p w14:paraId="3D8BDB0D" w14:textId="77777777" w:rsidR="004B6321" w:rsidRDefault="00AC7D7F">
      <w:pPr>
        <w:numPr>
          <w:ilvl w:val="0"/>
          <w:numId w:val="2"/>
        </w:numPr>
        <w:pBdr>
          <w:top w:val="nil"/>
          <w:left w:val="nil"/>
          <w:bottom w:val="nil"/>
          <w:right w:val="nil"/>
          <w:between w:val="nil"/>
        </w:pBdr>
        <w:tabs>
          <w:tab w:val="left" w:pos="563"/>
        </w:tabs>
        <w:ind w:right="1"/>
        <w:jc w:val="both"/>
        <w:rPr>
          <w:color w:val="000000"/>
        </w:rPr>
      </w:pPr>
      <w:proofErr w:type="spellStart"/>
      <w:r>
        <w:rPr>
          <w:color w:val="000000"/>
          <w:sz w:val="20"/>
          <w:szCs w:val="20"/>
        </w:rPr>
        <w:t>Anvisa</w:t>
      </w:r>
      <w:proofErr w:type="spellEnd"/>
      <w:r>
        <w:rPr>
          <w:color w:val="000000"/>
          <w:sz w:val="20"/>
          <w:szCs w:val="20"/>
        </w:rPr>
        <w:t xml:space="preserve"> - National Health Surveillance Agency (Brazil). Collegiate Board Resolution No. 330, of December 20, 2019, Official Gazette of the Union, Edition:  </w:t>
      </w:r>
      <w:proofErr w:type="gramStart"/>
      <w:r>
        <w:rPr>
          <w:color w:val="000000"/>
          <w:sz w:val="20"/>
          <w:szCs w:val="20"/>
        </w:rPr>
        <w:t>249,  Section</w:t>
      </w:r>
      <w:proofErr w:type="gramEnd"/>
      <w:r>
        <w:rPr>
          <w:color w:val="000000"/>
          <w:sz w:val="20"/>
          <w:szCs w:val="20"/>
        </w:rPr>
        <w:t>:  1,  Page:  92,</w:t>
      </w:r>
    </w:p>
    <w:p w14:paraId="395F4B27" w14:textId="77777777" w:rsidR="004B6321" w:rsidRDefault="00AC7D7F">
      <w:pPr>
        <w:pBdr>
          <w:top w:val="nil"/>
          <w:left w:val="nil"/>
          <w:bottom w:val="nil"/>
          <w:right w:val="nil"/>
          <w:between w:val="nil"/>
        </w:pBdr>
        <w:ind w:left="563" w:right="1"/>
        <w:jc w:val="both"/>
        <w:rPr>
          <w:color w:val="000000"/>
          <w:sz w:val="20"/>
          <w:szCs w:val="20"/>
        </w:rPr>
      </w:pPr>
      <w:r>
        <w:rPr>
          <w:color w:val="000000"/>
          <w:sz w:val="20"/>
          <w:szCs w:val="20"/>
        </w:rPr>
        <w:t>Published on: December 26, 2019. Portuguese.</w:t>
      </w:r>
    </w:p>
    <w:p w14:paraId="17D2F14F" w14:textId="77777777" w:rsidR="004B6321" w:rsidRDefault="00AC7D7F">
      <w:pPr>
        <w:numPr>
          <w:ilvl w:val="0"/>
          <w:numId w:val="2"/>
        </w:numPr>
        <w:pBdr>
          <w:top w:val="nil"/>
          <w:left w:val="nil"/>
          <w:bottom w:val="nil"/>
          <w:right w:val="nil"/>
          <w:between w:val="nil"/>
        </w:pBdr>
        <w:tabs>
          <w:tab w:val="left" w:pos="563"/>
        </w:tabs>
        <w:jc w:val="both"/>
        <w:rPr>
          <w:color w:val="000000"/>
        </w:rPr>
      </w:pPr>
      <w:proofErr w:type="spellStart"/>
      <w:r>
        <w:rPr>
          <w:color w:val="000000"/>
          <w:sz w:val="20"/>
          <w:szCs w:val="20"/>
        </w:rPr>
        <w:t>Anvisa</w:t>
      </w:r>
      <w:proofErr w:type="spellEnd"/>
      <w:r>
        <w:rPr>
          <w:color w:val="000000"/>
          <w:sz w:val="20"/>
          <w:szCs w:val="20"/>
        </w:rPr>
        <w:t xml:space="preserve"> - National Health Surveillance Agency (Brazil). Normative Instruction - in No. 90, of May 27, 2021, Official Gazette of the Union, Edition: 101, Section: 1, Page: 149, Published on: May 31, 2021. Portuguese.</w:t>
      </w:r>
    </w:p>
    <w:p w14:paraId="12802AE2" w14:textId="77777777" w:rsidR="004B6321" w:rsidRDefault="00AC7D7F">
      <w:pPr>
        <w:numPr>
          <w:ilvl w:val="0"/>
          <w:numId w:val="2"/>
        </w:numPr>
        <w:pBdr>
          <w:top w:val="nil"/>
          <w:left w:val="nil"/>
          <w:bottom w:val="nil"/>
          <w:right w:val="nil"/>
          <w:between w:val="nil"/>
        </w:pBdr>
        <w:tabs>
          <w:tab w:val="left" w:pos="561"/>
          <w:tab w:val="left" w:pos="563"/>
        </w:tabs>
        <w:spacing w:before="93"/>
        <w:ind w:right="22" w:hanging="541"/>
        <w:jc w:val="both"/>
        <w:rPr>
          <w:color w:val="000000"/>
        </w:rPr>
      </w:pPr>
      <w:r>
        <w:rPr>
          <w:sz w:val="20"/>
          <w:szCs w:val="20"/>
        </w:rPr>
        <w:t>Abela N, Couto JG, Zarb F, Mizzi D. Evaluating the use of anti-scatter grids in adult knee radiography. Radiography. 2022; 28(3): 663-667.</w:t>
      </w:r>
    </w:p>
    <w:p w14:paraId="59F9E901" w14:textId="77777777" w:rsidR="004B6321" w:rsidRDefault="00AC7D7F">
      <w:pPr>
        <w:numPr>
          <w:ilvl w:val="0"/>
          <w:numId w:val="2"/>
        </w:numPr>
        <w:tabs>
          <w:tab w:val="left" w:pos="561"/>
          <w:tab w:val="left" w:pos="563"/>
        </w:tabs>
        <w:spacing w:before="93"/>
        <w:ind w:right="24"/>
        <w:jc w:val="both"/>
      </w:pPr>
      <w:proofErr w:type="spellStart"/>
      <w:r>
        <w:rPr>
          <w:sz w:val="20"/>
          <w:szCs w:val="20"/>
        </w:rPr>
        <w:t>Abbeyquaye</w:t>
      </w:r>
      <w:proofErr w:type="spellEnd"/>
      <w:r>
        <w:rPr>
          <w:sz w:val="20"/>
          <w:szCs w:val="20"/>
        </w:rPr>
        <w:t xml:space="preserve"> D, </w:t>
      </w:r>
      <w:proofErr w:type="spellStart"/>
      <w:r>
        <w:rPr>
          <w:sz w:val="20"/>
          <w:szCs w:val="20"/>
        </w:rPr>
        <w:t>Inkoom</w:t>
      </w:r>
      <w:proofErr w:type="spellEnd"/>
      <w:r>
        <w:rPr>
          <w:sz w:val="20"/>
          <w:szCs w:val="20"/>
        </w:rPr>
        <w:t xml:space="preserve"> S, Hammond NB, Fletcher JJ, Botwe BO. Patient dose assessment and </w:t>
      </w:r>
      <w:proofErr w:type="spellStart"/>
      <w:r>
        <w:rPr>
          <w:sz w:val="20"/>
          <w:szCs w:val="20"/>
        </w:rPr>
        <w:t>optimisation</w:t>
      </w:r>
      <w:proofErr w:type="spellEnd"/>
      <w:r>
        <w:rPr>
          <w:sz w:val="20"/>
          <w:szCs w:val="20"/>
        </w:rPr>
        <w:t xml:space="preserve"> of pelvic radiography with computed radiography systems. Radiation protection dosimetry. 2021;195(1):41-49.</w:t>
      </w:r>
    </w:p>
    <w:p w14:paraId="636CC173" w14:textId="77777777" w:rsidR="004B6321" w:rsidRDefault="00AC7D7F">
      <w:pPr>
        <w:numPr>
          <w:ilvl w:val="0"/>
          <w:numId w:val="2"/>
        </w:numPr>
        <w:tabs>
          <w:tab w:val="left" w:pos="560"/>
          <w:tab w:val="left" w:pos="563"/>
        </w:tabs>
        <w:spacing w:before="93"/>
        <w:ind w:right="20"/>
        <w:jc w:val="both"/>
      </w:pPr>
      <w:r>
        <w:rPr>
          <w:sz w:val="20"/>
          <w:szCs w:val="20"/>
        </w:rPr>
        <w:t xml:space="preserve">Metaxas VI, </w:t>
      </w:r>
      <w:proofErr w:type="spellStart"/>
      <w:r>
        <w:rPr>
          <w:sz w:val="20"/>
          <w:szCs w:val="20"/>
        </w:rPr>
        <w:t>Messaris</w:t>
      </w:r>
      <w:proofErr w:type="spellEnd"/>
      <w:r>
        <w:rPr>
          <w:sz w:val="20"/>
          <w:szCs w:val="20"/>
        </w:rPr>
        <w:t xml:space="preserve"> GA, </w:t>
      </w:r>
      <w:proofErr w:type="spellStart"/>
      <w:r>
        <w:rPr>
          <w:sz w:val="20"/>
          <w:szCs w:val="20"/>
        </w:rPr>
        <w:t>Lekatou</w:t>
      </w:r>
      <w:proofErr w:type="spellEnd"/>
      <w:r>
        <w:rPr>
          <w:sz w:val="20"/>
          <w:szCs w:val="20"/>
        </w:rPr>
        <w:t xml:space="preserve"> AN, Petsas TG, </w:t>
      </w:r>
      <w:proofErr w:type="spellStart"/>
      <w:r>
        <w:rPr>
          <w:sz w:val="20"/>
          <w:szCs w:val="20"/>
        </w:rPr>
        <w:t>Panayiotakis</w:t>
      </w:r>
      <w:proofErr w:type="spellEnd"/>
      <w:r>
        <w:rPr>
          <w:sz w:val="20"/>
          <w:szCs w:val="20"/>
        </w:rPr>
        <w:t xml:space="preserve"> GS. Patient doses in common diagnostic X-ray examinations. Radiation protection dosimetry. 2019;184(1):12-27.</w:t>
      </w:r>
    </w:p>
    <w:p w14:paraId="5E463CCE" w14:textId="77777777" w:rsidR="004B6321" w:rsidRDefault="00AC7D7F">
      <w:pPr>
        <w:numPr>
          <w:ilvl w:val="0"/>
          <w:numId w:val="2"/>
        </w:numPr>
        <w:tabs>
          <w:tab w:val="left" w:pos="560"/>
          <w:tab w:val="left" w:pos="563"/>
        </w:tabs>
        <w:spacing w:before="2"/>
        <w:ind w:right="23"/>
        <w:jc w:val="both"/>
      </w:pPr>
      <w:r>
        <w:rPr>
          <w:sz w:val="20"/>
          <w:szCs w:val="20"/>
        </w:rPr>
        <w:t xml:space="preserve">Xavier AM. Principles of Radiological Safety and Protection, 3rd Edition. Revised and Expanded, Federal University of Rio </w:t>
      </w:r>
      <w:proofErr w:type="gramStart"/>
      <w:r>
        <w:rPr>
          <w:sz w:val="20"/>
          <w:szCs w:val="20"/>
        </w:rPr>
        <w:t>Grande  do</w:t>
      </w:r>
      <w:proofErr w:type="gramEnd"/>
      <w:r>
        <w:rPr>
          <w:sz w:val="20"/>
          <w:szCs w:val="20"/>
        </w:rPr>
        <w:t xml:space="preserve">  Sul  and  National Nuclear Energy Commission, 2014. Portuguese.</w:t>
      </w:r>
    </w:p>
    <w:p w14:paraId="4797977B" w14:textId="77777777" w:rsidR="004B6321" w:rsidRDefault="00AC7D7F">
      <w:pPr>
        <w:numPr>
          <w:ilvl w:val="0"/>
          <w:numId w:val="2"/>
        </w:numPr>
        <w:tabs>
          <w:tab w:val="left" w:pos="560"/>
          <w:tab w:val="left" w:pos="563"/>
        </w:tabs>
        <w:spacing w:before="93"/>
        <w:ind w:right="21"/>
        <w:jc w:val="both"/>
      </w:pPr>
      <w:r>
        <w:rPr>
          <w:sz w:val="20"/>
          <w:szCs w:val="20"/>
        </w:rPr>
        <w:t xml:space="preserve">Dance DR, </w:t>
      </w:r>
      <w:proofErr w:type="spellStart"/>
      <w:r>
        <w:rPr>
          <w:sz w:val="20"/>
          <w:szCs w:val="20"/>
        </w:rPr>
        <w:t>Christofides</w:t>
      </w:r>
      <w:proofErr w:type="spellEnd"/>
      <w:r>
        <w:rPr>
          <w:sz w:val="20"/>
          <w:szCs w:val="20"/>
        </w:rPr>
        <w:t xml:space="preserve"> S, Maidment ADA, McLean ID, Ng KH Diagnostic radiology physics: A handbook for teachers and students. Endorsed by: American association of physicists in medicine, Asia </w:t>
      </w:r>
      <w:proofErr w:type="spellStart"/>
      <w:r>
        <w:rPr>
          <w:sz w:val="20"/>
          <w:szCs w:val="20"/>
        </w:rPr>
        <w:t>oceania</w:t>
      </w:r>
      <w:proofErr w:type="spellEnd"/>
      <w:r>
        <w:rPr>
          <w:sz w:val="20"/>
          <w:szCs w:val="20"/>
        </w:rPr>
        <w:t xml:space="preserve"> federation of organizations for medical physics, European federation of organizations for medical physics; 2014.</w:t>
      </w:r>
    </w:p>
    <w:p w14:paraId="1D9B3210" w14:textId="77777777" w:rsidR="004B6321" w:rsidRDefault="00AC7D7F">
      <w:pPr>
        <w:numPr>
          <w:ilvl w:val="0"/>
          <w:numId w:val="2"/>
        </w:numPr>
        <w:tabs>
          <w:tab w:val="left" w:pos="560"/>
          <w:tab w:val="left" w:pos="563"/>
        </w:tabs>
        <w:spacing w:before="93"/>
        <w:ind w:right="24"/>
        <w:jc w:val="both"/>
      </w:pPr>
      <w:proofErr w:type="spellStart"/>
      <w:r>
        <w:rPr>
          <w:sz w:val="20"/>
          <w:szCs w:val="20"/>
        </w:rPr>
        <w:t>Tompe</w:t>
      </w:r>
      <w:proofErr w:type="spellEnd"/>
      <w:r>
        <w:rPr>
          <w:sz w:val="20"/>
          <w:szCs w:val="20"/>
        </w:rPr>
        <w:t xml:space="preserve"> A, </w:t>
      </w:r>
      <w:proofErr w:type="spellStart"/>
      <w:r>
        <w:rPr>
          <w:sz w:val="20"/>
          <w:szCs w:val="20"/>
        </w:rPr>
        <w:t>Sargar</w:t>
      </w:r>
      <w:proofErr w:type="spellEnd"/>
      <w:r>
        <w:rPr>
          <w:sz w:val="20"/>
          <w:szCs w:val="20"/>
        </w:rPr>
        <w:t xml:space="preserve"> K. X-ray image quality assurance; 2020.</w:t>
      </w:r>
    </w:p>
    <w:p w14:paraId="65DC4443" w14:textId="77777777" w:rsidR="004B6321" w:rsidRDefault="00AC7D7F">
      <w:pPr>
        <w:numPr>
          <w:ilvl w:val="0"/>
          <w:numId w:val="2"/>
        </w:numPr>
        <w:tabs>
          <w:tab w:val="left" w:pos="560"/>
          <w:tab w:val="left" w:pos="563"/>
          <w:tab w:val="left" w:pos="2314"/>
          <w:tab w:val="left" w:pos="3703"/>
        </w:tabs>
        <w:spacing w:before="93"/>
        <w:ind w:right="22"/>
        <w:jc w:val="both"/>
      </w:pPr>
      <w:r>
        <w:rPr>
          <w:sz w:val="20"/>
          <w:szCs w:val="20"/>
        </w:rPr>
        <w:t>Brazil. Ministry of Health. National Health Surveillance</w:t>
      </w:r>
      <w:r>
        <w:rPr>
          <w:sz w:val="20"/>
          <w:szCs w:val="20"/>
        </w:rPr>
        <w:tab/>
        <w:t>Agency.</w:t>
      </w:r>
      <w:r>
        <w:rPr>
          <w:sz w:val="20"/>
          <w:szCs w:val="20"/>
        </w:rPr>
        <w:tab/>
        <w:t>Medical Radiodiagnosis: Equipment performance and safety, Brasília: Ministry of Health, (Series A. Standards and Technical Manuals). Portuguese. 2005;</w:t>
      </w:r>
      <w:proofErr w:type="gramStart"/>
      <w:r>
        <w:rPr>
          <w:sz w:val="20"/>
          <w:szCs w:val="20"/>
        </w:rPr>
        <w:t>104 .</w:t>
      </w:r>
      <w:proofErr w:type="gramEnd"/>
    </w:p>
    <w:p w14:paraId="4E339DDF" w14:textId="77777777" w:rsidR="004B6321" w:rsidRDefault="00AC7D7F">
      <w:pPr>
        <w:numPr>
          <w:ilvl w:val="0"/>
          <w:numId w:val="2"/>
        </w:numPr>
        <w:tabs>
          <w:tab w:val="left" w:pos="560"/>
          <w:tab w:val="left" w:pos="563"/>
        </w:tabs>
        <w:spacing w:before="1"/>
        <w:ind w:right="25"/>
        <w:jc w:val="both"/>
      </w:pPr>
      <w:r>
        <w:rPr>
          <w:sz w:val="20"/>
          <w:szCs w:val="20"/>
        </w:rPr>
        <w:t>Suliman II. Estimates of patient radiation doses in digital radiography using DICOM information at a large teaching hospital in Oman. Journal of digital imaging. 2020;33(1):64-70.</w:t>
      </w:r>
    </w:p>
    <w:p w14:paraId="2D3C648E" w14:textId="77777777" w:rsidR="004B6321" w:rsidRDefault="00AC7D7F">
      <w:pPr>
        <w:numPr>
          <w:ilvl w:val="0"/>
          <w:numId w:val="2"/>
        </w:numPr>
        <w:tabs>
          <w:tab w:val="left" w:pos="560"/>
          <w:tab w:val="left" w:pos="563"/>
        </w:tabs>
        <w:spacing w:before="93"/>
        <w:ind w:right="22"/>
        <w:jc w:val="both"/>
      </w:pPr>
      <w:r>
        <w:rPr>
          <w:sz w:val="20"/>
          <w:szCs w:val="20"/>
        </w:rPr>
        <w:t xml:space="preserve">Talbot A. Analysis of data relating to the updating of diagnostic reference levels in radiology and nuclear medicine. Assessment. </w:t>
      </w:r>
      <w:proofErr w:type="gramStart"/>
      <w:r>
        <w:rPr>
          <w:sz w:val="20"/>
          <w:szCs w:val="20"/>
        </w:rPr>
        <w:t>2004;2006:2008</w:t>
      </w:r>
      <w:proofErr w:type="gramEnd"/>
      <w:r>
        <w:rPr>
          <w:sz w:val="20"/>
          <w:szCs w:val="20"/>
        </w:rPr>
        <w:t>-02. French.</w:t>
      </w:r>
    </w:p>
    <w:p w14:paraId="00EA6EB0" w14:textId="77777777" w:rsidR="004B6321" w:rsidRDefault="00AC7D7F">
      <w:pPr>
        <w:numPr>
          <w:ilvl w:val="0"/>
          <w:numId w:val="2"/>
        </w:numPr>
        <w:tabs>
          <w:tab w:val="left" w:pos="560"/>
          <w:tab w:val="left" w:pos="563"/>
        </w:tabs>
        <w:spacing w:before="93"/>
        <w:ind w:right="22"/>
        <w:jc w:val="both"/>
      </w:pPr>
      <w:r>
        <w:rPr>
          <w:sz w:val="20"/>
          <w:szCs w:val="20"/>
        </w:rPr>
        <w:t>Wall BF. Implementation of DRLs in the UK. Radiation Protection Dosimetry. 2005;114(1-3):183-187.</w:t>
      </w:r>
    </w:p>
    <w:p w14:paraId="3CA4F3E9" w14:textId="77777777" w:rsidR="004B6321" w:rsidRDefault="00AC7D7F">
      <w:pPr>
        <w:numPr>
          <w:ilvl w:val="0"/>
          <w:numId w:val="2"/>
        </w:numPr>
        <w:tabs>
          <w:tab w:val="left" w:pos="560"/>
          <w:tab w:val="left" w:pos="563"/>
        </w:tabs>
        <w:spacing w:before="93"/>
        <w:ind w:right="23"/>
        <w:jc w:val="both"/>
        <w:sectPr w:rsidR="004B6321">
          <w:type w:val="continuous"/>
          <w:pgSz w:w="11910" w:h="16840"/>
          <w:pgMar w:top="1000" w:right="1417" w:bottom="280" w:left="1417" w:header="1440" w:footer="1068" w:gutter="0"/>
          <w:cols w:space="720"/>
        </w:sectPr>
      </w:pPr>
      <w:r>
        <w:rPr>
          <w:sz w:val="20"/>
          <w:szCs w:val="20"/>
        </w:rPr>
        <w:t>Hart D, Hillier MC, Wall BF. National reference doses for common radiographic, fluoroscopic and dental X-ray examinations in the UK. The British journal of radiology. 2009;82(973):1-12.</w:t>
      </w:r>
    </w:p>
    <w:p w14:paraId="1F2DFE4D" w14:textId="77777777" w:rsidR="004B6321" w:rsidRDefault="00AC7D7F">
      <w:pPr>
        <w:numPr>
          <w:ilvl w:val="0"/>
          <w:numId w:val="2"/>
        </w:numPr>
        <w:pBdr>
          <w:top w:val="nil"/>
          <w:left w:val="nil"/>
          <w:bottom w:val="nil"/>
          <w:right w:val="nil"/>
          <w:between w:val="nil"/>
        </w:pBdr>
        <w:tabs>
          <w:tab w:val="left" w:pos="561"/>
          <w:tab w:val="left" w:pos="563"/>
        </w:tabs>
        <w:spacing w:before="93"/>
        <w:jc w:val="both"/>
        <w:rPr>
          <w:color w:val="000000"/>
        </w:rPr>
      </w:pPr>
      <w:r>
        <w:rPr>
          <w:color w:val="000000"/>
          <w:sz w:val="20"/>
          <w:szCs w:val="20"/>
        </w:rPr>
        <w:t>Compagnone G, Pagan L, Bergamini C. Local diagnostic reference levels in standard X-ray examinations. Radiation Protection Dosimetry. 2005;113(1):54-63.</w:t>
      </w:r>
    </w:p>
    <w:p w14:paraId="428187F2" w14:textId="77777777" w:rsidR="004B6321" w:rsidRDefault="00AC7D7F">
      <w:pPr>
        <w:numPr>
          <w:ilvl w:val="0"/>
          <w:numId w:val="2"/>
        </w:numPr>
        <w:pBdr>
          <w:top w:val="nil"/>
          <w:left w:val="nil"/>
          <w:bottom w:val="nil"/>
          <w:right w:val="nil"/>
          <w:between w:val="nil"/>
        </w:pBdr>
        <w:tabs>
          <w:tab w:val="left" w:pos="560"/>
          <w:tab w:val="left" w:pos="563"/>
        </w:tabs>
        <w:spacing w:before="93"/>
        <w:ind w:right="25" w:hanging="541"/>
        <w:jc w:val="both"/>
        <w:rPr>
          <w:color w:val="000000"/>
        </w:rPr>
      </w:pPr>
      <w:r>
        <w:rPr>
          <w:color w:val="000000"/>
          <w:sz w:val="20"/>
          <w:szCs w:val="20"/>
        </w:rPr>
        <w:t>Yonekura Y. Diagnostic reference levels based on latest surveys in Japan. Japan DRLs Report; 2015.</w:t>
      </w:r>
    </w:p>
    <w:sectPr w:rsidR="004B6321">
      <w:type w:val="continuous"/>
      <w:pgSz w:w="11910" w:h="16840"/>
      <w:pgMar w:top="1000" w:right="1417" w:bottom="280" w:left="1417" w:header="1440" w:footer="1068" w:gutter="0"/>
      <w:cols w:space="720" w:equalWidth="0">
        <w:col w:w="9071"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912B2" w14:textId="77777777" w:rsidR="005C6263" w:rsidRDefault="005C6263">
      <w:r>
        <w:separator/>
      </w:r>
    </w:p>
  </w:endnote>
  <w:endnote w:type="continuationSeparator" w:id="0">
    <w:p w14:paraId="65C07C48" w14:textId="77777777" w:rsidR="005C6263" w:rsidRDefault="005C6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00D8" w14:textId="77777777" w:rsidR="00174F2E" w:rsidRDefault="00174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7CC1" w14:textId="77777777" w:rsidR="00174F2E" w:rsidRDefault="00174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60BED" w14:textId="77777777" w:rsidR="00174F2E" w:rsidRDefault="00174F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892D" w14:textId="77777777" w:rsidR="004B6321" w:rsidRDefault="00AC7D7F">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6406B475" wp14:editId="7045CAB0">
              <wp:simplePos x="0" y="0"/>
              <wp:positionH relativeFrom="column">
                <wp:posOffset>2755900</wp:posOffset>
              </wp:positionH>
              <wp:positionV relativeFrom="paragraph">
                <wp:posOffset>9855200</wp:posOffset>
              </wp:positionV>
              <wp:extent cx="238760" cy="176530"/>
              <wp:effectExtent l="0" t="0" r="0" b="0"/>
              <wp:wrapNone/>
              <wp:docPr id="3" name="Rectangle 3"/>
              <wp:cNvGraphicFramePr/>
              <a:graphic xmlns:a="http://schemas.openxmlformats.org/drawingml/2006/main">
                <a:graphicData uri="http://schemas.microsoft.com/office/word/2010/wordprocessingShape">
                  <wps:wsp>
                    <wps:cNvSpPr/>
                    <wps:spPr>
                      <a:xfrm>
                        <a:off x="5231383" y="3696498"/>
                        <a:ext cx="229235" cy="167005"/>
                      </a:xfrm>
                      <a:prstGeom prst="rect">
                        <a:avLst/>
                      </a:prstGeom>
                      <a:noFill/>
                      <a:ln>
                        <a:noFill/>
                      </a:ln>
                    </wps:spPr>
                    <wps:txbx>
                      <w:txbxContent>
                        <w:p w14:paraId="2FA83DA1" w14:textId="77777777" w:rsidR="004B6321" w:rsidRDefault="00AC7D7F">
                          <w:pPr>
                            <w:spacing w:before="12"/>
                            <w:ind w:left="60"/>
                            <w:textDirection w:val="btLr"/>
                          </w:pPr>
                          <w:r>
                            <w:rPr>
                              <w:color w:val="000000"/>
                              <w:sz w:val="20"/>
                            </w:rPr>
                            <w:t xml:space="preserve"> PAGE 66</w:t>
                          </w:r>
                        </w:p>
                      </w:txbxContent>
                    </wps:txbx>
                    <wps:bodyPr spcFirstLastPara="1" wrap="square" lIns="0" tIns="0" rIns="0" bIns="0" anchor="t" anchorCtr="0">
                      <a:noAutofit/>
                    </wps:bodyPr>
                  </wps:wsp>
                </a:graphicData>
              </a:graphic>
            </wp:anchor>
          </w:drawing>
        </mc:Choice>
        <mc:Fallback>
          <w:pict>
            <v:rect w14:anchorId="6406B475" id="Rectangle 3" o:spid="_x0000_s1026" style="position:absolute;margin-left:217pt;margin-top:776pt;width:18.8pt;height:13.9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" filled="f" stroked="f">
              <v:textbox inset="0,0,0,0">
                <w:txbxContent>
                  <w:p w14:paraId="2FA83DA1" w14:textId="77777777" w:rsidR="004B6321" w:rsidRDefault="00AC7D7F">
                    <w:pPr>
                      <w:spacing w:before="12"/>
                      <w:ind w:left="60"/>
                      <w:textDirection w:val="btLr"/>
                    </w:pPr>
                    <w:r>
                      <w:rPr>
                        <w:color w:val="000000"/>
                        <w:sz w:val="20"/>
                      </w:rPr>
                      <w:t xml:space="preserve"> PAGE 66</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EB656" w14:textId="77777777" w:rsidR="005C6263" w:rsidRDefault="005C6263">
      <w:r>
        <w:separator/>
      </w:r>
    </w:p>
  </w:footnote>
  <w:footnote w:type="continuationSeparator" w:id="0">
    <w:p w14:paraId="756CAB9A" w14:textId="77777777" w:rsidR="005C6263" w:rsidRDefault="005C6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AF5C" w14:textId="77777777" w:rsidR="00174F2E" w:rsidRDefault="005C6263">
    <w:pPr>
      <w:pStyle w:val="Header"/>
    </w:pPr>
    <w:r>
      <w:rPr>
        <w:noProof/>
      </w:rPr>
      <w:pict w14:anchorId="24D348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64501" o:spid="_x0000_s2050" type="#_x0000_t136" style="position:absolute;margin-left:0;margin-top:0;width:575.75pt;height:63.95pt;rotation:315;z-index:-251654144;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8FBE" w14:textId="77777777" w:rsidR="00174F2E" w:rsidRDefault="005C6263">
    <w:pPr>
      <w:pStyle w:val="Header"/>
    </w:pPr>
    <w:r>
      <w:rPr>
        <w:noProof/>
      </w:rPr>
      <w:pict w14:anchorId="5898EF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64502" o:spid="_x0000_s2051" type="#_x0000_t136" style="position:absolute;margin-left:0;margin-top:0;width:575.75pt;height:63.95pt;rotation:315;z-index:-25165209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9290" w14:textId="77777777" w:rsidR="00174F2E" w:rsidRDefault="005C6263">
    <w:pPr>
      <w:pStyle w:val="Header"/>
    </w:pPr>
    <w:r>
      <w:rPr>
        <w:noProof/>
      </w:rPr>
      <w:pict w14:anchorId="7E1C0C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64500" o:spid="_x0000_s2049" type="#_x0000_t136" style="position:absolute;margin-left:0;margin-top:0;width:575.75pt;height:63.95pt;rotation:315;z-index:-251656192;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9C9F" w14:textId="77777777" w:rsidR="00174F2E" w:rsidRDefault="005C6263">
    <w:pPr>
      <w:pStyle w:val="Header"/>
    </w:pPr>
    <w:r>
      <w:rPr>
        <w:noProof/>
      </w:rPr>
      <w:pict w14:anchorId="1528C4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64504" o:spid="_x0000_s2053" type="#_x0000_t136" style="position:absolute;margin-left:0;margin-top:0;width:575.75pt;height:63.95pt;rotation:315;z-index:-25164800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BC2B" w14:textId="77777777" w:rsidR="004B6321" w:rsidRDefault="005C6263">
    <w:pPr>
      <w:pBdr>
        <w:top w:val="nil"/>
        <w:left w:val="nil"/>
        <w:bottom w:val="nil"/>
        <w:right w:val="nil"/>
        <w:between w:val="nil"/>
      </w:pBdr>
      <w:spacing w:line="14" w:lineRule="auto"/>
      <w:rPr>
        <w:color w:val="000000"/>
        <w:sz w:val="20"/>
        <w:szCs w:val="20"/>
      </w:rPr>
    </w:pPr>
    <w:r>
      <w:rPr>
        <w:noProof/>
      </w:rPr>
      <w:pict w14:anchorId="5812CB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64505" o:spid="_x0000_s2054" type="#_x0000_t136" style="position:absolute;margin-left:0;margin-top:0;width:575.75pt;height:63.95pt;rotation:315;z-index:-251645952;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DDB3" w14:textId="77777777" w:rsidR="00174F2E" w:rsidRDefault="005C6263">
    <w:pPr>
      <w:pStyle w:val="Header"/>
    </w:pPr>
    <w:r>
      <w:rPr>
        <w:noProof/>
      </w:rPr>
      <w:pict w14:anchorId="407DA8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64503" o:spid="_x0000_s2052" type="#_x0000_t136" style="position:absolute;margin-left:0;margin-top:0;width:575.75pt;height:63.95pt;rotation:315;z-index:-25165004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568F5"/>
    <w:multiLevelType w:val="multilevel"/>
    <w:tmpl w:val="86F01E22"/>
    <w:lvl w:ilvl="0">
      <w:start w:val="1"/>
      <w:numFmt w:val="decimal"/>
      <w:lvlText w:val="%1."/>
      <w:lvlJc w:val="left"/>
      <w:pPr>
        <w:ind w:left="563" w:hanging="540"/>
      </w:pPr>
      <w:rPr>
        <w:rFonts w:ascii="Arial" w:eastAsia="Arial" w:hAnsi="Arial" w:cs="Arial"/>
        <w:b w:val="0"/>
        <w:i w:val="0"/>
        <w:sz w:val="20"/>
        <w:szCs w:val="20"/>
      </w:rPr>
    </w:lvl>
    <w:lvl w:ilvl="1">
      <w:numFmt w:val="bullet"/>
      <w:lvlText w:val="•"/>
      <w:lvlJc w:val="left"/>
      <w:pPr>
        <w:ind w:left="943" w:hanging="540"/>
      </w:pPr>
    </w:lvl>
    <w:lvl w:ilvl="2">
      <w:numFmt w:val="bullet"/>
      <w:lvlText w:val="•"/>
      <w:lvlJc w:val="left"/>
      <w:pPr>
        <w:ind w:left="1326" w:hanging="540"/>
      </w:pPr>
    </w:lvl>
    <w:lvl w:ilvl="3">
      <w:numFmt w:val="bullet"/>
      <w:lvlText w:val="•"/>
      <w:lvlJc w:val="left"/>
      <w:pPr>
        <w:ind w:left="1709" w:hanging="540"/>
      </w:pPr>
    </w:lvl>
    <w:lvl w:ilvl="4">
      <w:numFmt w:val="bullet"/>
      <w:lvlText w:val="•"/>
      <w:lvlJc w:val="left"/>
      <w:pPr>
        <w:ind w:left="2092" w:hanging="540"/>
      </w:pPr>
    </w:lvl>
    <w:lvl w:ilvl="5">
      <w:numFmt w:val="bullet"/>
      <w:lvlText w:val="•"/>
      <w:lvlJc w:val="left"/>
      <w:pPr>
        <w:ind w:left="2476" w:hanging="540"/>
      </w:pPr>
    </w:lvl>
    <w:lvl w:ilvl="6">
      <w:numFmt w:val="bullet"/>
      <w:lvlText w:val="•"/>
      <w:lvlJc w:val="left"/>
      <w:pPr>
        <w:ind w:left="2859" w:hanging="540"/>
      </w:pPr>
    </w:lvl>
    <w:lvl w:ilvl="7">
      <w:numFmt w:val="bullet"/>
      <w:lvlText w:val="•"/>
      <w:lvlJc w:val="left"/>
      <w:pPr>
        <w:ind w:left="3242" w:hanging="540"/>
      </w:pPr>
    </w:lvl>
    <w:lvl w:ilvl="8">
      <w:numFmt w:val="bullet"/>
      <w:lvlText w:val="•"/>
      <w:lvlJc w:val="left"/>
      <w:pPr>
        <w:ind w:left="3625" w:hanging="540"/>
      </w:pPr>
    </w:lvl>
  </w:abstractNum>
  <w:abstractNum w:abstractNumId="1" w15:restartNumberingAfterBreak="0">
    <w:nsid w:val="364C2F39"/>
    <w:multiLevelType w:val="multilevel"/>
    <w:tmpl w:val="C9C2A97A"/>
    <w:lvl w:ilvl="0">
      <w:start w:val="1"/>
      <w:numFmt w:val="decimal"/>
      <w:lvlText w:val="%1."/>
      <w:lvlJc w:val="left"/>
      <w:pPr>
        <w:ind w:left="268" w:hanging="245"/>
      </w:pPr>
      <w:rPr>
        <w:rFonts w:ascii="Arial" w:eastAsia="Arial" w:hAnsi="Arial" w:cs="Arial"/>
        <w:b/>
        <w:i w:val="0"/>
        <w:sz w:val="22"/>
        <w:szCs w:val="22"/>
      </w:rPr>
    </w:lvl>
    <w:lvl w:ilvl="1">
      <w:start w:val="1"/>
      <w:numFmt w:val="decimal"/>
      <w:lvlText w:val="%1.%2"/>
      <w:lvlJc w:val="left"/>
      <w:pPr>
        <w:ind w:left="393" w:hanging="370"/>
      </w:pPr>
      <w:rPr>
        <w:rFonts w:ascii="Arial" w:eastAsia="Arial" w:hAnsi="Arial" w:cs="Arial"/>
        <w:b/>
        <w:i w:val="0"/>
        <w:sz w:val="22"/>
        <w:szCs w:val="22"/>
      </w:rPr>
    </w:lvl>
    <w:lvl w:ilvl="2">
      <w:numFmt w:val="bullet"/>
      <w:lvlText w:val="•"/>
      <w:lvlJc w:val="left"/>
      <w:pPr>
        <w:ind w:left="843" w:hanging="370"/>
      </w:pPr>
    </w:lvl>
    <w:lvl w:ilvl="3">
      <w:numFmt w:val="bullet"/>
      <w:lvlText w:val="•"/>
      <w:lvlJc w:val="left"/>
      <w:pPr>
        <w:ind w:left="1286" w:hanging="370"/>
      </w:pPr>
    </w:lvl>
    <w:lvl w:ilvl="4">
      <w:numFmt w:val="bullet"/>
      <w:lvlText w:val="•"/>
      <w:lvlJc w:val="left"/>
      <w:pPr>
        <w:ind w:left="1730" w:hanging="370"/>
      </w:pPr>
    </w:lvl>
    <w:lvl w:ilvl="5">
      <w:numFmt w:val="bullet"/>
      <w:lvlText w:val="•"/>
      <w:lvlJc w:val="left"/>
      <w:pPr>
        <w:ind w:left="2173" w:hanging="370"/>
      </w:pPr>
    </w:lvl>
    <w:lvl w:ilvl="6">
      <w:numFmt w:val="bullet"/>
      <w:lvlText w:val="•"/>
      <w:lvlJc w:val="left"/>
      <w:pPr>
        <w:ind w:left="2617" w:hanging="370"/>
      </w:pPr>
    </w:lvl>
    <w:lvl w:ilvl="7">
      <w:numFmt w:val="bullet"/>
      <w:lvlText w:val="•"/>
      <w:lvlJc w:val="left"/>
      <w:pPr>
        <w:ind w:left="3060" w:hanging="370"/>
      </w:pPr>
    </w:lvl>
    <w:lvl w:ilvl="8">
      <w:numFmt w:val="bullet"/>
      <w:lvlText w:val="•"/>
      <w:lvlJc w:val="left"/>
      <w:pPr>
        <w:ind w:left="3504" w:hanging="370"/>
      </w:pPr>
    </w:lvl>
  </w:abstractNum>
  <w:abstractNum w:abstractNumId="2" w15:restartNumberingAfterBreak="0">
    <w:nsid w:val="4BC8763A"/>
    <w:multiLevelType w:val="multilevel"/>
    <w:tmpl w:val="A01CD94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321"/>
    <w:rsid w:val="00174F2E"/>
    <w:rsid w:val="001A1B83"/>
    <w:rsid w:val="002E55B4"/>
    <w:rsid w:val="0042409E"/>
    <w:rsid w:val="004B6321"/>
    <w:rsid w:val="005C6263"/>
    <w:rsid w:val="00A8084C"/>
    <w:rsid w:val="00AC7D7F"/>
    <w:rsid w:val="00B526BD"/>
    <w:rsid w:val="00BE131A"/>
    <w:rsid w:val="00C941CA"/>
    <w:rsid w:val="00EB685D"/>
    <w:rsid w:val="00F23B56"/>
    <w:rsid w:val="00F60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2366FCC"/>
  <w15:docId w15:val="{923B94DF-6134-46ED-B46E-CD4707C7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23"/>
      <w:outlineLvl w:val="0"/>
    </w:pPr>
    <w:rPr>
      <w:b/>
    </w:rPr>
  </w:style>
  <w:style w:type="paragraph" w:styleId="Heading2">
    <w:name w:val="heading 2"/>
    <w:basedOn w:val="Normal"/>
    <w:next w:val="Normal"/>
    <w:uiPriority w:val="9"/>
    <w:semiHidden/>
    <w:unhideWhenUsed/>
    <w:qFormat/>
    <w:pPr>
      <w:spacing w:before="162"/>
      <w:ind w:left="390" w:hanging="367"/>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ind w:left="3554" w:right="18" w:hanging="2051"/>
      <w:jc w:val="both"/>
    </w:pPr>
    <w:rPr>
      <w:b/>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174F2E"/>
    <w:pPr>
      <w:tabs>
        <w:tab w:val="center" w:pos="4680"/>
        <w:tab w:val="right" w:pos="9360"/>
      </w:tabs>
    </w:pPr>
  </w:style>
  <w:style w:type="character" w:customStyle="1" w:styleId="HeaderChar">
    <w:name w:val="Header Char"/>
    <w:basedOn w:val="DefaultParagraphFont"/>
    <w:link w:val="Header"/>
    <w:uiPriority w:val="99"/>
    <w:rsid w:val="00174F2E"/>
  </w:style>
  <w:style w:type="paragraph" w:styleId="Footer">
    <w:name w:val="footer"/>
    <w:basedOn w:val="Normal"/>
    <w:link w:val="FooterChar"/>
    <w:uiPriority w:val="99"/>
    <w:unhideWhenUsed/>
    <w:rsid w:val="00174F2E"/>
    <w:pPr>
      <w:tabs>
        <w:tab w:val="center" w:pos="4680"/>
        <w:tab w:val="right" w:pos="9360"/>
      </w:tabs>
    </w:pPr>
  </w:style>
  <w:style w:type="character" w:customStyle="1" w:styleId="FooterChar">
    <w:name w:val="Footer Char"/>
    <w:basedOn w:val="DefaultParagraphFont"/>
    <w:link w:val="Footer"/>
    <w:uiPriority w:val="99"/>
    <w:rsid w:val="00174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5.pn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3899</Words>
  <Characters>22228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ikeogbonnaijeoma@outlook.com</cp:lastModifiedBy>
  <cp:revision>7</cp:revision>
  <dcterms:created xsi:type="dcterms:W3CDTF">2025-03-24T10:16:00Z</dcterms:created>
  <dcterms:modified xsi:type="dcterms:W3CDTF">2025-03-25T20:34:00Z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2024-10-25T00:00:00Z</vt:lpwstr>
  </property>
  <property fmtid="{D5CDD505-2E9C-101B-9397-08002B2CF9AE}" pid="3" name="Creator">
    <vt:lpwstr>Microsoft® Word 2019</vt:lpwstr>
  </property>
  <property fmtid="{D5CDD505-2E9C-101B-9397-08002B2CF9AE}" pid="4" name="LastSaved">
    <vt:lpwstr>2025-02-15T00:00:00Z</vt:lpwstr>
  </property>
  <property fmtid="{D5CDD505-2E9C-101B-9397-08002B2CF9AE}" pid="5" name="Producer">
    <vt:lpwstr>Microsoft® Word 2019</vt:lpwstr>
  </property>
</Properties>
</file>