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691C62" w14:paraId="1643A4CA" w14:textId="77777777" w:rsidTr="00691C6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91C6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91C62" w14:paraId="127EAD7E" w14:textId="77777777" w:rsidTr="00691C62">
        <w:trPr>
          <w:trHeight w:val="413"/>
        </w:trPr>
        <w:tc>
          <w:tcPr>
            <w:tcW w:w="1250" w:type="pct"/>
          </w:tcPr>
          <w:p w14:paraId="3C159AA5" w14:textId="77777777" w:rsidR="0000007A" w:rsidRPr="00691C6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91C6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908122" w:rsidR="0000007A" w:rsidRPr="00691C62" w:rsidRDefault="00EF5BE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91C62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691C62" w14:paraId="73C90375" w14:textId="77777777" w:rsidTr="00691C62">
        <w:trPr>
          <w:trHeight w:val="290"/>
        </w:trPr>
        <w:tc>
          <w:tcPr>
            <w:tcW w:w="1250" w:type="pct"/>
          </w:tcPr>
          <w:p w14:paraId="20D28135" w14:textId="77777777" w:rsidR="0000007A" w:rsidRPr="00691C6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C434651" w:rsidR="0000007A" w:rsidRPr="00691C6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5508B"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5146</w:t>
            </w:r>
          </w:p>
        </w:tc>
      </w:tr>
      <w:tr w:rsidR="0000007A" w:rsidRPr="00691C62" w14:paraId="05B60576" w14:textId="77777777" w:rsidTr="00691C62">
        <w:trPr>
          <w:trHeight w:val="331"/>
        </w:trPr>
        <w:tc>
          <w:tcPr>
            <w:tcW w:w="1250" w:type="pct"/>
          </w:tcPr>
          <w:p w14:paraId="0196A627" w14:textId="77777777" w:rsidR="0000007A" w:rsidRPr="00691C6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C8F011" w:rsidR="0000007A" w:rsidRPr="00691C62" w:rsidRDefault="00EF5BE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91C6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Functional Neurological Disorders and Psychogenic Nonepileptic Seizures: Neurologic Disease NOT a ‘Functional </w:t>
            </w:r>
            <w:proofErr w:type="spellStart"/>
            <w:r w:rsidRPr="00691C62">
              <w:rPr>
                <w:rFonts w:ascii="Arial" w:hAnsi="Arial" w:cs="Arial"/>
                <w:b/>
                <w:sz w:val="20"/>
                <w:szCs w:val="20"/>
                <w:lang w:val="en-GB"/>
              </w:rPr>
              <w:t>Etiology</w:t>
            </w:r>
            <w:proofErr w:type="spellEnd"/>
            <w:r w:rsidRPr="00691C62">
              <w:rPr>
                <w:rFonts w:ascii="Arial" w:hAnsi="Arial" w:cs="Arial"/>
                <w:b/>
                <w:sz w:val="20"/>
                <w:szCs w:val="20"/>
                <w:lang w:val="en-GB"/>
              </w:rPr>
              <w:t>’</w:t>
            </w:r>
          </w:p>
        </w:tc>
      </w:tr>
      <w:tr w:rsidR="00CF0BBB" w:rsidRPr="00691C62" w14:paraId="6D508B1C" w14:textId="77777777" w:rsidTr="00691C62">
        <w:trPr>
          <w:trHeight w:val="332"/>
        </w:trPr>
        <w:tc>
          <w:tcPr>
            <w:tcW w:w="1250" w:type="pct"/>
          </w:tcPr>
          <w:p w14:paraId="32FC28F7" w14:textId="77777777" w:rsidR="00CF0BBB" w:rsidRPr="00691C6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DBD8DF" w:rsidR="00CF0BBB" w:rsidRPr="00691C62" w:rsidRDefault="00EF5BE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91C6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91C6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91C6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91C6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91C6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91C6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91C6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91C6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91C6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91C6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48.4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8732E31" w:rsidR="00E03C32" w:rsidRDefault="00EF5BE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F5BE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Neurology and Psychiatric Disorders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F5BE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3(1): 103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D56B0DD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F5BE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EF5BED" w:rsidRPr="00D5295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http://www.scienceinquest.com/open-access/pdf/jnpd/functional-neurological-disorders-and-psychogenic-nonepileptic-seizures-neurologic-disease-not-a-functional-etiology.php</w:t>
                    </w:r>
                  </w:hyperlink>
                  <w:r w:rsidR="00EF5BE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91C6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91C6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91C6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91C6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91C6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1C6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1C6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91C6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1C6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91C6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91C6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1C6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91C6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91C6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91C6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1C62">
              <w:rPr>
                <w:rFonts w:ascii="Arial" w:hAnsi="Arial" w:cs="Arial"/>
                <w:lang w:val="en-GB"/>
              </w:rPr>
              <w:t>Author’s Feedback</w:t>
            </w:r>
            <w:r w:rsidRPr="00691C6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1C6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375BC" w:rsidRPr="00691C6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1375BC" w:rsidRPr="00691C62" w:rsidRDefault="001375BC" w:rsidP="001375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1375BC" w:rsidRPr="00691C62" w:rsidRDefault="001375BC" w:rsidP="001375B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33F5E4D" w14:textId="77777777" w:rsidR="001375BC" w:rsidRPr="00691C62" w:rsidRDefault="001375BC" w:rsidP="001375B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</w:rPr>
              <w:t>This is a very, very important issue. It has been controversial for many decades. Many patients are harmed who have seizure disorders that are not demonstrated on an EEG and are told they have “</w:t>
            </w:r>
            <w:proofErr w:type="spellStart"/>
            <w:r w:rsidRPr="00691C62">
              <w:rPr>
                <w:rFonts w:ascii="Arial" w:hAnsi="Arial" w:cs="Arial"/>
                <w:b/>
                <w:bCs/>
                <w:sz w:val="20"/>
                <w:szCs w:val="20"/>
              </w:rPr>
              <w:t>pseudoseizures</w:t>
            </w:r>
            <w:proofErr w:type="spellEnd"/>
            <w:r w:rsidRPr="00691C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.” The unfortunate tendency to label a clinical finding that is not supported by a test that is not a true gold standard as being FND and PNES is a very flawed concept, and this point needs to be emphasized. </w:t>
            </w: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DBC9196" w14:textId="01115A3D" w:rsidR="001375BC" w:rsidRPr="00691C62" w:rsidRDefault="001375BC" w:rsidP="001375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</w:t>
            </w: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62A339C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75BC" w:rsidRPr="00691C62" w14:paraId="0D8B5B2C" w14:textId="77777777" w:rsidTr="001375BC">
        <w:trPr>
          <w:trHeight w:val="827"/>
        </w:trPr>
        <w:tc>
          <w:tcPr>
            <w:tcW w:w="1265" w:type="pct"/>
            <w:noWrap/>
          </w:tcPr>
          <w:p w14:paraId="21CBA5FE" w14:textId="77777777" w:rsidR="001375BC" w:rsidRPr="00691C62" w:rsidRDefault="001375BC" w:rsidP="001375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1375BC" w:rsidRPr="00691C62" w:rsidRDefault="001375BC" w:rsidP="001375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BF745C" w:rsidR="001375BC" w:rsidRPr="00691C62" w:rsidRDefault="001375BC" w:rsidP="001375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05B6701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75BC" w:rsidRPr="00691C6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1375BC" w:rsidRPr="00691C62" w:rsidRDefault="001375BC" w:rsidP="001375B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1C6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DFA89D" w14:textId="77777777" w:rsidR="001375BC" w:rsidRPr="00691C62" w:rsidRDefault="001375BC" w:rsidP="001375B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</w:rPr>
              <w:t>Yes, however it is important to clarify the abbreviation FND and PNES in the Abstract. An adequate discussion on the term “</w:t>
            </w:r>
            <w:proofErr w:type="spellStart"/>
            <w:r w:rsidRPr="00691C62">
              <w:rPr>
                <w:rFonts w:ascii="Arial" w:hAnsi="Arial" w:cs="Arial"/>
                <w:b/>
                <w:bCs/>
                <w:sz w:val="20"/>
                <w:szCs w:val="20"/>
              </w:rPr>
              <w:t>pseudoseizures</w:t>
            </w:r>
            <w:proofErr w:type="spellEnd"/>
            <w:r w:rsidRPr="00691C62">
              <w:rPr>
                <w:rFonts w:ascii="Arial" w:hAnsi="Arial" w:cs="Arial"/>
                <w:b/>
                <w:bCs/>
                <w:sz w:val="20"/>
                <w:szCs w:val="20"/>
              </w:rPr>
              <w:t>,” would be helpful.  </w:t>
            </w: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FB7E83A" w14:textId="37548769" w:rsidR="001375BC" w:rsidRPr="00691C62" w:rsidRDefault="001375BC" w:rsidP="001375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1D54B730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75BC" w:rsidRPr="00691C6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1375BC" w:rsidRPr="00691C62" w:rsidRDefault="001375BC" w:rsidP="001375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0DB8676" w:rsidR="001375BC" w:rsidRPr="00691C62" w:rsidRDefault="001375BC" w:rsidP="001375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898F764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75BC" w:rsidRPr="00691C6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1375BC" w:rsidRPr="00691C62" w:rsidRDefault="001375BC" w:rsidP="001375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1375BC" w:rsidRPr="00691C62" w:rsidRDefault="001375BC" w:rsidP="001375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08230F7" w14:textId="77777777" w:rsidR="001375BC" w:rsidRPr="00691C62" w:rsidRDefault="001375BC" w:rsidP="001375B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would like to see more attention and references on the point that many patients with “psychogenic seizures” improve from treatment with anticonvulsant treatment. </w:t>
            </w: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4FE0567" w14:textId="6C7A34C0" w:rsidR="001375BC" w:rsidRPr="00691C62" w:rsidRDefault="001375BC" w:rsidP="001375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There has been some research demonstrating intracranial monitoring can demonstrate seizure activity that is not demonstrated with commonly used EEG monitoring with scalp leads. </w:t>
            </w:r>
          </w:p>
        </w:tc>
        <w:tc>
          <w:tcPr>
            <w:tcW w:w="1523" w:type="pct"/>
          </w:tcPr>
          <w:p w14:paraId="40220055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375BC" w:rsidRPr="00691C6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1375BC" w:rsidRPr="00691C62" w:rsidRDefault="001375BC" w:rsidP="001375B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1C6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1375BC" w:rsidRPr="00691C62" w:rsidRDefault="001375BC" w:rsidP="001375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5A1B820" w14:textId="77777777" w:rsidR="001375BC" w:rsidRPr="00691C62" w:rsidRDefault="001375BC" w:rsidP="001375B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218901" w14:textId="77777777" w:rsidR="001375BC" w:rsidRPr="00691C62" w:rsidRDefault="001375BC" w:rsidP="001375B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1C62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49A6CEF" w14:textId="70C08656" w:rsidR="001375BC" w:rsidRPr="00691C62" w:rsidRDefault="001375BC" w:rsidP="001375B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0351CA58" w14:textId="77777777" w:rsidR="001375BC" w:rsidRPr="00691C62" w:rsidRDefault="001375BC" w:rsidP="001375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375BC" w:rsidRPr="00691C6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1C6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1C6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1C6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1375BC" w:rsidRPr="00691C62" w:rsidRDefault="001375BC" w:rsidP="001375B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62D29A7" w14:textId="6600F162" w:rsidR="001375BC" w:rsidRPr="00691C62" w:rsidRDefault="001375BC" w:rsidP="001375B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  <w:r w:rsidRPr="00691C62">
              <w:rPr>
                <w:rFonts w:ascii="Arial" w:hAnsi="Arial" w:cs="Arial"/>
                <w:sz w:val="20"/>
                <w:szCs w:val="20"/>
                <w:lang w:val="en-GB"/>
              </w:rPr>
              <w:t>Excellent article. Refer to specific comments above.</w:t>
            </w: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DA3E0EE" w14:textId="77777777" w:rsidR="001375BC" w:rsidRPr="00691C62" w:rsidRDefault="001375BC" w:rsidP="001375B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5DFD0E8" w14:textId="42F8EE91" w:rsidR="001375BC" w:rsidRPr="00691C62" w:rsidRDefault="001375BC" w:rsidP="001375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65E098E" w14:textId="77777777" w:rsidR="001375BC" w:rsidRPr="00691C62" w:rsidRDefault="001375BC" w:rsidP="001375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91C6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91C6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91C6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91C6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91C6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91C6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91C6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91C6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91C6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1C6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91C6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1C62">
              <w:rPr>
                <w:rFonts w:ascii="Arial" w:hAnsi="Arial" w:cs="Arial"/>
                <w:lang w:val="en-GB"/>
              </w:rPr>
              <w:t>Author’s comment</w:t>
            </w:r>
            <w:r w:rsidRPr="00691C6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1C6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91C6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91C6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1C6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91C6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91C6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1C6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1C6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1C6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91C6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91C6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91C6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91C6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91C6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91C6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E5E0DBA" w14:textId="77777777" w:rsidR="00691C62" w:rsidRPr="00B62983" w:rsidRDefault="00691C62" w:rsidP="00691C6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62983">
        <w:rPr>
          <w:rFonts w:ascii="Arial" w:hAnsi="Arial" w:cs="Arial"/>
          <w:b/>
          <w:u w:val="single"/>
        </w:rPr>
        <w:t>Reviewer details:</w:t>
      </w:r>
    </w:p>
    <w:p w14:paraId="49415723" w14:textId="77777777" w:rsidR="00691C62" w:rsidRPr="00B62983" w:rsidRDefault="00691C62" w:rsidP="00691C6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62983">
        <w:rPr>
          <w:rFonts w:ascii="Arial" w:hAnsi="Arial" w:cs="Arial"/>
          <w:b/>
          <w:color w:val="000000"/>
        </w:rPr>
        <w:t>Robert C Bransfield, USA</w:t>
      </w:r>
    </w:p>
    <w:p w14:paraId="266227FA" w14:textId="77777777" w:rsidR="00691C62" w:rsidRPr="00691C62" w:rsidRDefault="00691C6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91C62" w:rsidRPr="00691C6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0536" w14:textId="77777777" w:rsidR="004E0D98" w:rsidRPr="0000007A" w:rsidRDefault="004E0D98" w:rsidP="0099583E">
      <w:r>
        <w:separator/>
      </w:r>
    </w:p>
  </w:endnote>
  <w:endnote w:type="continuationSeparator" w:id="0">
    <w:p w14:paraId="32ECD43C" w14:textId="77777777" w:rsidR="004E0D98" w:rsidRPr="0000007A" w:rsidRDefault="004E0D9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32E94" w14:textId="77777777" w:rsidR="004E0D98" w:rsidRPr="0000007A" w:rsidRDefault="004E0D98" w:rsidP="0099583E">
      <w:r>
        <w:separator/>
      </w:r>
    </w:p>
  </w:footnote>
  <w:footnote w:type="continuationSeparator" w:id="0">
    <w:p w14:paraId="13DD4C52" w14:textId="77777777" w:rsidR="004E0D98" w:rsidRPr="0000007A" w:rsidRDefault="004E0D9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3452392">
    <w:abstractNumId w:val="3"/>
  </w:num>
  <w:num w:numId="2" w16cid:durableId="1180395122">
    <w:abstractNumId w:val="6"/>
  </w:num>
  <w:num w:numId="3" w16cid:durableId="921378201">
    <w:abstractNumId w:val="5"/>
  </w:num>
  <w:num w:numId="4" w16cid:durableId="2063745237">
    <w:abstractNumId w:val="7"/>
  </w:num>
  <w:num w:numId="5" w16cid:durableId="2134211330">
    <w:abstractNumId w:val="4"/>
  </w:num>
  <w:num w:numId="6" w16cid:durableId="1646204236">
    <w:abstractNumId w:val="0"/>
  </w:num>
  <w:num w:numId="7" w16cid:durableId="1067994083">
    <w:abstractNumId w:val="1"/>
  </w:num>
  <w:num w:numId="8" w16cid:durableId="884681384">
    <w:abstractNumId w:val="9"/>
  </w:num>
  <w:num w:numId="9" w16cid:durableId="331757410">
    <w:abstractNumId w:val="8"/>
  </w:num>
  <w:num w:numId="10" w16cid:durableId="178430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5BC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2C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A01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08B"/>
    <w:rsid w:val="003653A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0D98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59C"/>
    <w:rsid w:val="00673EEF"/>
    <w:rsid w:val="006749CF"/>
    <w:rsid w:val="00676845"/>
    <w:rsid w:val="00680547"/>
    <w:rsid w:val="0068243C"/>
    <w:rsid w:val="0068446F"/>
    <w:rsid w:val="00686DCE"/>
    <w:rsid w:val="00690EDE"/>
    <w:rsid w:val="00691C62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675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373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813"/>
    <w:rsid w:val="00D32AC2"/>
    <w:rsid w:val="00D40416"/>
    <w:rsid w:val="00D430AB"/>
    <w:rsid w:val="00D4782A"/>
    <w:rsid w:val="00D60DC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5BED"/>
    <w:rsid w:val="00F1171E"/>
    <w:rsid w:val="00F13071"/>
    <w:rsid w:val="00F167F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2D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91C6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inquest.com/open-access/pdf/jnpd/functional-neurological-disorders-and-psychogenic-nonepileptic-seizures-neurologic-disease-not-a-functional-etiolog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