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8469C">
      <w:pPr>
        <w:jc w:val="center"/>
        <w:rPr>
          <w:rFonts w:ascii="Times New Roman" w:hAnsi="Times New Roman" w:eastAsia="Times New Roman" w:cs="Times New Roman"/>
          <w:b/>
          <w:bCs/>
          <w:sz w:val="27"/>
          <w:szCs w:val="27"/>
          <w:lang w:val="en-US"/>
        </w:rPr>
      </w:pPr>
      <w:r>
        <w:rPr>
          <w:rFonts w:ascii="Times New Roman" w:hAnsi="Times New Roman" w:eastAsia="Times New Roman" w:cs="Times New Roman"/>
          <w:b/>
          <w:bCs/>
          <w:sz w:val="27"/>
          <w:szCs w:val="27"/>
          <w:lang w:val="en-US"/>
        </w:rPr>
        <w:t>Learning Action Cells as Educational Technology: Enhancing Retention via Social Learning</w:t>
      </w:r>
    </w:p>
    <w:p w14:paraId="7FDB5B94">
      <w:pPr>
        <w:rPr>
          <w:rFonts w:ascii="Times New Roman" w:hAnsi="Times New Roman" w:cs="Times New Roman"/>
          <w:b/>
          <w:sz w:val="24"/>
          <w:szCs w:val="24"/>
          <w:lang w:val="en-US"/>
        </w:rPr>
      </w:pPr>
    </w:p>
    <w:p w14:paraId="42CC2C94">
      <w:pPr>
        <w:rPr>
          <w:rFonts w:ascii="Times New Roman" w:hAnsi="Times New Roman" w:cs="Times New Roman"/>
          <w:b/>
          <w:sz w:val="24"/>
          <w:szCs w:val="24"/>
          <w:lang w:val="en-US"/>
        </w:rPr>
      </w:pPr>
    </w:p>
    <w:p w14:paraId="1D553F98">
      <w:pP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6A756363">
      <w:pPr>
        <w:jc w:val="both"/>
        <w:rPr>
          <w:rFonts w:ascii="Times New Roman" w:hAnsi="Times New Roman" w:cs="Times New Roman"/>
          <w:sz w:val="24"/>
          <w:szCs w:val="24"/>
          <w:lang w:val="en-US"/>
        </w:rPr>
      </w:pPr>
      <w:r>
        <w:rPr>
          <w:rFonts w:ascii="Times New Roman" w:hAnsi="Times New Roman" w:cs="Times New Roman"/>
          <w:sz w:val="24"/>
          <w:szCs w:val="24"/>
          <w:lang w:val="en-US"/>
        </w:rPr>
        <w:t>This study investigates the efficacy of Learning Action Cells (LACs) as an educational technology designed to enhance teacher retention and professional growth in the Bangsamoro Autonomous Region of Muslim Mindanao (BARMM), specifically within the Madamba School District in Lanao del Sur II. Rooted in Albert Bandura’s Social Learning Theory (SLT), LACs are conceptualized as a systematic, peer-driven collaborative framework that fosters resilience among educators in resource-constrained and culturally distinct settings. Employing a mixed-methods approach, the study integrates quantitative metrics—such as an 83.50% retention rate among active participants and mean growth scores ranging from 4.296 to 4.361—and qualitative insights, including narratives like “LACs make me want to stay” and “Reflecting with peers improves my skills.” These findings underscore LACs’ transformative potential in addressing BARMM’s retention crisis, where geographic isolation, socio-cultural complexities, and systemic neglect exacerbate turnover rates. The study further explores mechanisms such as leadership involvement, resource adequacy, and systematic evaluation, revealing their critical role in sustaining LACs’ impact. Longitudinal analysis highlights the persistence of retention trajectories and skill mastery over time, while contextual refinement demonstrates LACs’ adaptability to diverse settings, including post-conflict recovery and linguistic diversity. Comparative analysis positions LACs as a scalable model for fragile regions, aligning with UNESCO’s benchmarks for effective professional development. By bridging gaps between theory and practice, LACs exemplify a human-centered educational technology that prioritizes collaboration, adaptability, and cultural responsiveness. This research contributes to global discourse on teacher retention, offering actionable recommendations for policymakers and practitioners seeking sustainable solutions in underserved contexts.</w:t>
      </w:r>
    </w:p>
    <w:p w14:paraId="3472BD82">
      <w:pPr>
        <w:rPr>
          <w:rFonts w:ascii="Times New Roman" w:hAnsi="Times New Roman" w:cs="Times New Roman"/>
          <w:b/>
          <w:bCs/>
          <w:sz w:val="24"/>
          <w:szCs w:val="24"/>
          <w:lang w:val="en-US"/>
        </w:rPr>
      </w:pPr>
      <w:r>
        <w:rPr>
          <w:rFonts w:ascii="Times New Roman" w:hAnsi="Times New Roman" w:cs="Times New Roman"/>
          <w:b/>
          <w:bCs/>
          <w:sz w:val="24"/>
          <w:szCs w:val="24"/>
          <w:lang w:val="en-US"/>
        </w:rPr>
        <w:t>Keywords</w:t>
      </w:r>
    </w:p>
    <w:p w14:paraId="30DCF753">
      <w:pPr>
        <w:jc w:val="both"/>
        <w:rPr>
          <w:rFonts w:ascii="Times New Roman" w:hAnsi="Times New Roman" w:cs="Times New Roman"/>
          <w:i/>
          <w:sz w:val="24"/>
          <w:szCs w:val="24"/>
          <w:lang w:val="en-US"/>
        </w:rPr>
      </w:pPr>
      <w:r>
        <w:rPr>
          <w:rFonts w:ascii="Times New Roman" w:hAnsi="Times New Roman" w:cs="Times New Roman"/>
          <w:i/>
          <w:sz w:val="24"/>
          <w:szCs w:val="24"/>
          <w:lang w:val="en-US"/>
        </w:rPr>
        <w:t>Learning Action Cells (LACs), Teacher Retention, Social Learning Theory (SLT), Professional Development, Educational Technology, Bangsamoro Autonomous Region of Muslim Mindanao (BARMM), Mixed-Methods Research, Fragile Contexts</w:t>
      </w:r>
    </w:p>
    <w:p w14:paraId="2808EF7D">
      <w:pPr>
        <w:rPr>
          <w:rFonts w:ascii="Times New Roman" w:hAnsi="Times New Roman" w:cs="Times New Roman"/>
          <w:sz w:val="24"/>
          <w:szCs w:val="24"/>
          <w:lang w:val="en-US"/>
        </w:rPr>
      </w:pPr>
    </w:p>
    <w:p w14:paraId="79D85B0F">
      <w:pPr>
        <w:rPr>
          <w:rFonts w:ascii="Times New Roman" w:hAnsi="Times New Roman" w:cs="Times New Roman"/>
          <w:sz w:val="24"/>
          <w:szCs w:val="24"/>
          <w:lang w:val="en-US"/>
        </w:rPr>
      </w:pPr>
    </w:p>
    <w:p w14:paraId="7C2A47AE">
      <w:pPr>
        <w:pStyle w:val="8"/>
        <w:numPr>
          <w:ilvl w:val="0"/>
          <w:numId w:val="1"/>
        </w:numPr>
        <w:ind w:left="540" w:hanging="540"/>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7D0CDA8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sustainability of educational systems hinges on a committed and proficient teaching workforce, a cornerstone that ensures the continuity of learning and the cultivation of future generations. This foundational role of teachers cannot be overstated, as they serve not only as transmitters of knowledge but also as architects of intellectual and social development for students who will shape the world of tomorrow. However, maintaining such a workforce is far from </w:t>
      </w:r>
      <w:commentRangeStart w:id="0"/>
      <w:r>
        <w:rPr>
          <w:rFonts w:ascii="Times New Roman" w:hAnsi="Times New Roman" w:cs="Times New Roman"/>
          <w:sz w:val="24"/>
          <w:szCs w:val="24"/>
          <w:lang w:val="en-US"/>
        </w:rPr>
        <w:t>straightforward</w:t>
      </w:r>
      <w:commentRangeEnd w:id="0"/>
      <w:r>
        <w:commentReference w:id="0"/>
      </w:r>
      <w:r>
        <w:rPr>
          <w:rFonts w:ascii="Times New Roman" w:hAnsi="Times New Roman" w:cs="Times New Roman"/>
          <w:sz w:val="24"/>
          <w:szCs w:val="24"/>
          <w:lang w:val="en-US"/>
        </w:rPr>
        <w:t>. Across diverse global contexts, teacher retention remains a perennial challenge, with turnover rates disrupting pedagogical stability and imposing significant financial, administrative, and emotional costs on educational institutions. In their seminal 2011 review, Ingersoll and Strong (2011) underscored this issue by synthesizing decades of research on teacher attrition. They argued that high turnover—particularly among novice teachers—undermines the coherence of instructional programs, erodes institutional knowledge, and diverts resources toward recruitment and training rather than student learning. Ingersoll and Strong highlighted that approximately 40 to 50 percent of new teachers in the United States leave within their first five years, a statistic that resonates with global patterns and signals a systemic vulnerability in educational frameworks worldwide. Their analysis points to the critical need for structured support systems to anchor teachers in their roles, suggesting that without such interventions, schools risk perpetual instability.</w:t>
      </w:r>
    </w:p>
    <w:p w14:paraId="7127E0FA">
      <w:pPr>
        <w:jc w:val="both"/>
        <w:rPr>
          <w:rFonts w:ascii="Times New Roman" w:hAnsi="Times New Roman" w:cs="Times New Roman"/>
          <w:sz w:val="24"/>
          <w:szCs w:val="24"/>
          <w:lang w:val="en-US"/>
        </w:rPr>
      </w:pPr>
      <w:r>
        <w:rPr>
          <w:rFonts w:ascii="Times New Roman" w:hAnsi="Times New Roman" w:cs="Times New Roman"/>
          <w:sz w:val="24"/>
          <w:szCs w:val="24"/>
          <w:lang w:val="en-US"/>
        </w:rPr>
        <w:t>This challenge of teacher retention is acutely felt in regions such as the Bangsamoro Autonomous Region of Muslim Mindanao (BARMM), where socio-cultural complexities, resource constraints, and geographic isolation amplify the difficulty of sustaining educators in their positions. BARMM, a region marked by a history of conflict, poverty, and underdevelopment, presents a unique crucible for examining educational sustainability. The interplay of cultural diversity—rooted in the region’s predominantly Muslim population—and logistical barriers, such as limited infrastructure and access to remote areas, creates an environment where teachers face heightened pressures. These factors often lead to disillusionment or practical impediments that drive educators away from their posts. For instance, the isolation of rural schools in Lanao del Sur, a province within BARMM, can sever teachers from professional networks and support systems, exacerbating feelings of burnout and disconnection. Moreover, the socio-economic realities—low salaries, delayed payments, and inadequate facilities—compound the retention crisis, making teaching a less viable long-term career choice for many in the region.</w:t>
      </w:r>
    </w:p>
    <w:p w14:paraId="21EECDBC">
      <w:pPr>
        <w:jc w:val="both"/>
        <w:rPr>
          <w:rFonts w:ascii="Times New Roman" w:hAnsi="Times New Roman" w:cs="Times New Roman"/>
          <w:sz w:val="24"/>
          <w:szCs w:val="24"/>
          <w:lang w:val="en-US"/>
        </w:rPr>
      </w:pPr>
      <w:r>
        <w:rPr>
          <w:rFonts w:ascii="Times New Roman" w:hAnsi="Times New Roman" w:cs="Times New Roman"/>
          <w:sz w:val="24"/>
          <w:szCs w:val="24"/>
          <w:lang w:val="en-US"/>
        </w:rPr>
        <w:t>Within the Philippines’ Department of Education (DepEd), a promising response to this imperative has emerged in the form of Learning Action Cells (LACs), formalized through DepEd Order No. 35, s. 2016. LACs are designed as a school-based, collaborative professional development strategy that empowers teachers to address localized challenges collectively. Introduced as part of DepEd’s broader commitment to the K to 12 Basic Education Program, LACs shift the paradigm from top-down training models to a more organic, teacher-driven approach. The 2016 policy outlines LACs as regular forums where educators engage in action research, share best practices, and develop solutions tailored to their specific contexts—be it improving student outcomes, refining pedagogical techniques, or fostering resilience amid resource scarcity. DepEd envisions LACs as a mechanism to enhance teacher agency, positing that when educators feel supported and equipped to tackle their daily realities, their commitment to the profession strengthens. Ingersoll and Strong’s work aligns with this approach, as they emphasize the efficacy of sustained, school-embedded support—such as mentoring and induction programs—in reducing turnover. LACs, in essence, adapt this principle to the Philippine context, leveraging peer collaboration as a scaffold for professional growth and retention.</w:t>
      </w:r>
    </w:p>
    <w:p w14:paraId="615762F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grasp why Learning Action Cells (LACs) qualify as an educational technology, we must revisit the etymology and conceptual evolution of "technology," a term that carries richer implications than its contemporary association with digital machinery. The word </w:t>
      </w:r>
      <w:commentRangeStart w:id="1"/>
      <w:r>
        <w:rPr>
          <w:rFonts w:ascii="Times New Roman" w:hAnsi="Times New Roman" w:cs="Times New Roman"/>
          <w:sz w:val="24"/>
          <w:szCs w:val="24"/>
          <w:lang w:val="en-US"/>
        </w:rPr>
        <w:t>derives</w:t>
      </w:r>
      <w:commentRangeEnd w:id="1"/>
      <w:r>
        <w:commentReference w:id="1"/>
      </w:r>
      <w:r>
        <w:rPr>
          <w:rFonts w:ascii="Times New Roman" w:hAnsi="Times New Roman" w:cs="Times New Roman"/>
          <w:sz w:val="24"/>
          <w:szCs w:val="24"/>
          <w:lang w:val="en-US"/>
        </w:rPr>
        <w:t xml:space="preserve"> from the Greek </w:t>
      </w:r>
      <w:commentRangeStart w:id="2"/>
      <w:r>
        <w:rPr>
          <w:rFonts w:ascii="Times New Roman" w:hAnsi="Times New Roman" w:cs="Times New Roman"/>
          <w:i/>
          <w:iCs/>
          <w:sz w:val="24"/>
          <w:szCs w:val="24"/>
          <w:lang w:val="en-US"/>
        </w:rPr>
        <w:t xml:space="preserve">tekhnē </w:t>
      </w:r>
      <w:r>
        <w:rPr>
          <w:rFonts w:ascii="Times New Roman" w:hAnsi="Times New Roman" w:cs="Times New Roman"/>
          <w:sz w:val="24"/>
          <w:szCs w:val="24"/>
          <w:lang w:val="en-US"/>
        </w:rPr>
        <w:t>,</w:t>
      </w:r>
      <w:commentRangeEnd w:id="2"/>
      <w:r>
        <w:commentReference w:id="2"/>
      </w:r>
      <w:r>
        <w:rPr>
          <w:rFonts w:ascii="Times New Roman" w:hAnsi="Times New Roman" w:cs="Times New Roman"/>
          <w:sz w:val="24"/>
          <w:szCs w:val="24"/>
          <w:lang w:val="en-US"/>
        </w:rPr>
        <w:t xml:space="preserve"> meaning "art," "skill," or "craft," paired with </w:t>
      </w:r>
      <w:commentRangeStart w:id="3"/>
      <w:r>
        <w:rPr>
          <w:rFonts w:ascii="Times New Roman" w:hAnsi="Times New Roman" w:cs="Times New Roman"/>
          <w:i/>
          <w:iCs/>
          <w:sz w:val="24"/>
          <w:szCs w:val="24"/>
          <w:lang w:val="en-US"/>
        </w:rPr>
        <w:t xml:space="preserve">logos </w:t>
      </w:r>
      <w:r>
        <w:rPr>
          <w:rFonts w:ascii="Times New Roman" w:hAnsi="Times New Roman" w:cs="Times New Roman"/>
          <w:sz w:val="24"/>
          <w:szCs w:val="24"/>
          <w:lang w:val="en-US"/>
        </w:rPr>
        <w:t>,</w:t>
      </w:r>
      <w:commentRangeEnd w:id="3"/>
      <w:r>
        <w:commentReference w:id="3"/>
      </w:r>
      <w:r>
        <w:rPr>
          <w:rFonts w:ascii="Times New Roman" w:hAnsi="Times New Roman" w:cs="Times New Roman"/>
          <w:sz w:val="24"/>
          <w:szCs w:val="24"/>
          <w:lang w:val="en-US"/>
        </w:rPr>
        <w:t xml:space="preserve"> signifying "study," "discourse," or "reasoned expression" (Liddell &amp; Scott, 1940). In its ancient context, </w:t>
      </w:r>
      <w:r>
        <w:rPr>
          <w:rFonts w:ascii="Times New Roman" w:hAnsi="Times New Roman" w:cs="Times New Roman"/>
          <w:i/>
          <w:iCs/>
          <w:sz w:val="24"/>
          <w:szCs w:val="24"/>
          <w:lang w:val="en-US"/>
        </w:rPr>
        <w:t xml:space="preserve">tekhnē </w:t>
      </w:r>
      <w:r>
        <w:rPr>
          <w:rFonts w:ascii="Times New Roman" w:hAnsi="Times New Roman" w:cs="Times New Roman"/>
          <w:sz w:val="24"/>
          <w:szCs w:val="24"/>
          <w:lang w:val="en-US"/>
        </w:rPr>
        <w:t xml:space="preserve">referred to a deliberate, systematic application of knowledge or technique to achieve a practical end—a definition that situates technology as a human endeavor rooted in creativity and purpose. Aristotle, in his </w:t>
      </w:r>
      <w:r>
        <w:rPr>
          <w:rFonts w:ascii="Times New Roman" w:hAnsi="Times New Roman" w:cs="Times New Roman"/>
          <w:i/>
          <w:iCs/>
          <w:sz w:val="24"/>
          <w:szCs w:val="24"/>
          <w:lang w:val="en-US"/>
        </w:rPr>
        <w:t xml:space="preserve">Nicomachean Ethics </w:t>
      </w:r>
      <w:r>
        <w:rPr>
          <w:rFonts w:ascii="Times New Roman" w:hAnsi="Times New Roman" w:cs="Times New Roman"/>
          <w:sz w:val="24"/>
          <w:szCs w:val="24"/>
          <w:lang w:val="en-US"/>
        </w:rPr>
        <w:t xml:space="preserve">(Book VI, Chapter 4, trans. 2009), deepens this understanding by describing </w:t>
      </w:r>
      <w:r>
        <w:rPr>
          <w:rFonts w:ascii="Times New Roman" w:hAnsi="Times New Roman" w:cs="Times New Roman"/>
          <w:i/>
          <w:iCs/>
          <w:sz w:val="24"/>
          <w:szCs w:val="24"/>
          <w:lang w:val="en-US"/>
        </w:rPr>
        <w:t xml:space="preserve">tekhnē </w:t>
      </w:r>
      <w:r>
        <w:rPr>
          <w:rFonts w:ascii="Times New Roman" w:hAnsi="Times New Roman" w:cs="Times New Roman"/>
          <w:sz w:val="24"/>
          <w:szCs w:val="24"/>
          <w:lang w:val="en-US"/>
        </w:rPr>
        <w:t>as “a state of capacity to make, involving a true course of reasoning.” For Aristotle, technology is not merely a tool but a disciplined process of reasoning and action, a craft that blends intellectual insight with tangible outcomes. This classical framing transcends the modern, narrow view of technology as synonymous with electronic devices or software, encompassing instead any methodical, reproducible process that enhances human endeavor. LACs, as introduced by the Philippines’ Department of Education (DepEd) in Order No. 35, s. 2016, embody this etymological and philosophical root as a structured technique—a craft of collaboration—systematically applied to sustain teacher retention and professional growth in challenging contexts like the Bangsamoro Autonomous Region of Muslim Mindanao (BARMM).</w:t>
      </w:r>
    </w:p>
    <w:p w14:paraId="707C6403">
      <w:pPr>
        <w:jc w:val="both"/>
        <w:rPr>
          <w:rFonts w:ascii="Times New Roman" w:hAnsi="Times New Roman" w:cs="Times New Roman"/>
          <w:sz w:val="24"/>
          <w:szCs w:val="24"/>
          <w:lang w:val="en-US"/>
        </w:rPr>
      </w:pPr>
      <w:r>
        <w:rPr>
          <w:rFonts w:ascii="Times New Roman" w:hAnsi="Times New Roman" w:cs="Times New Roman"/>
          <w:sz w:val="24"/>
          <w:szCs w:val="24"/>
          <w:lang w:val="en-US"/>
        </w:rPr>
        <w:t>In this broader Aristotelian sense, LACs qualify as an educational technology not because they rely on digital infrastructure—indeed, they require no hardware—but because they represent a deliberate, replicable system designed to achieve a practical educational end: the stabilization of the teaching workforce. Unlike digital tools that depend on external resources often scarce in regions like Lanao del Sur II, LACs’ technological essence lies in their innovative design: a peer-driven platform that integrates social learning processes into a structured, adaptable framework. This aligns seamlessly with Albert Bandura’s Social Learning Theory (SLT) (Bandura, 1969), where observational learning, modeling, and reinforcement—core components of LACs—enhance teachers’ efficacy and commitment. Darling-Hammond et al. (2017) reinforce this perspective by identifying the hallmarks of impactful professional development: it must be sustained, collaborative, and embedded in teachers’ daily contexts. LACs meet these criteria precisely, offering a continuous, school-based process where educators collectively refine their craft. Darling-Hammond et al. (2017) emphasize that such approaches yield measurable improvements in teacher practice and retention—outcomes echoed in Madamba’s retention data (active LAC participants: 83.50% vs. non-participants: 0%)—underscoring LACs’ efficacy as a technology of human capacity-building rather than a mere programmatic intervention.</w:t>
      </w:r>
    </w:p>
    <w:p w14:paraId="6F15AF7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conceptualization of LACs as a technology also resonates with Martin Heidegger’s philosophical exploration in </w:t>
      </w:r>
      <w:commentRangeStart w:id="4"/>
      <w:r>
        <w:rPr>
          <w:rFonts w:ascii="Times New Roman" w:hAnsi="Times New Roman" w:cs="Times New Roman"/>
          <w:i/>
          <w:iCs/>
          <w:sz w:val="24"/>
          <w:szCs w:val="24"/>
          <w:lang w:val="en-US"/>
        </w:rPr>
        <w:t>The Question Concerning Technology</w:t>
      </w:r>
      <w:commentRangeEnd w:id="4"/>
      <w:r>
        <w:commentReference w:id="4"/>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 xml:space="preserve">(Heidegger, 1977), where he redefines technology not as a collection of tools but as a “mode of revealing” human potential and truth. For Heidegger, technology is less about the object and more about the process through which it brings forth possibilities, unveiling what lies latent within individuals and systems. LACs embody this mode of revealing by creating a space where teachers’ resilience, creativity, and collective strength emerge through structured collaboration. Qualitative insights from Madamba’s educators—“Colleagues’ support keeps me going” (Table 2)—illustrate this unveiling, as LACs transform isolation into community, burnout into motivation, and vulnerability into agency. Heidegger’s framing complements Aristotle’s practical focus: where </w:t>
      </w:r>
      <w:r>
        <w:rPr>
          <w:rFonts w:ascii="Times New Roman" w:hAnsi="Times New Roman" w:cs="Times New Roman"/>
          <w:i/>
          <w:iCs/>
          <w:sz w:val="24"/>
          <w:szCs w:val="24"/>
          <w:lang w:val="en-US"/>
        </w:rPr>
        <w:t xml:space="preserve">tekhnē </w:t>
      </w:r>
      <w:r>
        <w:rPr>
          <w:rFonts w:ascii="Times New Roman" w:hAnsi="Times New Roman" w:cs="Times New Roman"/>
          <w:sz w:val="24"/>
          <w:szCs w:val="24"/>
          <w:lang w:val="en-US"/>
        </w:rPr>
        <w:t>provides the systematic craft, Heidegger’s lens highlights its existential impact, positioning LACs as a technology that not only sustains teachers but also reveals their capacity to thrive amid adversity. This philosophical underpinning ties directly to Ingersoll and Strong’s findings, which stress that retention hinges on supportive environments—precisely what LACs cultivate through their peer-driven design.</w:t>
      </w:r>
    </w:p>
    <w:p w14:paraId="2DF9431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coherence of this argument with prior discussions lies in LACs’ continuity as a response to BARMM’s retention crisis, a thread woven through the </w:t>
      </w:r>
      <w:commentRangeStart w:id="5"/>
      <w:r>
        <w:rPr>
          <w:rFonts w:ascii="Times New Roman" w:hAnsi="Times New Roman" w:cs="Times New Roman"/>
          <w:sz w:val="24"/>
          <w:szCs w:val="24"/>
          <w:lang w:val="en-US"/>
        </w:rPr>
        <w:t>I</w:t>
      </w:r>
      <w:commentRangeEnd w:id="5"/>
      <w:r>
        <w:commentReference w:id="5"/>
      </w:r>
      <w:r>
        <w:rPr>
          <w:rFonts w:ascii="Times New Roman" w:hAnsi="Times New Roman" w:cs="Times New Roman"/>
          <w:sz w:val="24"/>
          <w:szCs w:val="24"/>
          <w:lang w:val="en-US"/>
        </w:rPr>
        <w:t>ntroduction. Just as the earlier paragraphs framed LACs as a counterweight to socio-cultural and logistical challenges—drawing on Ingersoll and Strong’s systemic insights and Bandura’s social learning principles—this exploration situates them within a deeper intellectual tradition. LACs’ technological character emerges not from novelty but from their systematic integration of collaboration, reflection, and adaptation, qualities that Darling-Hammond et al. (2017) identify as critical to professional growth in underserved contexts. In Madamba, where geographic isolation and resource scarcity amplify turnover risks, LACs’ replicability offers a sustainable alternative to episodic training, aligning with DepEd’s vision of localized empowerment. Moreover, their impact transcends the technical: by fostering a “craft of collaboration,” LACs reveal teachers’ latent potential, as Heidegger might suggest, while grounding that revelation in the practical reasoning Aristotle extols. This dual lens—pragmatic and philosophical—positions LACs as a transformative educational technology, one whose sustained impact in Madamba could inform broader strategies for teacher retention, resonating with UNESCO’s call for scalable solutions in fragile regions. Thus, LACs stand as a testament to technology’s ancient roots and modern promise, a craft of human connection that fortifies education’s future.</w:t>
      </w:r>
    </w:p>
    <w:p w14:paraId="4E90BC7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delves into the long-term efficacy of LACs in bolstering teacher retention within the Schools Division of Lanao del Sur II, with a specific focus on the 13 schools comprising the Madamba School District. Located in a region emblematic of BARMM’s broader challenges, this district offers a microcosm to test LACs’ potential as a transformative tool. Rather than viewing LACs solely as a conventional professional development strategy, this research frames them as an innovative educational technology—one that harnesses social learning to sustain </w:t>
      </w:r>
      <w:commentRangeStart w:id="6"/>
      <w:r>
        <w:rPr>
          <w:rFonts w:ascii="Times New Roman" w:hAnsi="Times New Roman" w:cs="Times New Roman"/>
          <w:sz w:val="24"/>
          <w:szCs w:val="24"/>
          <w:lang w:val="en-US"/>
        </w:rPr>
        <w:t>educator</w:t>
      </w:r>
      <w:commentRangeEnd w:id="6"/>
      <w:r>
        <w:commentReference w:id="6"/>
      </w:r>
      <w:r>
        <w:rPr>
          <w:rFonts w:ascii="Times New Roman" w:hAnsi="Times New Roman" w:cs="Times New Roman"/>
          <w:sz w:val="24"/>
          <w:szCs w:val="24"/>
          <w:lang w:val="en-US"/>
        </w:rPr>
        <w:t xml:space="preserve"> commitment. Social learning, as embedded in LACs, draws from the collective expertise and experiences of teachers, fostering a sense of community and shared purpose that Ingersoll and Strong identify as vital to teacher persistence. By facilitating ongoing dialogue and problem-solving, LACs may mitigate the isolation and demoralization that drive turnover in such underserved areas. Furthermore, the study considers how LACs intersect with the unique socio-cultural fabric of Madamba, where educators must navigate linguistic diversity (e.g., Maranao as a primary language), traditional values, and the lingering effects of conflict—all of which shape their professional identity and staying power.</w:t>
      </w:r>
    </w:p>
    <w:p w14:paraId="219B6159">
      <w:pPr>
        <w:jc w:val="both"/>
        <w:rPr>
          <w:rFonts w:ascii="Times New Roman" w:hAnsi="Times New Roman" w:cs="Times New Roman"/>
          <w:sz w:val="24"/>
          <w:szCs w:val="24"/>
          <w:lang w:val="en-US"/>
        </w:rPr>
      </w:pPr>
      <w:r>
        <w:rPr>
          <w:rFonts w:ascii="Times New Roman" w:hAnsi="Times New Roman" w:cs="Times New Roman"/>
          <w:sz w:val="24"/>
          <w:szCs w:val="24"/>
          <w:lang w:val="en-US"/>
        </w:rPr>
        <w:t>Expanding on Ingersoll and Strong’s insights, the research also probes whether LACs can address the root causes of attrition they identify—namely, inadequate preparation, lack of administrative support, and poor working conditions. In the Madamba context, LACs could serve as a counterweight to these pressures by equipping teachers with practical skills, fostering solidarity among peers, and creating a feedback loop with school leaders. DepEd’s 2016 framework envisions LACs evolving over time, with success contingent on consistent implementation, resource allocation, and teacher buy-in—variables this study scrutinizes in depth. By situating LACs within the rugged terrain of Lanao del Sur II, the investigation not only tests their adaptability to extreme conditions but also contributes to a broader discourse on sustainable education in crisis-affected regions. Ultimately, this exploration positions LACs as a potential linchpin in reimagining how educational systems can retain talent, ensuring that the promise of learning endures for generations, even amidst adversity.</w:t>
      </w:r>
    </w:p>
    <w:p w14:paraId="60F262A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relevance of Learning Action Cells (LACs) in the Bangsamoro Autonomous Region of Muslim Mindanao (BARMM) rests on a strong foothold: their demonstrated ability to transform the educational landscape by fostering a resilient teaching workforce capable of withstanding the region’s multifaceted adversities. This transformative capacity builds directly on the earlier framing of LACs as an educational technology—a craft of collaboration rooted in </w:t>
      </w:r>
      <w:r>
        <w:rPr>
          <w:rFonts w:ascii="Times New Roman" w:hAnsi="Times New Roman" w:cs="Times New Roman"/>
          <w:i/>
          <w:iCs/>
          <w:sz w:val="24"/>
          <w:szCs w:val="24"/>
          <w:lang w:val="en-US"/>
        </w:rPr>
        <w:t xml:space="preserve">tekhnē </w:t>
      </w:r>
      <w:r>
        <w:rPr>
          <w:rFonts w:ascii="Times New Roman" w:hAnsi="Times New Roman" w:cs="Times New Roman"/>
          <w:sz w:val="24"/>
          <w:szCs w:val="24"/>
          <w:lang w:val="en-US"/>
        </w:rPr>
        <w:t>(Liddell &amp; Scott, 1940) and Aristotle’s reasoned practice—while grounding it in the specific socio-cultural and logistical realities of BARMM, as outlined under Republic Act No. 11054. In the Madamba School District of Lanao del Sur II, LACs’ structured collaboration, as formalized by the Philippines’ Department of Education (DepEd) in Order No. 35, s. 2016, has proven instrumental in addressing the perennial challenge of teacher turnover—a challenge that Ingersoll and Strong meticulously document in their review. Their research highlights how turnover disrupts pedagogical stability and diverts resources, with global attrition rates often reaching 40 to 50 percent among novice teachers within five years. In Madamba, quantitative data reveal a striking retention rate of 83.50 percent among active LAC participants (Table 1), in stark contrast to a 0 percent retention rate among non-participants, reflecting a sustained commitment that traditional, episodic professional development methods struggle to replicate. This empirical evidence aligns seamlessly with Ingersoll and Strong’s assertion that structured, school-based support systems are critical to reducing turnover, particularly in contexts marked by adversity. In BARMM, where geographic isolation, resource scarcity, and a post-conflict legacy amplify teacher attrition, LACs’ efficacy shines through their ability to anchor educators in their roles. Darling-Hammond et al.’s emphasis on structured, sustained, and collaborative professional development further illuminates this success, as LACs embody these qualities through regular peer forums that enhance practice and resilience. The 83.50 percent retention rate is not merely a statistic but a testament to LACs’ capacity to foster a sense of purpose and community, countering the isolation and burnout that Ingersoll and Strong identify as key drivers of teacher exodus. Qualitative insights from Madamba deepen this narrative: “The community sees LACs as vital” (Table 2), a statement reflecting not only teacher perceptions but also the broader socio-cultural endorsement within BARMM’s predominantly Muslim and indigenous communities. This community alignment is quantifiable in high perception scores (mean: 4.355, Table 9), underscoring LACs’ integration into the region’s social fabric—a critical factor in a context where education must resonate with local values to endure.</w:t>
      </w:r>
    </w:p>
    <w:p w14:paraId="4DC094C3">
      <w:pPr>
        <w:ind w:left="540" w:hanging="540"/>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Pr>
          <w:rFonts w:ascii="Times New Roman" w:hAnsi="Times New Roman" w:cs="Times New Roman"/>
          <w:b/>
          <w:sz w:val="24"/>
          <w:szCs w:val="24"/>
          <w:lang w:val="en-US"/>
        </w:rPr>
        <w:tab/>
      </w:r>
      <w:r>
        <w:rPr>
          <w:rFonts w:ascii="Times New Roman" w:hAnsi="Times New Roman" w:cs="Times New Roman"/>
          <w:b/>
          <w:sz w:val="24"/>
          <w:szCs w:val="24"/>
          <w:lang w:val="en-US"/>
        </w:rPr>
        <w:t>Methodology</w:t>
      </w:r>
    </w:p>
    <w:p w14:paraId="7017D7BA">
      <w:pPr>
        <w:jc w:val="both"/>
        <w:rPr>
          <w:rFonts w:ascii="Times New Roman" w:hAnsi="Times New Roman" w:cs="Times New Roman"/>
          <w:sz w:val="24"/>
          <w:szCs w:val="24"/>
          <w:lang w:val="en-US"/>
        </w:rPr>
      </w:pPr>
      <w:r>
        <w:rPr>
          <w:rFonts w:ascii="Times New Roman" w:hAnsi="Times New Roman" w:cs="Times New Roman"/>
          <w:sz w:val="24"/>
          <w:szCs w:val="24"/>
          <w:lang w:val="en-US"/>
        </w:rPr>
        <w:t>The methodology of this study is rooted in its focus on the Bangsamoro Autonomous Region of Muslim Mindanao (BARMM), specifically within the Schools Division of Lanao del Sur II and the Madamba School District. This region serves as the research locale, offering a microcosm of the broader challenges faced in BARMM, such as geographic isolation, socio-cultural diversity, and systemic neglect. The choice of this locale is not arbitrary; it reflects the urgency of addressing teacher retention in a context where logistical barriers, cultural complexities, and limited resources exacerbate turnover rates. By situating the investigation within these 13 schools, the study examines Learning Action Cells (LACs) as an innovative educational technology designed to foster resilience among educators. This localized yet representative setting allows for an exploration of LACs’ adaptability and efficacy in one of the Philippines’ most challenging educational environments.</w:t>
      </w:r>
    </w:p>
    <w:p w14:paraId="5DBBE112">
      <w:pPr>
        <w:jc w:val="both"/>
        <w:rPr>
          <w:rFonts w:ascii="Times New Roman" w:hAnsi="Times New Roman" w:cs="Times New Roman"/>
          <w:sz w:val="24"/>
          <w:szCs w:val="24"/>
          <w:lang w:val="en-US"/>
        </w:rPr>
      </w:pPr>
      <w:r>
        <w:rPr>
          <w:rFonts w:ascii="Times New Roman" w:hAnsi="Times New Roman" w:cs="Times New Roman"/>
          <w:sz w:val="24"/>
          <w:szCs w:val="24"/>
          <w:lang w:val="en-US"/>
        </w:rPr>
        <w:t>The research adopts a mixed-methods approach , integrating both quantitative and qualitative techniques to provide a holistic understanding of LACs’ impact on teacher retention and professional growth. Quantitatively, the study leverages survey data to measure variables such as teachers’ perceptions of LACs’ effectiveness, retention rates, and correlations between participation and outcomes. For instance, striking figures like the 83.50% retention rate among active LAC participants versus a 0% retention rate among non-participants highlight the statistical significance of LACs’ role in stabilizing the teaching workforce. Qualitatively, the study draws on rich narratives from teachers, capturing their lived experiences through reflections such as “LACs make me want to stay” or “Reflecting with peers improves my skills.” These insights illuminate the human dimensions behind the numbers, echoing Albert Bandura’s Social Learning Theory (SLT) and reinforcing the transformative potential of collaborative learning. Together, these methods ensure that both measurable outcomes and nuanced perspectives are captured, providing a comprehensive lens through which to assess LACs’ long-term efficacy.</w:t>
      </w:r>
    </w:p>
    <w:p w14:paraId="0BB65BF7">
      <w:pPr>
        <w:jc w:val="both"/>
        <w:rPr>
          <w:rFonts w:ascii="Times New Roman" w:hAnsi="Times New Roman" w:cs="Times New Roman"/>
          <w:sz w:val="24"/>
          <w:szCs w:val="24"/>
          <w:lang w:val="en-US"/>
        </w:rPr>
      </w:pPr>
      <w:r>
        <w:rPr>
          <w:rFonts w:ascii="Times New Roman" w:hAnsi="Times New Roman" w:cs="Times New Roman"/>
          <w:sz w:val="24"/>
          <w:szCs w:val="24"/>
          <w:lang w:val="en-US"/>
        </w:rPr>
        <w:t>The sample size for this study encompasses the 13 schools within the Madamba School District , representing a diverse yet cohesive group of educators operating within a shared socio-cultural and logistical context. While the exact number of participating teachers is not explicitly stated, the focus remains on those actively engaged in LACs and those who are not, allowing for a comparative analysis of retention and professional growth. This deliberate selection ensures that the findings are grounded in real-world conditions, reflecting the challenges and opportunities unique to BARMM’s educational landscape. By concentrating on this specific district, the study avoids overgeneralization while maintaining relevance to broader regional and global discussions on teacher retention.</w:t>
      </w:r>
    </w:p>
    <w:p w14:paraId="6DF2BFD6">
      <w:pPr>
        <w:jc w:val="both"/>
        <w:rPr>
          <w:rFonts w:ascii="Times New Roman" w:hAnsi="Times New Roman" w:cs="Times New Roman"/>
          <w:sz w:val="24"/>
          <w:szCs w:val="24"/>
          <w:lang w:val="en-US"/>
        </w:rPr>
      </w:pPr>
      <w:r>
        <w:rPr>
          <w:rFonts w:ascii="Times New Roman" w:hAnsi="Times New Roman" w:cs="Times New Roman"/>
          <w:sz w:val="24"/>
          <w:szCs w:val="24"/>
          <w:lang w:val="en-US"/>
        </w:rPr>
        <w:t>Data analysis techniques are tailored to the mixed-methods design, employing both statistical and thematic approaches to interpret the collected information. Quantitatively, the study utilizes correlation analysis, descriptive statistics, and mediation models to examine relationships between variables such as LAC participation, professional growth, and retention. For example, the strong positive correlation (r = 0.673 ) between leadership involvement and teacher retention underscores the statistical robustness of the findings. Mediation analysis further reveals how professional growth amplifies LACs’ impact on retention, supported by a total effect of 1.3028247</w:t>
      </w:r>
      <w:commentRangeStart w:id="7"/>
      <w:r>
        <w:rPr>
          <w:rFonts w:ascii="Times New Roman" w:hAnsi="Times New Roman" w:cs="Times New Roman"/>
          <w:sz w:val="24"/>
          <w:szCs w:val="24"/>
          <w:lang w:val="en-US"/>
        </w:rPr>
        <w:t>7 .</w:t>
      </w:r>
      <w:commentRangeEnd w:id="7"/>
      <w:r>
        <w:commentReference w:id="7"/>
      </w:r>
      <w:r>
        <w:rPr>
          <w:rFonts w:ascii="Times New Roman" w:hAnsi="Times New Roman" w:cs="Times New Roman"/>
          <w:sz w:val="24"/>
          <w:szCs w:val="24"/>
          <w:lang w:val="en-US"/>
        </w:rPr>
        <w:t xml:space="preserve"> Qualitatively, thematic analysis is applied to teacher narratives, identifying recurring themes like peer support, cultural adaptability, and enhanced self-efficacy. These dual approaches ensure that the study captures both the empirical and experiential dimensions of LACs’ role in sustaining educators amidst adversity.</w:t>
      </w:r>
    </w:p>
    <w:p w14:paraId="14B65BE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implementation of LACs in BARMM was guided by a phased strategy, beginning with pilot programs in </w:t>
      </w:r>
      <w:commentRangeStart w:id="8"/>
      <w:r>
        <w:rPr>
          <w:rFonts w:ascii="Times New Roman" w:hAnsi="Times New Roman" w:cs="Times New Roman"/>
          <w:sz w:val="24"/>
          <w:szCs w:val="24"/>
          <w:lang w:val="en-US"/>
        </w:rPr>
        <w:t>select</w:t>
      </w:r>
      <w:commentRangeEnd w:id="8"/>
      <w:r>
        <w:commentReference w:id="8"/>
      </w:r>
      <w:r>
        <w:rPr>
          <w:rFonts w:ascii="Times New Roman" w:hAnsi="Times New Roman" w:cs="Times New Roman"/>
          <w:sz w:val="24"/>
          <w:szCs w:val="24"/>
          <w:lang w:val="en-US"/>
        </w:rPr>
        <w:t xml:space="preserve"> schools before expanding district-wide. This incremental approach allowed DepEd to refine the model based on feedback from teachers and administrators, ensuring its relevance and sustainability in BARMM’s unique context. For example, initial sessions focused on foundational skills such as lesson planning and classroom management, gradually incorporating advanced topics like differentiated instruction and culturally responsive teaching. This progression aligns with Bandura’s notion of self-efficacy, where incremental mastery of skills builds confidence and commitment over time. The iterative nature of LACs—where teachers identify challenges, share solutions, test adaptations, and reflect on outcomes—mirrors SLT’s cognitive loop, fostering continuous improvement and resilience.</w:t>
      </w:r>
    </w:p>
    <w:p w14:paraId="32F124DB">
      <w:pPr>
        <w:jc w:val="both"/>
        <w:rPr>
          <w:rFonts w:ascii="Times New Roman" w:hAnsi="Times New Roman" w:cs="Times New Roman"/>
          <w:sz w:val="24"/>
          <w:szCs w:val="24"/>
          <w:lang w:val="en-US"/>
        </w:rPr>
      </w:pPr>
      <w:r>
        <w:rPr>
          <w:rFonts w:ascii="Times New Roman" w:hAnsi="Times New Roman" w:cs="Times New Roman"/>
          <w:sz w:val="24"/>
          <w:szCs w:val="24"/>
          <w:lang w:val="en-US"/>
        </w:rPr>
        <w:t>Despite their promise, the implementation of LACs in BARMM has not been without challenges. Resource constraints, such as limited funding for materials and logistical support, have occasionally hindered the consistency of LAC sessions. Additionally, some teachers initially expressed skepticism about the program’s effectiveness, particularly those accustomed to traditional, lecture-based training methods. However, qualitative insights highlight a gradual shift in perceptions, with participants describing LACs as a source of motivation and professional growth. One teacher remarked, “Reflecting with peers improves my skills,” while another noted, “Seeing colleagues innovate keeps me motivated to stay.” These narratives illustrate how LACs’ collaborative framework fosters a positive feedback loop, reinforcing both individual and collective commitment to the teaching profession.</w:t>
      </w:r>
    </w:p>
    <w:p w14:paraId="681FC14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broader implications of LACs’ implementation extend beyond BARMM, offering a replicable model for addressing teacher retention challenges in similarly fragile contexts. UNESCO’s 2019 report underscores the urgent need for innovative strategies that empower local actors to drive sustainable change in education systems grappling with fragility and underinvestment. LACs exemplify this principle by positioning teachers as active agents of their own professional development, rather than passive recipients of external interventions. Their success in sustaining </w:t>
      </w:r>
      <w:commentRangeStart w:id="9"/>
      <w:r>
        <w:rPr>
          <w:rFonts w:ascii="Times New Roman" w:hAnsi="Times New Roman" w:cs="Times New Roman"/>
          <w:sz w:val="24"/>
          <w:szCs w:val="24"/>
          <w:lang w:val="en-US"/>
        </w:rPr>
        <w:t>an</w:t>
      </w:r>
      <w:commentRangeEnd w:id="9"/>
      <w:r>
        <w:commentReference w:id="9"/>
      </w:r>
      <w:r>
        <w:rPr>
          <w:rFonts w:ascii="Times New Roman" w:hAnsi="Times New Roman" w:cs="Times New Roman"/>
          <w:sz w:val="24"/>
          <w:szCs w:val="24"/>
          <w:lang w:val="en-US"/>
        </w:rPr>
        <w:t xml:space="preserve"> 83.50% retention rate among active participants demonstrates the transformative potential of peer-driven collaboration, even in resource-constrained environments. Moreover, the strong correlation between LAC engagement and professional growth (r = 0.673 ) suggests that their impact extends beyond retention, enhancing teaching quality and student outcomes in the long term.</w:t>
      </w:r>
    </w:p>
    <w:p w14:paraId="25465A7F">
      <w:pPr>
        <w:jc w:val="both"/>
        <w:rPr>
          <w:rFonts w:ascii="Times New Roman" w:hAnsi="Times New Roman" w:cs="Times New Roman"/>
          <w:sz w:val="24"/>
          <w:szCs w:val="24"/>
          <w:lang w:val="en-US"/>
        </w:rPr>
      </w:pPr>
      <w:r>
        <w:rPr>
          <w:rFonts w:ascii="Times New Roman" w:hAnsi="Times New Roman" w:cs="Times New Roman"/>
          <w:sz w:val="24"/>
          <w:szCs w:val="24"/>
          <w:lang w:val="en-US"/>
        </w:rPr>
        <w:t>In light of this, the methodology of this study is designed to rigorously examine the mechanisms through which LACs sustain teacher retention and professional growth in BARMM’s unique context. By integrating quantitative metrics with qualitative insights, the research bridges the gap between theory and practice, offering actionable recommendations for DepEd policy and beyond. The findings not only resonate within BARMM’s unique context but also hold broader implications for regions grappling with similar challenges, making LACs a scalable blueprint for reimagining teacher retention strategies worldwide.</w:t>
      </w:r>
    </w:p>
    <w:p w14:paraId="170A793B">
      <w:pPr>
        <w:ind w:left="540" w:hanging="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The BARMM Educational Landscape: Context and Challenges </w:t>
      </w:r>
    </w:p>
    <w:p w14:paraId="07D97DA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implementation of Learning Action Cells (LACs) in BARMM’s Madamba School District represents a critical evolution in DepEd’s strategy to address the region’s unique educational challenges, shaped by decades of conflict, cultural distinctiveness, and systemic neglect. Rooted in DepEd Order No. 35, s. 2016 (Department of Education [DepEd], 2016), LACs were introduced to BARMM in 2017 as a decentralized, peer-led professional development mechanism. This mandate emerged in response to the limitations of top-down training programs, which often failed to reach remote, conflict-affected areas or address localized needs effectively. By shifting the paradigm from externally imposed interventions to school-based collaboration, LACs embody a transformative approach that aligns with Aristotle’s concept of </w:t>
      </w:r>
      <w:r>
        <w:rPr>
          <w:rFonts w:ascii="Times New Roman" w:hAnsi="Times New Roman" w:cs="Times New Roman"/>
          <w:i/>
          <w:iCs/>
          <w:sz w:val="24"/>
          <w:szCs w:val="24"/>
          <w:lang w:val="en-US"/>
        </w:rPr>
        <w:t xml:space="preserve">tekhnē </w:t>
      </w:r>
      <w:r>
        <w:rPr>
          <w:rFonts w:ascii="Times New Roman" w:hAnsi="Times New Roman" w:cs="Times New Roman"/>
          <w:sz w:val="24"/>
          <w:szCs w:val="24"/>
          <w:lang w:val="en-US"/>
        </w:rPr>
        <w:t>—a deliberate, systematic application of knowledge to achieve practical ends (Liddell &amp; Scott, 1940). In the context of BARMM, where geographic isolation and socio-cultural complexities exacerbate teacher turnover, LACs’ structured yet adaptable framework offers a sustainable solution.</w:t>
      </w:r>
    </w:p>
    <w:p w14:paraId="3DB6A332">
      <w:pPr>
        <w:jc w:val="both"/>
        <w:rPr>
          <w:rFonts w:ascii="Times New Roman" w:hAnsi="Times New Roman" w:cs="Times New Roman"/>
          <w:sz w:val="24"/>
          <w:szCs w:val="24"/>
          <w:lang w:val="en-US"/>
        </w:rPr>
      </w:pPr>
      <w:r>
        <w:rPr>
          <w:rFonts w:ascii="Times New Roman" w:hAnsi="Times New Roman" w:cs="Times New Roman"/>
          <w:sz w:val="24"/>
          <w:szCs w:val="24"/>
          <w:lang w:val="en-US"/>
        </w:rPr>
        <w:t>The introduction of LACs in BARMM was not merely a procedural adjustment but a strategic response to the region’s deep-rooted challenges. For decades, teachers in BARMM have faced multifaceted adversities, including limited access to professional development resources, delayed salaries, and inadequate infrastructure. These factors, compounded by the lingering effects of conflict, have created an environment where educators often feel disconnected from their peers and unsupported in their roles. Traditional training programs, typically conducted in centralized locations, proved impractical for many teachers in rural areas like Madamba, where logistical barriers made participation nearly impossible. LACs, by contrast, mitigate these challenges through their decentralized design, enabling teachers to engage in collaborative learning within their own schools. This localized approach resonates with Martin Heidegger’s philosophical exploration of technology as a “mode of revealing” human potential (Heidegger, 1977). By fostering a sense of community and shared purpose, LACs unveil teachers’ latent capacities to adapt, innovate, and persevere in the face of adversity.</w:t>
      </w:r>
    </w:p>
    <w:p w14:paraId="229F9719">
      <w:pPr>
        <w:jc w:val="both"/>
        <w:rPr>
          <w:rFonts w:ascii="Times New Roman" w:hAnsi="Times New Roman" w:cs="Times New Roman"/>
          <w:sz w:val="24"/>
          <w:szCs w:val="24"/>
          <w:lang w:val="en-US"/>
        </w:rPr>
      </w:pPr>
      <w:r>
        <w:rPr>
          <w:rFonts w:ascii="Times New Roman" w:hAnsi="Times New Roman" w:cs="Times New Roman"/>
          <w:sz w:val="24"/>
          <w:szCs w:val="24"/>
          <w:lang w:val="en-US"/>
        </w:rPr>
        <w:t>To understand the significance of LACs’ implementation in BARMM, it is essential to examine their alignment with Albert Bandura’s Social Learning Theory (SLT) (Bandura, 1969). SLT posits that learning occurs through observation, modeling, and reinforcement within a social context—a principle that underpins LACs’ peer-driven methodology. In Madamba, where educators navigate linguistic diversity (e.g., Maranao as a primary language) and culturally specific pedagogical demands, LACs provide a platform for teachers to share best practices and develop contextually relevant solutions. For instance, qualitative insights from Table 2 reveal that teachers perceive LACs as instrumental in adapting to their students’ cultural needs, with one participant noting, “LACs help us adapt to our students’ culture.” This adaptability not only enhances teaching efficacy but also fosters a sense of belonging among educators, reducing feelings of isolation and burnout. Darling-Hammond et al. (2017) emphasize that effective professional development must be responsive to local contexts—a criterion that LACs fulfill through their emphasis on collaboration and cultural relevance.</w:t>
      </w:r>
    </w:p>
    <w:p w14:paraId="5F745D1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rollout of LACs in BARMM was guided by a phased implementation strategy, beginning with pilot programs </w:t>
      </w:r>
      <w:commentRangeStart w:id="10"/>
      <w:r>
        <w:rPr>
          <w:rFonts w:ascii="Times New Roman" w:hAnsi="Times New Roman" w:cs="Times New Roman"/>
          <w:sz w:val="24"/>
          <w:szCs w:val="24"/>
          <w:lang w:val="en-US"/>
        </w:rPr>
        <w:t>in select</w:t>
      </w:r>
      <w:commentRangeEnd w:id="10"/>
      <w:r>
        <w:commentReference w:id="10"/>
      </w:r>
      <w:r>
        <w:rPr>
          <w:rFonts w:ascii="Times New Roman" w:hAnsi="Times New Roman" w:cs="Times New Roman"/>
          <w:sz w:val="24"/>
          <w:szCs w:val="24"/>
          <w:lang w:val="en-US"/>
        </w:rPr>
        <w:t xml:space="preserve"> schools before expanding district-wide. This incremental approach allowed DepEd to refine the model based on feedback from teachers and administrators, ensuring its relevance and sustainability in BARMM’s unique context. For example, initial sessions focused on foundational skills such as lesson planning and classroom management, gradually incorporating advanced topics like differentiated instruction and culturally responsive teaching. This progression aligns with Bandura’s notion of self-efficacy, where incremental mastery of skills builds confidence and commitment over time (Bandura, 1969). Quantitative data from Table 4 further corroborate this impact, showing a retention rate of 83.50% among active LAC participants compared to 0% among non-participants. Such outcomes underscore LACs’ potential to transform teacher retention dynamics in underserved regions.</w:t>
      </w:r>
    </w:p>
    <w:p w14:paraId="0E233DDB">
      <w:pPr>
        <w:jc w:val="both"/>
        <w:rPr>
          <w:rFonts w:ascii="Times New Roman" w:hAnsi="Times New Roman" w:cs="Times New Roman"/>
          <w:sz w:val="24"/>
          <w:szCs w:val="24"/>
          <w:lang w:val="en-US"/>
        </w:rPr>
      </w:pPr>
      <w:r>
        <w:rPr>
          <w:rFonts w:ascii="Times New Roman" w:hAnsi="Times New Roman" w:cs="Times New Roman"/>
          <w:sz w:val="24"/>
          <w:szCs w:val="24"/>
          <w:lang w:val="en-US"/>
        </w:rPr>
        <w:t>Despite their promise, the implementation of LACs in BARMM has not been without challenges. Resource constraints, such as limited funding for materials and logistical support, have occasionally hindered the consistency of LAC sessions. Additionally, some teachers initially expressed skepticism about the program’s effectiveness, particularly those accustomed to traditional, lecture-based training methods. However, qualitative insights from Table 2 highlight a gradual shift in perceptions, with participants describing LACs as a source of motivation and professional growth. One teacher remarked, “Reflecting with peers improves my skills,” while another noted, “Seeing colleagues innovate keeps me motivated to stay.” These narratives illustrate how LACs’ collaborative framework fosters a positive feedback loop, reinforcing both individual and collective commitment to the teaching profession.</w:t>
      </w:r>
    </w:p>
    <w:p w14:paraId="7908A484">
      <w:pPr>
        <w:jc w:val="both"/>
        <w:rPr>
          <w:rFonts w:ascii="Times New Roman" w:hAnsi="Times New Roman" w:cs="Times New Roman"/>
          <w:sz w:val="24"/>
          <w:szCs w:val="24"/>
          <w:lang w:val="en-US"/>
        </w:rPr>
      </w:pPr>
      <w:r>
        <w:rPr>
          <w:rFonts w:ascii="Times New Roman" w:hAnsi="Times New Roman" w:cs="Times New Roman"/>
          <w:sz w:val="24"/>
          <w:szCs w:val="24"/>
          <w:lang w:val="en-US"/>
        </w:rPr>
        <w:t>The broader implications of LACs’ implementation extend beyond BARMM, offering a replicable model for addressing teacher retention challenges in similarly fragile contexts. UNESCO’s 2019 report underscores the urgent need for innovative strategies that empower local actors to drive sustainable change in education systems grappling with fragility and underinvestment (UNESCO, 2019). LACs exemplify this principle by positioning teachers as active agents of their own professional development, rather than passive recipients of external interventions. Their success in sustaining an 83.50% retention rate among active participants demonstrates the transformative potential of peer-driven collaboration, even in resource-constrained environments. Moreover, the strong correlation between LAC engagement and professional growth (r = 0.673, Table 6) suggests that their impact extends beyond retention, enhancing teaching quality and student outcomes in the long term.</w:t>
      </w:r>
    </w:p>
    <w:p w14:paraId="5B9C515D">
      <w:pPr>
        <w:jc w:val="both"/>
        <w:rPr>
          <w:rFonts w:ascii="Times New Roman" w:hAnsi="Times New Roman" w:cs="Times New Roman"/>
          <w:sz w:val="24"/>
          <w:szCs w:val="24"/>
          <w:lang w:val="en-US"/>
        </w:rPr>
      </w:pPr>
      <w:r>
        <w:rPr>
          <w:rFonts w:ascii="Times New Roman" w:hAnsi="Times New Roman" w:cs="Times New Roman"/>
          <w:sz w:val="24"/>
          <w:szCs w:val="24"/>
          <w:lang w:val="en-US"/>
        </w:rPr>
        <w:t>Overall, the implementation of LACs in BARMM’s Madamba School District represents a pivotal step toward addressing the region’s retention crisis through the transformative power of social learning. By embedding professional development within schools and leveraging teachers’ collective expertise, LACs offer a sustainable, context-responsive solution that transcends the limitations of traditional approaches. Grounded in theoretical frameworks such as Bandura’s SLT and informed by empirical evidence from Madamba’s data, LACs exemplify the potential of educational technology to foster resilience and innovation in underserved communities. As this study progresses, it will delve deeper into the mechanisms through which LACs sustain educator commitment, testing their efficacy as a scalable blueprint for reimagining teacher retention strategies worldwide.</w:t>
      </w:r>
    </w:p>
    <w:p w14:paraId="16EA4EE7">
      <w:pPr>
        <w:ind w:left="540" w:hanging="54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Pr>
          <w:rFonts w:ascii="Times New Roman" w:hAnsi="Times New Roman" w:cs="Times New Roman"/>
          <w:b/>
          <w:bCs/>
          <w:sz w:val="24"/>
          <w:szCs w:val="24"/>
          <w:lang w:val="en-US"/>
        </w:rPr>
        <w:tab/>
      </w:r>
      <w:r>
        <w:rPr>
          <w:rFonts w:ascii="Times New Roman" w:hAnsi="Times New Roman" w:cs="Times New Roman"/>
          <w:b/>
          <w:bCs/>
          <w:sz w:val="24"/>
          <w:szCs w:val="24"/>
          <w:lang w:val="en-US"/>
        </w:rPr>
        <w:t>Social Learning Theory: A Framework for LAC Efficacy</w:t>
      </w:r>
    </w:p>
    <w:p w14:paraId="35E1BFE5">
      <w:pPr>
        <w:jc w:val="both"/>
        <w:rPr>
          <w:rFonts w:ascii="Times New Roman" w:hAnsi="Times New Roman" w:cs="Times New Roman"/>
          <w:sz w:val="24"/>
          <w:szCs w:val="24"/>
          <w:lang w:val="en-US"/>
        </w:rPr>
      </w:pPr>
      <w:r>
        <w:rPr>
          <w:rFonts w:ascii="Times New Roman" w:hAnsi="Times New Roman" w:cs="Times New Roman"/>
          <w:sz w:val="24"/>
          <w:szCs w:val="24"/>
          <w:lang w:val="en-US"/>
        </w:rPr>
        <w:t>The efficacy of Learning Action Cells (LACs) in enhancing teacher retention and professional growth within the Madamba School District can be understood through the lens of Albert Bandura’s Social Learning Theory (SLT) (Bandura, 1969). SLT posits that learning occurs through observation, modeling, and reinforcement within a social context—a framework that aligns seamlessly with the peer-driven methodology of LACs. In BARMM, where educators navigate linguistic diversity, cultural distinctiveness, and resource scarcity, LACs provide a structured yet adaptable platform for teachers to share best practices, reflect on their experiences, and develop contextually relevant solutions. This alignment with SLT underscores LACs’ potential to transform teacher retention dynamics in underserved regions, as evidenced by the strong retention rate of 83.50% among active participants (Table 1).</w:t>
      </w:r>
    </w:p>
    <w:p w14:paraId="308B9513">
      <w:pPr>
        <w:jc w:val="both"/>
        <w:rPr>
          <w:rFonts w:ascii="Times New Roman" w:hAnsi="Times New Roman" w:cs="Times New Roman"/>
          <w:sz w:val="24"/>
          <w:szCs w:val="24"/>
          <w:lang w:val="en-US"/>
        </w:rPr>
      </w:pPr>
      <w:r>
        <w:rPr>
          <w:rFonts w:ascii="Times New Roman" w:hAnsi="Times New Roman" w:cs="Times New Roman"/>
          <w:sz w:val="24"/>
          <w:szCs w:val="24"/>
          <w:lang w:val="en-US"/>
        </w:rPr>
        <w:t>The diagram’s focal point, labeled “LACs: Central Hub,” reflects their systemic function in integrating SLT’s core constructs. Positioned at the top, this hub symbolizes LACs’ authority in shaping educational practice while remaining dynamically influenced by the mechanisms below. The parenthetical note—“Retention: 83.50%, Growth: Mean 4.296–4.335”—anchors LACs’ efficacy in quantifiable outcomes, aligning with Bandura’s assertion that learning is measurable through behavioral change (Bandura, 1977, p. 22). Vertical bidirectional arrows (↕) connecting the hub to the four SLT nodes—Observational Learning, Modeling, Reinforcement, and Cognition—illustrate the reciprocal relationships that sustain LACs’ impact. For instance, teachers’ engagement in observational learning fosters modeling behaviors, which in turn reinforce cognitive processing and collaborative problem-solving.</w:t>
      </w:r>
    </w:p>
    <w:p w14:paraId="75E2CE6B">
      <w:pPr>
        <w:jc w:val="both"/>
        <w:rPr>
          <w:rFonts w:ascii="Times New Roman" w:hAnsi="Times New Roman" w:cs="Times New Roman"/>
          <w:sz w:val="24"/>
          <w:szCs w:val="24"/>
          <w:lang w:val="en-US"/>
        </w:rPr>
      </w:pPr>
      <w:r>
        <w:rPr>
          <w:rFonts w:ascii="Times New Roman" w:hAnsi="Times New Roman" w:cs="Times New Roman"/>
          <w:sz w:val="24"/>
          <w:szCs w:val="24"/>
          <w:lang w:val="en-US"/>
        </w:rPr>
        <w:t>Observational learning, a cornerstone of SLT, is exemplified in Madamba’s LAC sessions, where teachers learn by observing colleagues navigate shared challenges. For example, one teacher might adopt a peer’s strategy of using kulintang music to teach fractions, a practice, which can later then be validated through improved student engagement (Department of Education, 2020). Qualitative insights from Table 3 further corroborate this mechanism, with participants noting, “LACs taught me new ways to teach.” This vicarious learning not only enhances teaching efficacy but also fosters a sense of belonging among educators, reducing feelings of isolation and burnout. Darling-Hammond et al. (2017) emphasize that effective professional development must be responsive to local contexts—a criterion that LACs fulfill through their emphasis on collaboration and cultural relevance.</w:t>
      </w:r>
    </w:p>
    <w:p w14:paraId="1915DAE1">
      <w:pPr>
        <w:jc w:val="both"/>
        <w:rPr>
          <w:rFonts w:ascii="Times New Roman" w:hAnsi="Times New Roman" w:cs="Times New Roman"/>
          <w:sz w:val="24"/>
          <w:szCs w:val="24"/>
          <w:lang w:val="en-US"/>
        </w:rPr>
      </w:pPr>
      <w:r>
        <w:rPr>
          <w:rFonts w:ascii="Times New Roman" w:hAnsi="Times New Roman" w:cs="Times New Roman"/>
          <w:sz w:val="24"/>
          <w:szCs w:val="24"/>
          <w:lang w:val="en-US"/>
        </w:rPr>
        <w:t>Modeling, another critical component of SLT, is evident in the way LACs leverage peer expertise to establish best practices. Teachers who observe colleagues successfully implementing innovative strategies are more likely to adopt similar approaches, creating a ripple effect of professional growth. For instance, a teacher might adapt bayok (Maranao oral poetry) for literacy lessons after witnessing its effectiveness in a colleague’s classroom. This process of modeling aligns with Bandura’s argument that behavior is shaped through imitation and reinforcement, as reflected in qualitative insights such as “Seeing colleagues innovate keeps me motivated to stay” (Table 2). By fostering a culture of shared expertise, LACs enhance both individual and collective commitment to the teaching profession.</w:t>
      </w:r>
    </w:p>
    <w:p w14:paraId="767AB4E3">
      <w:pPr>
        <w:jc w:val="both"/>
        <w:rPr>
          <w:rFonts w:ascii="Times New Roman" w:hAnsi="Times New Roman" w:cs="Times New Roman"/>
          <w:sz w:val="24"/>
          <w:szCs w:val="24"/>
          <w:lang w:val="en-US"/>
        </w:rPr>
      </w:pPr>
      <w:r>
        <w:rPr>
          <w:rFonts w:ascii="Times New Roman" w:hAnsi="Times New Roman" w:cs="Times New Roman"/>
          <w:sz w:val="24"/>
          <w:szCs w:val="24"/>
          <w:lang w:val="en-US"/>
        </w:rPr>
        <w:t>Reinforcement, the third node in the SLT framework, underscores the importance of positive feedback loops in sustaining teacher engagement. In Madamba, LACs create opportunities for teachers to receive constructive feedback from peers, reinforcing their sense of agency and self-efficacy. For example, a teacher might reflect on their use of culturally relevant pedagogies during a LAC session, receiving validation and suggestions for improvement from colleagues. This reinforcement not only strengthens teaching skills but also builds resilience, enabling educators to persevere in challenging environments. Quantitative data from Tables 5 and 6 further support this impact, showing high perception scores (mean: 4.361) and strong correlations between LAC engagement and professional growth (r = 0.673).</w:t>
      </w:r>
    </w:p>
    <w:p w14:paraId="5C7A6FC9">
      <w:pPr>
        <w:jc w:val="both"/>
        <w:rPr>
          <w:rFonts w:ascii="Times New Roman" w:hAnsi="Times New Roman" w:cs="Times New Roman"/>
          <w:sz w:val="24"/>
          <w:szCs w:val="24"/>
          <w:lang w:val="en-US"/>
        </w:rPr>
      </w:pPr>
      <w:r>
        <w:rPr>
          <w:rFonts w:ascii="Times New Roman" w:hAnsi="Times New Roman" w:cs="Times New Roman"/>
          <w:sz w:val="24"/>
          <w:szCs w:val="24"/>
          <w:lang w:val="en-US"/>
        </w:rPr>
        <w:t>Cognition, the final node in the SLT framework, captures teachers’ cognitive processing of observed strategies and their adaptation to specific contexts. This process is exemplified in Madamba’s LAC sessions, where educators engage in reflective discussions to refine their practices. For instance, one teacher might reflect on how to integrate bayok into literacy lessons, adapting the strategy to align with students’ cultural backgrounds. Qualitative insights from Table 2 highlight this cognitive engagement, with participants noting, “Reflecting with peers improves my skills.” This active mental processing resonates with Bandura’s argument that learning requires not only observation but also deliberate reflection and application.</w:t>
      </w:r>
    </w:p>
    <w:p w14:paraId="601F4DA8">
      <w:pPr>
        <w:jc w:val="both"/>
        <w:rPr>
          <w:rFonts w:ascii="Times New Roman" w:hAnsi="Times New Roman" w:cs="Times New Roman"/>
          <w:sz w:val="24"/>
          <w:szCs w:val="24"/>
          <w:lang w:val="en-US"/>
        </w:rPr>
      </w:pPr>
      <w:r>
        <w:rPr>
          <w:rFonts w:ascii="Times New Roman" w:hAnsi="Times New Roman" w:cs="Times New Roman"/>
          <w:sz w:val="24"/>
          <w:szCs w:val="24"/>
          <w:lang w:val="en-US"/>
        </w:rPr>
        <w:t>The dotted boundary enclosing the four SLT nodes visually unifies them as an integrated framework, reflecting Psychology Education (2024) emphasis on systemic coherence. LACs succeed not through isolated interventions but by harmonizing observational learning, modeling, reinforcement, and cognition. In BARMM, this integration is critical, as educators navigate cultural, logistical, and post-conflict challenges. By merging these mechanisms, LACs transform abstract collaboration into tangible outcomes, proving that when theory meets practice, the result is a resilient, reflective, and empowered educational community.</w:t>
      </w:r>
    </w:p>
    <w:p w14:paraId="2BF3057E">
      <w:pPr>
        <w:jc w:val="both"/>
        <w:rPr>
          <w:rFonts w:ascii="Times New Roman" w:hAnsi="Times New Roman" w:cs="Times New Roman"/>
          <w:sz w:val="24"/>
          <w:szCs w:val="24"/>
          <w:lang w:val="en-US"/>
        </w:rPr>
      </w:pPr>
      <w:r>
        <w:rPr>
          <w:rFonts w:ascii="Times New Roman" w:hAnsi="Times New Roman" w:cs="Times New Roman"/>
          <w:sz w:val="24"/>
          <w:szCs w:val="24"/>
          <w:lang w:val="en-US"/>
        </w:rPr>
        <w:t>In essence, SLT provides the scaffolding through which LACs address the dual challenges of teacher retention and professional growth in BARMM. Cultural resonance further amplifies their impact, as LACs align with collective efficacy and community anchoring—a principle reinforced by testimonies such as “LACs turn isolation into collaboration” (Table 2). This synergy positions LACs as both a product of and solution to BARMM’s educational crisis, offering a blueprint for scaling their impact across diverse settings. By adapting SLT’s principles to local cultural values, LACs foster broader systemic change, ensuring that the transformative power of social learning endures for generations.</w:t>
      </w:r>
    </w:p>
    <w:p w14:paraId="252675FC">
      <w:pPr>
        <w:jc w:val="both"/>
        <w:rPr>
          <w:rFonts w:ascii="Times New Roman" w:hAnsi="Times New Roman" w:cs="Times New Roman"/>
          <w:sz w:val="24"/>
          <w:szCs w:val="24"/>
          <w:lang w:val="en-US"/>
        </w:rPr>
      </w:pPr>
      <w:r>
        <w:rPr>
          <w:rFonts w:ascii="Times New Roman" w:hAnsi="Times New Roman" w:cs="Times New Roman"/>
          <w:sz w:val="24"/>
          <w:szCs w:val="24"/>
          <w:lang w:val="en-US"/>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ge">
                  <wp:posOffset>3483610</wp:posOffset>
                </wp:positionV>
                <wp:extent cx="5819775" cy="3124200"/>
                <wp:effectExtent l="0" t="0" r="28575" b="0"/>
                <wp:wrapTopAndBottom/>
                <wp:docPr id="6" name="Group 6"/>
                <wp:cNvGraphicFramePr/>
                <a:graphic xmlns:a="http://schemas.openxmlformats.org/drawingml/2006/main">
                  <a:graphicData uri="http://schemas.microsoft.com/office/word/2010/wordprocessingGroup">
                    <wpg:wgp>
                      <wpg:cNvGrpSpPr/>
                      <wpg:grpSpPr>
                        <a:xfrm>
                          <a:off x="0" y="0"/>
                          <a:ext cx="5819775" cy="3124200"/>
                          <a:chOff x="0" y="0"/>
                          <a:chExt cx="6010275" cy="3124200"/>
                        </a:xfrm>
                      </wpg:grpSpPr>
                      <wpg:grpSp>
                        <wpg:cNvPr id="24" name="Group 24"/>
                        <wpg:cNvGrpSpPr/>
                        <wpg:grpSpPr>
                          <a:xfrm>
                            <a:off x="0" y="0"/>
                            <a:ext cx="6010275" cy="2781300"/>
                            <a:chOff x="0" y="0"/>
                            <a:chExt cx="6010275" cy="2781300"/>
                          </a:xfrm>
                        </wpg:grpSpPr>
                        <wps:wsp>
                          <wps:cNvPr id="1" name="Text Box 1"/>
                          <wps:cNvSpPr txBox="1"/>
                          <wps:spPr>
                            <a:xfrm>
                              <a:off x="1524000" y="0"/>
                              <a:ext cx="2952750" cy="428625"/>
                            </a:xfrm>
                            <a:prstGeom prst="rect">
                              <a:avLst/>
                            </a:prstGeom>
                            <a:solidFill>
                              <a:schemeClr val="lt1"/>
                            </a:solidFill>
                            <a:ln w="6350">
                              <a:solidFill>
                                <a:prstClr val="black"/>
                              </a:solidFill>
                              <a:prstDash val="sysDash"/>
                            </a:ln>
                          </wps:spPr>
                          <wps:txbx>
                            <w:txbxContent>
                              <w:p w14:paraId="139F7DA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LACs: Central Hub</w:t>
                                </w:r>
                              </w:p>
                              <w:p w14:paraId="68A561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(Retention: 83.50%, Growth: Mean 4.296-4.335)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Straight Arrow Connector 2"/>
                          <wps:cNvCnPr/>
                          <wps:spPr>
                            <a:xfrm>
                              <a:off x="3000375" y="457200"/>
                              <a:ext cx="0" cy="371475"/>
                            </a:xfrm>
                            <a:prstGeom prst="straightConnector1">
                              <a:avLst/>
                            </a:prstGeom>
                            <a:ln>
                              <a:headEnd type="triangl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3" name="Text Box 3"/>
                          <wps:cNvSpPr txBox="1"/>
                          <wps:spPr>
                            <a:xfrm>
                              <a:off x="0" y="876300"/>
                              <a:ext cx="6010275" cy="1905000"/>
                            </a:xfrm>
                            <a:prstGeom prst="rect">
                              <a:avLst/>
                            </a:prstGeom>
                            <a:noFill/>
                            <a:ln w="6350">
                              <a:solidFill>
                                <a:prstClr val="black"/>
                              </a:solidFill>
                              <a:prstDash val="dash"/>
                            </a:ln>
                          </wps:spPr>
                          <wps:txbx>
                            <w:txbxContent>
                              <w:p w14:paraId="10682B93"/>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 name="Text Box 4"/>
                          <wps:cNvSpPr txBox="1"/>
                          <wps:spPr>
                            <a:xfrm>
                              <a:off x="1666875" y="1104900"/>
                              <a:ext cx="1152525" cy="1638300"/>
                            </a:xfrm>
                            <a:prstGeom prst="rect">
                              <a:avLst/>
                            </a:prstGeom>
                            <a:solidFill>
                              <a:schemeClr val="lt1"/>
                            </a:solidFill>
                            <a:ln w="6350">
                              <a:noFill/>
                            </a:ln>
                          </wps:spPr>
                          <wps:txbx>
                            <w:txbxContent>
                              <w:p w14:paraId="7DEDD307">
                                <w:pPr>
                                  <w:spacing w:after="0" w:line="240" w:lineRule="auto"/>
                                  <w:jc w:val="center"/>
                                  <w:rPr>
                                    <w:sz w:val="18"/>
                                    <w:szCs w:val="18"/>
                                    <w:lang w:val="en-PH"/>
                                  </w:rPr>
                                </w:pPr>
                                <w:r>
                                  <w:rPr>
                                    <w:sz w:val="18"/>
                                    <w:szCs w:val="18"/>
                                    <w:lang w:val="en-PH"/>
                                  </w:rPr>
                                  <w:t>[</w:t>
                                </w:r>
                                <w:r>
                                  <w:rPr>
                                    <w:sz w:val="18"/>
                                    <w:szCs w:val="18"/>
                                  </w:rPr>
                                  <w:t>Modeling</w:t>
                                </w:r>
                                <w:r>
                                  <w:rPr>
                                    <w:sz w:val="18"/>
                                    <w:szCs w:val="18"/>
                                    <w:lang w:val="en-PH"/>
                                  </w:rPr>
                                  <w:t>]</w:t>
                                </w:r>
                              </w:p>
                              <w:p w14:paraId="27C5A1EA">
                                <w:pPr>
                                  <w:spacing w:after="0" w:line="240" w:lineRule="auto"/>
                                  <w:jc w:val="center"/>
                                  <w:rPr>
                                    <w:sz w:val="18"/>
                                    <w:szCs w:val="18"/>
                                  </w:rPr>
                                </w:pPr>
                              </w:p>
                              <w:p w14:paraId="63E156E9">
                                <w:pPr>
                                  <w:spacing w:after="0" w:line="240" w:lineRule="auto"/>
                                  <w:jc w:val="center"/>
                                  <w:rPr>
                                    <w:sz w:val="18"/>
                                    <w:szCs w:val="18"/>
                                  </w:rPr>
                                </w:pPr>
                                <w:r>
                                  <w:rPr>
                                    <w:sz w:val="18"/>
                                    <w:szCs w:val="18"/>
                                  </w:rPr>
                                  <w:t>(Imitating Leaders)</w:t>
                                </w:r>
                              </w:p>
                              <w:p w14:paraId="56D01EBB">
                                <w:pPr>
                                  <w:spacing w:after="0" w:line="240" w:lineRule="auto"/>
                                  <w:jc w:val="center"/>
                                  <w:rPr>
                                    <w:sz w:val="18"/>
                                    <w:szCs w:val="18"/>
                                  </w:rPr>
                                </w:pPr>
                              </w:p>
                              <w:p w14:paraId="0937CFF7">
                                <w:pPr>
                                  <w:spacing w:after="0" w:line="240" w:lineRule="auto"/>
                                  <w:jc w:val="center"/>
                                  <w:rPr>
                                    <w:sz w:val="18"/>
                                    <w:szCs w:val="18"/>
                                  </w:rPr>
                                </w:pPr>
                              </w:p>
                              <w:p w14:paraId="3D31FD04">
                                <w:pPr>
                                  <w:spacing w:after="0" w:line="240" w:lineRule="auto"/>
                                  <w:jc w:val="center"/>
                                  <w:rPr>
                                    <w:sz w:val="18"/>
                                    <w:szCs w:val="18"/>
                                  </w:rPr>
                                </w:pPr>
                              </w:p>
                              <w:p w14:paraId="41C44477">
                                <w:pPr>
                                  <w:spacing w:after="0" w:line="240" w:lineRule="auto"/>
                                  <w:jc w:val="center"/>
                                  <w:rPr>
                                    <w:sz w:val="18"/>
                                    <w:szCs w:val="18"/>
                                  </w:rPr>
                                </w:pPr>
                              </w:p>
                              <w:p w14:paraId="2183640C">
                                <w:pPr>
                                  <w:spacing w:after="0" w:line="240" w:lineRule="auto"/>
                                  <w:jc w:val="center"/>
                                  <w:rPr>
                                    <w:sz w:val="18"/>
                                    <w:szCs w:val="18"/>
                                    <w:lang w:val="en-PH"/>
                                  </w:rPr>
                                </w:pPr>
                                <w:r>
                                  <w:rPr>
                                    <w:sz w:val="18"/>
                                    <w:szCs w:val="18"/>
                                    <w:lang w:val="en-PH"/>
                                  </w:rPr>
                                  <w:t xml:space="preserve">                        </w:t>
                                </w:r>
                                <w:r>
                                  <w:rPr>
                                    <w:sz w:val="18"/>
                                    <w:szCs w:val="18"/>
                                  </w:rPr>
                                  <w:t>(Shapes LACs)</w:t>
                                </w:r>
                              </w:p>
                              <w:p w14:paraId="48A1D988">
                                <w:pPr>
                                  <w:spacing w:after="0" w:line="240" w:lineRule="auto"/>
                                  <w:jc w:val="center"/>
                                  <w:rPr>
                                    <w:sz w:val="18"/>
                                    <w:szCs w:val="18"/>
                                  </w:rPr>
                                </w:pPr>
                              </w:p>
                              <w:p w14:paraId="04230097">
                                <w:pPr>
                                  <w:spacing w:after="0" w:line="240" w:lineRule="auto"/>
                                  <w:jc w:val="center"/>
                                  <w:rPr>
                                    <w:sz w:val="18"/>
                                    <w:szCs w:val="18"/>
                                  </w:rPr>
                                </w:pPr>
                              </w:p>
                              <w:p w14:paraId="4DDA4D96">
                                <w:pPr>
                                  <w:spacing w:after="0" w:line="240" w:lineRule="auto"/>
                                  <w:jc w:val="center"/>
                                  <w:rPr>
                                    <w:sz w:val="18"/>
                                    <w:szCs w:val="18"/>
                                  </w:rPr>
                                </w:pPr>
                              </w:p>
                              <w:p w14:paraId="4ADF5E31">
                                <w:pPr>
                                  <w:spacing w:after="0" w:line="240" w:lineRule="auto"/>
                                  <w:jc w:val="center"/>
                                  <w:rPr>
                                    <w:sz w:val="18"/>
                                    <w:szCs w:val="18"/>
                                    <w:lang w:val="en-PH"/>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 name="Text Box 7"/>
                          <wps:cNvSpPr txBox="1"/>
                          <wps:spPr>
                            <a:xfrm>
                              <a:off x="9525" y="1085850"/>
                              <a:ext cx="1381125" cy="1666875"/>
                            </a:xfrm>
                            <a:prstGeom prst="rect">
                              <a:avLst/>
                            </a:prstGeom>
                            <a:solidFill>
                              <a:schemeClr val="lt1"/>
                            </a:solidFill>
                            <a:ln w="6350">
                              <a:noFill/>
                            </a:ln>
                          </wps:spPr>
                          <wps:txbx>
                            <w:txbxContent>
                              <w:p w14:paraId="428E1703">
                                <w:pPr>
                                  <w:jc w:val="center"/>
                                  <w:rPr>
                                    <w:sz w:val="18"/>
                                    <w:szCs w:val="18"/>
                                    <w:lang w:val="en-PH"/>
                                  </w:rPr>
                                </w:pPr>
                                <w:r>
                                  <w:rPr>
                                    <w:sz w:val="18"/>
                                    <w:szCs w:val="18"/>
                                    <w:lang w:val="en-PH"/>
                                  </w:rPr>
                                  <w:t>[</w:t>
                                </w:r>
                                <w:r>
                                  <w:rPr>
                                    <w:sz w:val="18"/>
                                    <w:szCs w:val="18"/>
                                  </w:rPr>
                                  <w:t>Observational Learning</w:t>
                                </w:r>
                                <w:r>
                                  <w:rPr>
                                    <w:sz w:val="18"/>
                                    <w:szCs w:val="18"/>
                                    <w:lang w:val="en-PH"/>
                                  </w:rPr>
                                  <w:t>]</w:t>
                                </w:r>
                              </w:p>
                              <w:p w14:paraId="6015A408">
                                <w:pPr>
                                  <w:jc w:val="center"/>
                                  <w:rPr>
                                    <w:sz w:val="18"/>
                                    <w:szCs w:val="18"/>
                                    <w:lang w:val="en-PH"/>
                                  </w:rPr>
                                </w:pPr>
                                <w:r>
                                  <w:rPr>
                                    <w:sz w:val="18"/>
                                    <w:szCs w:val="18"/>
                                    <w:lang w:val="en-PH"/>
                                  </w:rPr>
                                  <w:t>(Watching Peers)</w:t>
                                </w:r>
                              </w:p>
                              <w:p w14:paraId="3942ADDC">
                                <w:pPr>
                                  <w:spacing w:after="0" w:line="240" w:lineRule="auto"/>
                                  <w:jc w:val="center"/>
                                  <w:rPr>
                                    <w:sz w:val="18"/>
                                    <w:szCs w:val="18"/>
                                    <w:lang w:val="en-PH"/>
                                  </w:rPr>
                                </w:pPr>
                              </w:p>
                              <w:p w14:paraId="4E149A6D">
                                <w:pPr>
                                  <w:spacing w:after="0" w:line="240" w:lineRule="auto"/>
                                  <w:jc w:val="center"/>
                                  <w:rPr>
                                    <w:sz w:val="18"/>
                                    <w:szCs w:val="18"/>
                                    <w:lang w:val="en-PH"/>
                                  </w:rPr>
                                </w:pPr>
                              </w:p>
                              <w:p w14:paraId="077528B5">
                                <w:pPr>
                                  <w:spacing w:after="0" w:line="240" w:lineRule="auto"/>
                                  <w:jc w:val="center"/>
                                  <w:rPr>
                                    <w:sz w:val="18"/>
                                    <w:szCs w:val="18"/>
                                    <w:lang w:val="en-PH"/>
                                  </w:rPr>
                                </w:pPr>
                              </w:p>
                              <w:p w14:paraId="34A76AD1">
                                <w:pPr>
                                  <w:spacing w:after="0" w:line="240" w:lineRule="auto"/>
                                  <w:jc w:val="center"/>
                                  <w:rPr>
                                    <w:sz w:val="18"/>
                                    <w:szCs w:val="18"/>
                                    <w:lang w:val="en-PH"/>
                                  </w:rPr>
                                </w:pPr>
                              </w:p>
                              <w:p w14:paraId="15B99D35">
                                <w:pPr>
                                  <w:spacing w:after="0" w:line="240" w:lineRule="auto"/>
                                  <w:jc w:val="center"/>
                                  <w:rPr>
                                    <w:sz w:val="18"/>
                                    <w:szCs w:val="18"/>
                                    <w:lang w:val="en-PH"/>
                                  </w:rPr>
                                </w:pPr>
                                <w:r>
                                  <w:rPr>
                                    <w:sz w:val="18"/>
                                    <w:szCs w:val="18"/>
                                  </w:rPr>
                                  <w:t>(Shapes LACs)</w:t>
                                </w:r>
                              </w:p>
                              <w:p w14:paraId="0CD0C676">
                                <w:pPr>
                                  <w:spacing w:after="0" w:line="240" w:lineRule="auto"/>
                                  <w:jc w:val="center"/>
                                  <w:rPr>
                                    <w:sz w:val="18"/>
                                    <w:szCs w:val="18"/>
                                    <w:lang w:val="en-PH"/>
                                  </w:rPr>
                                </w:pPr>
                              </w:p>
                              <w:p w14:paraId="405A45EE">
                                <w:pPr>
                                  <w:spacing w:after="0" w:line="240" w:lineRule="auto"/>
                                  <w:jc w:val="center"/>
                                  <w:rPr>
                                    <w:sz w:val="18"/>
                                    <w:szCs w:val="18"/>
                                    <w:lang w:val="en-PH"/>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Text Box 9"/>
                          <wps:cNvSpPr txBox="1"/>
                          <wps:spPr>
                            <a:xfrm>
                              <a:off x="3009900" y="1104900"/>
                              <a:ext cx="1495425" cy="1647825"/>
                            </a:xfrm>
                            <a:prstGeom prst="rect">
                              <a:avLst/>
                            </a:prstGeom>
                            <a:solidFill>
                              <a:schemeClr val="lt1"/>
                            </a:solidFill>
                            <a:ln w="6350">
                              <a:noFill/>
                            </a:ln>
                          </wps:spPr>
                          <wps:txbx>
                            <w:txbxContent>
                              <w:p w14:paraId="537B1B2A">
                                <w:pPr>
                                  <w:spacing w:after="0" w:line="240" w:lineRule="auto"/>
                                  <w:jc w:val="center"/>
                                  <w:rPr>
                                    <w:sz w:val="18"/>
                                    <w:szCs w:val="18"/>
                                    <w:lang w:val="en-PH"/>
                                  </w:rPr>
                                </w:pPr>
                                <w:r>
                                  <w:rPr>
                                    <w:sz w:val="18"/>
                                    <w:szCs w:val="18"/>
                                    <w:lang w:val="en-PH"/>
                                  </w:rPr>
                                  <w:t>[</w:t>
                                </w:r>
                                <w:r>
                                  <w:rPr>
                                    <w:sz w:val="18"/>
                                    <w:szCs w:val="18"/>
                                  </w:rPr>
                                  <w:t>Reinforcement</w:t>
                                </w:r>
                                <w:r>
                                  <w:rPr>
                                    <w:sz w:val="18"/>
                                    <w:szCs w:val="18"/>
                                    <w:lang w:val="en-PH"/>
                                  </w:rPr>
                                  <w:t>]</w:t>
                                </w:r>
                              </w:p>
                              <w:p w14:paraId="34CE0123">
                                <w:pPr>
                                  <w:spacing w:after="0" w:line="240" w:lineRule="auto"/>
                                  <w:jc w:val="center"/>
                                  <w:rPr>
                                    <w:sz w:val="18"/>
                                    <w:szCs w:val="18"/>
                                    <w:lang w:val="en-US"/>
                                  </w:rPr>
                                </w:pPr>
                              </w:p>
                              <w:p w14:paraId="5E0E5E40">
                                <w:pPr>
                                  <w:spacing w:after="0" w:line="240" w:lineRule="auto"/>
                                  <w:jc w:val="center"/>
                                  <w:rPr>
                                    <w:sz w:val="18"/>
                                    <w:szCs w:val="18"/>
                                    <w:lang w:val="en-US"/>
                                  </w:rPr>
                                </w:pPr>
                                <w:r>
                                  <w:rPr>
                                    <w:sz w:val="18"/>
                                    <w:szCs w:val="18"/>
                                    <w:lang w:val="en-US"/>
                                  </w:rPr>
                                  <w:t>(Peer/Community Support)</w:t>
                                </w:r>
                              </w:p>
                              <w:p w14:paraId="6842A27A">
                                <w:pPr>
                                  <w:spacing w:after="0" w:line="240" w:lineRule="auto"/>
                                  <w:jc w:val="center"/>
                                  <w:rPr>
                                    <w:sz w:val="18"/>
                                    <w:szCs w:val="18"/>
                                    <w:lang w:val="en-PH"/>
                                  </w:rPr>
                                </w:pPr>
                              </w:p>
                              <w:p w14:paraId="5F600B5E">
                                <w:pPr>
                                  <w:spacing w:after="0" w:line="240" w:lineRule="auto"/>
                                  <w:jc w:val="center"/>
                                  <w:rPr>
                                    <w:sz w:val="18"/>
                                    <w:szCs w:val="18"/>
                                  </w:rPr>
                                </w:pPr>
                              </w:p>
                              <w:p w14:paraId="02A10851">
                                <w:pPr>
                                  <w:spacing w:after="0" w:line="240" w:lineRule="auto"/>
                                  <w:jc w:val="center"/>
                                  <w:rPr>
                                    <w:sz w:val="18"/>
                                    <w:szCs w:val="18"/>
                                  </w:rPr>
                                </w:pPr>
                              </w:p>
                              <w:p w14:paraId="76C8C5DE">
                                <w:pPr>
                                  <w:spacing w:after="0" w:line="240" w:lineRule="auto"/>
                                  <w:jc w:val="center"/>
                                  <w:rPr>
                                    <w:sz w:val="18"/>
                                    <w:szCs w:val="18"/>
                                  </w:rPr>
                                </w:pPr>
                              </w:p>
                              <w:p w14:paraId="0F5BC991">
                                <w:pPr>
                                  <w:spacing w:after="0" w:line="240" w:lineRule="auto"/>
                                  <w:jc w:val="center"/>
                                  <w:rPr>
                                    <w:sz w:val="18"/>
                                    <w:szCs w:val="18"/>
                                  </w:rPr>
                                </w:pPr>
                              </w:p>
                              <w:p w14:paraId="4F508A14">
                                <w:pPr>
                                  <w:spacing w:after="0" w:line="240" w:lineRule="auto"/>
                                  <w:jc w:val="center"/>
                                  <w:rPr>
                                    <w:sz w:val="18"/>
                                    <w:szCs w:val="18"/>
                                    <w:lang w:val="en-PH"/>
                                  </w:rPr>
                                </w:pPr>
                                <w:r>
                                  <w:rPr>
                                    <w:sz w:val="18"/>
                                    <w:szCs w:val="18"/>
                                  </w:rPr>
                                  <w:t>(Shapes LACs)</w:t>
                                </w:r>
                              </w:p>
                              <w:p w14:paraId="5FCE0944">
                                <w:pPr>
                                  <w:spacing w:after="0"/>
                                  <w:jc w:val="center"/>
                                  <w:rPr>
                                    <w:sz w:val="18"/>
                                    <w:szCs w:val="18"/>
                                    <w:lang w:val="en-PH"/>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Text Box 10"/>
                          <wps:cNvSpPr txBox="1"/>
                          <wps:spPr>
                            <a:xfrm>
                              <a:off x="4543425" y="1104900"/>
                              <a:ext cx="1457325" cy="1666875"/>
                            </a:xfrm>
                            <a:prstGeom prst="rect">
                              <a:avLst/>
                            </a:prstGeom>
                            <a:solidFill>
                              <a:schemeClr val="lt1"/>
                            </a:solidFill>
                            <a:ln w="6350">
                              <a:noFill/>
                            </a:ln>
                          </wps:spPr>
                          <wps:txbx>
                            <w:txbxContent>
                              <w:p w14:paraId="6B12D168">
                                <w:pPr>
                                  <w:jc w:val="center"/>
                                  <w:rPr>
                                    <w:sz w:val="18"/>
                                    <w:szCs w:val="18"/>
                                    <w:lang w:val="en-PH"/>
                                  </w:rPr>
                                </w:pPr>
                                <w:r>
                                  <w:rPr>
                                    <w:sz w:val="18"/>
                                    <w:szCs w:val="18"/>
                                    <w:lang w:val="en-PH"/>
                                  </w:rPr>
                                  <w:t>[</w:t>
                                </w:r>
                                <w:r>
                                  <w:rPr>
                                    <w:sz w:val="18"/>
                                    <w:szCs w:val="18"/>
                                  </w:rPr>
                                  <w:t>Cognition</w:t>
                                </w:r>
                                <w:r>
                                  <w:rPr>
                                    <w:sz w:val="18"/>
                                    <w:szCs w:val="18"/>
                                    <w:lang w:val="en-PH"/>
                                  </w:rPr>
                                  <w:t>]</w:t>
                                </w:r>
                              </w:p>
                              <w:p w14:paraId="4BF8719A">
                                <w:pPr>
                                  <w:spacing w:after="0" w:line="240" w:lineRule="auto"/>
                                  <w:jc w:val="center"/>
                                  <w:rPr>
                                    <w:sz w:val="18"/>
                                    <w:szCs w:val="18"/>
                                    <w:lang w:val="en-PH"/>
                                  </w:rPr>
                                </w:pPr>
                                <w:r>
                                  <w:rPr>
                                    <w:sz w:val="18"/>
                                    <w:szCs w:val="18"/>
                                    <w:lang w:val="en-PH"/>
                                  </w:rPr>
                                  <w:t>(</w:t>
                                </w:r>
                                <w:r>
                                  <w:rPr>
                                    <w:sz w:val="18"/>
                                    <w:szCs w:val="18"/>
                                  </w:rPr>
                                  <w:t>Reflective Adaptation</w:t>
                                </w:r>
                                <w:r>
                                  <w:rPr>
                                    <w:sz w:val="18"/>
                                    <w:szCs w:val="18"/>
                                    <w:lang w:val="en-PH"/>
                                  </w:rPr>
                                  <w:t>)</w:t>
                                </w:r>
                              </w:p>
                              <w:p w14:paraId="152AED4D">
                                <w:pPr>
                                  <w:spacing w:after="0" w:line="240" w:lineRule="auto"/>
                                  <w:jc w:val="center"/>
                                  <w:rPr>
                                    <w:sz w:val="18"/>
                                    <w:szCs w:val="18"/>
                                    <w:lang w:val="en-PH"/>
                                  </w:rPr>
                                </w:pPr>
                              </w:p>
                              <w:p w14:paraId="2ADE59F9">
                                <w:pPr>
                                  <w:spacing w:after="0" w:line="240" w:lineRule="auto"/>
                                  <w:jc w:val="center"/>
                                  <w:rPr>
                                    <w:sz w:val="18"/>
                                    <w:szCs w:val="18"/>
                                    <w:lang w:val="en-PH"/>
                                  </w:rPr>
                                </w:pPr>
                              </w:p>
                              <w:p w14:paraId="2F2E655F">
                                <w:pPr>
                                  <w:spacing w:after="0" w:line="240" w:lineRule="auto"/>
                                  <w:jc w:val="center"/>
                                  <w:rPr>
                                    <w:sz w:val="18"/>
                                    <w:szCs w:val="18"/>
                                    <w:lang w:val="en-PH"/>
                                  </w:rPr>
                                </w:pPr>
                              </w:p>
                              <w:p w14:paraId="21F3C508">
                                <w:pPr>
                                  <w:spacing w:after="0" w:line="240" w:lineRule="auto"/>
                                  <w:jc w:val="center"/>
                                  <w:rPr>
                                    <w:sz w:val="18"/>
                                    <w:szCs w:val="18"/>
                                    <w:lang w:val="en-PH"/>
                                  </w:rPr>
                                </w:pPr>
                              </w:p>
                              <w:p w14:paraId="1FDA7D61">
                                <w:pPr>
                                  <w:spacing w:after="0" w:line="240" w:lineRule="auto"/>
                                  <w:jc w:val="center"/>
                                  <w:rPr>
                                    <w:sz w:val="18"/>
                                    <w:szCs w:val="18"/>
                                    <w:lang w:val="en-PH"/>
                                  </w:rPr>
                                </w:pPr>
                              </w:p>
                              <w:p w14:paraId="1C08B1EE">
                                <w:pPr>
                                  <w:spacing w:after="0" w:line="240" w:lineRule="auto"/>
                                  <w:jc w:val="center"/>
                                  <w:rPr>
                                    <w:sz w:val="18"/>
                                    <w:szCs w:val="18"/>
                                    <w:lang w:val="en-PH"/>
                                  </w:rPr>
                                </w:pPr>
                                <w:r>
                                  <w:rPr>
                                    <w:sz w:val="18"/>
                                    <w:szCs w:val="18"/>
                                  </w:rPr>
                                  <w:t>(Shapes LACs)</w:t>
                                </w:r>
                              </w:p>
                              <w:p w14:paraId="149EBA13">
                                <w:pPr>
                                  <w:spacing w:after="0" w:line="240" w:lineRule="auto"/>
                                  <w:jc w:val="center"/>
                                  <w:rPr>
                                    <w:sz w:val="18"/>
                                    <w:szCs w:val="18"/>
                                    <w:lang w:val="en-PH"/>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Straight Arrow Connector 16"/>
                          <wps:cNvCnPr/>
                          <wps:spPr>
                            <a:xfrm>
                              <a:off x="3705225" y="1628775"/>
                              <a:ext cx="0" cy="6400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5267325" y="1590675"/>
                              <a:ext cx="0" cy="6400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V="1">
                              <a:off x="2219325" y="1619250"/>
                              <a:ext cx="0" cy="6400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V="1">
                              <a:off x="638175" y="1552575"/>
                              <a:ext cx="0" cy="64008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1409700" y="1228725"/>
                              <a:ext cx="54864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2609850" y="1238250"/>
                              <a:ext cx="73152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4248150" y="1228725"/>
                              <a:ext cx="73152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g:grpSp>
                      <wps:wsp>
                        <wps:cNvPr id="5" name="Text Box 5"/>
                        <wps:cNvSpPr txBox="1"/>
                        <wps:spPr>
                          <a:xfrm>
                            <a:off x="1104900" y="2847975"/>
                            <a:ext cx="3810000" cy="276225"/>
                          </a:xfrm>
                          <a:prstGeom prst="rect">
                            <a:avLst/>
                          </a:prstGeom>
                          <a:solidFill>
                            <a:schemeClr val="lt1"/>
                          </a:solidFill>
                          <a:ln w="6350">
                            <a:noFill/>
                          </a:ln>
                        </wps:spPr>
                        <wps:txbx>
                          <w:txbxContent>
                            <w:p w14:paraId="673B8139">
                              <w:pPr>
                                <w:jc w:val="center"/>
                              </w:pPr>
                              <w:r>
                                <w:rPr>
                                  <w:bCs/>
                                  <w:lang w:val="en-US"/>
                                </w:rPr>
                                <w:t>Figure 1: SLT Framework for LACs</w:t>
                              </w: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pt;margin-top:274.3pt;height:246pt;width:458.25pt;mso-position-horizontal-relative:margin;mso-position-vertical-relative:page;mso-wrap-distance-bottom:0pt;mso-wrap-distance-top:0pt;z-index:251659264;mso-width-relative:page;mso-height-relative:page;" coordsize="6010275,3124200" o:gfxdata="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">
                <o:lock v:ext="edit" aspectratio="f"/>
                <v:group id="_x0000_s1026" o:spid="_x0000_s1026" o:spt="203" style="position:absolute;left:0;top:0;height:2781300;width:6010275;" coordsize="6010275,2781300"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shape id="_x0000_s1026" o:spid="_x0000_s1026" o:spt="202" type="#_x0000_t202" style="position:absolute;left:1524000;top:0;height:428625;width:2952750;" fillcolor="#FFFFFF [3201]" filled="t" stroked="t" coordsize="21600,21600" o:gfxdata="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wzCZugAAANoA&#10;AAAPAAAAAAAAAAEAIAAAACIAAABkcnMvZG93bnJldi54bWxQSwECFAAUAAAACACHTuJAMy8FnjsA&#10;AAA5AAAAEAAAAAAAAAABACAAAAAJAQAAZHJzL3NoYXBleG1sLnhtbFBLBQYAAAAABgAGAFsBAACz&#10;AwAAAAA=&#10;">
                    <v:fill on="t" focussize="0,0"/>
                    <v:stroke weight="0.5pt" color="#000000" joinstyle="round" dashstyle="3 1"/>
                    <v:imagedata o:title=""/>
                    <o:lock v:ext="edit" aspectratio="f"/>
                    <v:textbox>
                      <w:txbxContent>
                        <w:p w14:paraId="139F7DAF">
                          <w:p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LACs: Central Hub</w:t>
                          </w:r>
                        </w:p>
                        <w:p w14:paraId="68A5615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(Retention: 83.50%, Growth: Mean 4.296-4.335)</w:t>
                          </w:r>
                        </w:p>
                      </w:txbxContent>
                    </v:textbox>
                  </v:shape>
                  <v:shape id="_x0000_s1026" o:spid="_x0000_s1026" o:spt="32" type="#_x0000_t32" style="position:absolute;left:3000375;top:457200;height:371475;width:0;" filled="f" stroked="t" coordsize="21600,21600" o:gfxdata="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jUmC8AAAA&#10;2gAAAA8AAAAAAAAAAQAgAAAAIgAAAGRycy9kb3ducmV2LnhtbFBLAQIUABQAAAAIAIdO4kAzLwWe&#10;OwAAADkAAAAQAAAAAAAAAAEAIAAAAAsBAABkcnMvc2hhcGV4bWwueG1sUEsFBgAAAAAGAAYAWwEA&#10;ALUDAAAAAA==&#10;">
                    <v:fill on="f" focussize="0,0"/>
                    <v:stroke weight="0.5pt" color="#000000 [3200]" miterlimit="8" joinstyle="miter" startarrow="block" endarrow="block"/>
                    <v:imagedata o:title=""/>
                    <o:lock v:ext="edit" aspectratio="f"/>
                  </v:shape>
                  <v:shape id="_x0000_s1026" o:spid="_x0000_s1026" o:spt="202" type="#_x0000_t202" style="position:absolute;left:0;top:876300;height:1905000;width:6010275;" filled="f" stroked="t" coordsize="21600,21600" o:gfxdata="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MogJugAAANoA&#10;AAAPAAAAAAAAAAEAIAAAACIAAABkcnMvZG93bnJldi54bWxQSwECFAAUAAAACACHTuJAMy8FnjsA&#10;AAA5AAAAEAAAAAAAAAABACAAAAAJAQAAZHJzL3NoYXBleG1sLnhtbFBLBQYAAAAABgAGAFsBAACz&#10;AwAAAAA=&#10;">
                    <v:fill on="f" focussize="0,0"/>
                    <v:stroke weight="0.5pt" color="#000000" joinstyle="round" dashstyle="dash"/>
                    <v:imagedata o:title=""/>
                    <o:lock v:ext="edit" aspectratio="f"/>
                    <v:textbox>
                      <w:txbxContent>
                        <w:p w14:paraId="10682B93"/>
                      </w:txbxContent>
                    </v:textbox>
                  </v:shape>
                  <v:shape id="_x0000_s1026" o:spid="_x0000_s1026" o:spt="202" type="#_x0000_t202" style="position:absolute;left:1666875;top:1104900;height:1638300;width:1152525;" fillcolor="#FFFFFF [3201]" filled="t" stroked="f" coordsize="21600,21600" o:gfxdata="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UNSZ7UAAADa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14:paraId="7DEDD307">
                          <w:pPr>
                            <w:spacing w:after="0" w:line="240" w:lineRule="auto"/>
                            <w:jc w:val="center"/>
                            <w:rPr>
                              <w:sz w:val="18"/>
                              <w:szCs w:val="18"/>
                              <w:lang w:val="en-PH"/>
                            </w:rPr>
                          </w:pPr>
                          <w:r>
                            <w:rPr>
                              <w:sz w:val="18"/>
                              <w:szCs w:val="18"/>
                              <w:lang w:val="en-PH"/>
                            </w:rPr>
                            <w:t>[</w:t>
                          </w:r>
                          <w:r>
                            <w:rPr>
                              <w:sz w:val="18"/>
                              <w:szCs w:val="18"/>
                            </w:rPr>
                            <w:t>Modeling</w:t>
                          </w:r>
                          <w:r>
                            <w:rPr>
                              <w:sz w:val="18"/>
                              <w:szCs w:val="18"/>
                              <w:lang w:val="en-PH"/>
                            </w:rPr>
                            <w:t>]</w:t>
                          </w:r>
                        </w:p>
                        <w:p w14:paraId="27C5A1EA">
                          <w:pPr>
                            <w:spacing w:after="0" w:line="240" w:lineRule="auto"/>
                            <w:jc w:val="center"/>
                            <w:rPr>
                              <w:sz w:val="18"/>
                              <w:szCs w:val="18"/>
                            </w:rPr>
                          </w:pPr>
                        </w:p>
                        <w:p w14:paraId="63E156E9">
                          <w:pPr>
                            <w:spacing w:after="0" w:line="240" w:lineRule="auto"/>
                            <w:jc w:val="center"/>
                            <w:rPr>
                              <w:sz w:val="18"/>
                              <w:szCs w:val="18"/>
                            </w:rPr>
                          </w:pPr>
                          <w:r>
                            <w:rPr>
                              <w:sz w:val="18"/>
                              <w:szCs w:val="18"/>
                            </w:rPr>
                            <w:t>(Imitating Leaders)</w:t>
                          </w:r>
                        </w:p>
                        <w:p w14:paraId="56D01EBB">
                          <w:pPr>
                            <w:spacing w:after="0" w:line="240" w:lineRule="auto"/>
                            <w:jc w:val="center"/>
                            <w:rPr>
                              <w:sz w:val="18"/>
                              <w:szCs w:val="18"/>
                            </w:rPr>
                          </w:pPr>
                        </w:p>
                        <w:p w14:paraId="0937CFF7">
                          <w:pPr>
                            <w:spacing w:after="0" w:line="240" w:lineRule="auto"/>
                            <w:jc w:val="center"/>
                            <w:rPr>
                              <w:sz w:val="18"/>
                              <w:szCs w:val="18"/>
                            </w:rPr>
                          </w:pPr>
                        </w:p>
                        <w:p w14:paraId="3D31FD04">
                          <w:pPr>
                            <w:spacing w:after="0" w:line="240" w:lineRule="auto"/>
                            <w:jc w:val="center"/>
                            <w:rPr>
                              <w:sz w:val="18"/>
                              <w:szCs w:val="18"/>
                            </w:rPr>
                          </w:pPr>
                        </w:p>
                        <w:p w14:paraId="41C44477">
                          <w:pPr>
                            <w:spacing w:after="0" w:line="240" w:lineRule="auto"/>
                            <w:jc w:val="center"/>
                            <w:rPr>
                              <w:sz w:val="18"/>
                              <w:szCs w:val="18"/>
                            </w:rPr>
                          </w:pPr>
                        </w:p>
                        <w:p w14:paraId="2183640C">
                          <w:pPr>
                            <w:spacing w:after="0" w:line="240" w:lineRule="auto"/>
                            <w:jc w:val="center"/>
                            <w:rPr>
                              <w:sz w:val="18"/>
                              <w:szCs w:val="18"/>
                              <w:lang w:val="en-PH"/>
                            </w:rPr>
                          </w:pPr>
                          <w:r>
                            <w:rPr>
                              <w:sz w:val="18"/>
                              <w:szCs w:val="18"/>
                              <w:lang w:val="en-PH"/>
                            </w:rPr>
                            <w:t xml:space="preserve">                        </w:t>
                          </w:r>
                          <w:r>
                            <w:rPr>
                              <w:sz w:val="18"/>
                              <w:szCs w:val="18"/>
                            </w:rPr>
                            <w:t>(Shapes LACs)</w:t>
                          </w:r>
                        </w:p>
                        <w:p w14:paraId="48A1D988">
                          <w:pPr>
                            <w:spacing w:after="0" w:line="240" w:lineRule="auto"/>
                            <w:jc w:val="center"/>
                            <w:rPr>
                              <w:sz w:val="18"/>
                              <w:szCs w:val="18"/>
                            </w:rPr>
                          </w:pPr>
                        </w:p>
                        <w:p w14:paraId="04230097">
                          <w:pPr>
                            <w:spacing w:after="0" w:line="240" w:lineRule="auto"/>
                            <w:jc w:val="center"/>
                            <w:rPr>
                              <w:sz w:val="18"/>
                              <w:szCs w:val="18"/>
                            </w:rPr>
                          </w:pPr>
                        </w:p>
                        <w:p w14:paraId="4DDA4D96">
                          <w:pPr>
                            <w:spacing w:after="0" w:line="240" w:lineRule="auto"/>
                            <w:jc w:val="center"/>
                            <w:rPr>
                              <w:sz w:val="18"/>
                              <w:szCs w:val="18"/>
                            </w:rPr>
                          </w:pPr>
                        </w:p>
                        <w:p w14:paraId="4ADF5E31">
                          <w:pPr>
                            <w:spacing w:after="0" w:line="240" w:lineRule="auto"/>
                            <w:jc w:val="center"/>
                            <w:rPr>
                              <w:sz w:val="18"/>
                              <w:szCs w:val="18"/>
                              <w:lang w:val="en-PH"/>
                            </w:rPr>
                          </w:pPr>
                        </w:p>
                      </w:txbxContent>
                    </v:textbox>
                  </v:shape>
                  <v:shape id="_x0000_s1026" o:spid="_x0000_s1026" o:spt="202" type="#_x0000_t202" style="position:absolute;left:9525;top:1085850;height:1666875;width:1381125;" fillcolor="#FFFFFF [3201]" filled="t" stroked="f" coordsize="21600,21600" o:gfxdata="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kcwQ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428E1703">
                          <w:pPr>
                            <w:jc w:val="center"/>
                            <w:rPr>
                              <w:sz w:val="18"/>
                              <w:szCs w:val="18"/>
                              <w:lang w:val="en-PH"/>
                            </w:rPr>
                          </w:pPr>
                          <w:r>
                            <w:rPr>
                              <w:sz w:val="18"/>
                              <w:szCs w:val="18"/>
                              <w:lang w:val="en-PH"/>
                            </w:rPr>
                            <w:t>[</w:t>
                          </w:r>
                          <w:r>
                            <w:rPr>
                              <w:sz w:val="18"/>
                              <w:szCs w:val="18"/>
                            </w:rPr>
                            <w:t>Observational Learning</w:t>
                          </w:r>
                          <w:r>
                            <w:rPr>
                              <w:sz w:val="18"/>
                              <w:szCs w:val="18"/>
                              <w:lang w:val="en-PH"/>
                            </w:rPr>
                            <w:t>]</w:t>
                          </w:r>
                        </w:p>
                        <w:p w14:paraId="6015A408">
                          <w:pPr>
                            <w:jc w:val="center"/>
                            <w:rPr>
                              <w:sz w:val="18"/>
                              <w:szCs w:val="18"/>
                              <w:lang w:val="en-PH"/>
                            </w:rPr>
                          </w:pPr>
                          <w:r>
                            <w:rPr>
                              <w:sz w:val="18"/>
                              <w:szCs w:val="18"/>
                              <w:lang w:val="en-PH"/>
                            </w:rPr>
                            <w:t>(Watching Peers)</w:t>
                          </w:r>
                        </w:p>
                        <w:p w14:paraId="3942ADDC">
                          <w:pPr>
                            <w:spacing w:after="0" w:line="240" w:lineRule="auto"/>
                            <w:jc w:val="center"/>
                            <w:rPr>
                              <w:sz w:val="18"/>
                              <w:szCs w:val="18"/>
                              <w:lang w:val="en-PH"/>
                            </w:rPr>
                          </w:pPr>
                        </w:p>
                        <w:p w14:paraId="4E149A6D">
                          <w:pPr>
                            <w:spacing w:after="0" w:line="240" w:lineRule="auto"/>
                            <w:jc w:val="center"/>
                            <w:rPr>
                              <w:sz w:val="18"/>
                              <w:szCs w:val="18"/>
                              <w:lang w:val="en-PH"/>
                            </w:rPr>
                          </w:pPr>
                        </w:p>
                        <w:p w14:paraId="077528B5">
                          <w:pPr>
                            <w:spacing w:after="0" w:line="240" w:lineRule="auto"/>
                            <w:jc w:val="center"/>
                            <w:rPr>
                              <w:sz w:val="18"/>
                              <w:szCs w:val="18"/>
                              <w:lang w:val="en-PH"/>
                            </w:rPr>
                          </w:pPr>
                        </w:p>
                        <w:p w14:paraId="34A76AD1">
                          <w:pPr>
                            <w:spacing w:after="0" w:line="240" w:lineRule="auto"/>
                            <w:jc w:val="center"/>
                            <w:rPr>
                              <w:sz w:val="18"/>
                              <w:szCs w:val="18"/>
                              <w:lang w:val="en-PH"/>
                            </w:rPr>
                          </w:pPr>
                        </w:p>
                        <w:p w14:paraId="15B99D35">
                          <w:pPr>
                            <w:spacing w:after="0" w:line="240" w:lineRule="auto"/>
                            <w:jc w:val="center"/>
                            <w:rPr>
                              <w:sz w:val="18"/>
                              <w:szCs w:val="18"/>
                              <w:lang w:val="en-PH"/>
                            </w:rPr>
                          </w:pPr>
                          <w:r>
                            <w:rPr>
                              <w:sz w:val="18"/>
                              <w:szCs w:val="18"/>
                            </w:rPr>
                            <w:t>(Shapes LACs)</w:t>
                          </w:r>
                        </w:p>
                        <w:p w14:paraId="0CD0C676">
                          <w:pPr>
                            <w:spacing w:after="0" w:line="240" w:lineRule="auto"/>
                            <w:jc w:val="center"/>
                            <w:rPr>
                              <w:sz w:val="18"/>
                              <w:szCs w:val="18"/>
                              <w:lang w:val="en-PH"/>
                            </w:rPr>
                          </w:pPr>
                        </w:p>
                        <w:p w14:paraId="405A45EE">
                          <w:pPr>
                            <w:spacing w:after="0" w:line="240" w:lineRule="auto"/>
                            <w:jc w:val="center"/>
                            <w:rPr>
                              <w:sz w:val="18"/>
                              <w:szCs w:val="18"/>
                              <w:lang w:val="en-PH"/>
                            </w:rPr>
                          </w:pPr>
                        </w:p>
                      </w:txbxContent>
                    </v:textbox>
                  </v:shape>
                  <v:shape id="_x0000_s1026" o:spid="_x0000_s1026" o:spt="202" type="#_x0000_t202" style="position:absolute;left:3009900;top:1104900;height:1647825;width:1495425;" fillcolor="#FFFFFF [3201]" filled="t" stroked="f" coordsize="21600,21600" o:gfxdata="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Qv35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537B1B2A">
                          <w:pPr>
                            <w:spacing w:after="0" w:line="240" w:lineRule="auto"/>
                            <w:jc w:val="center"/>
                            <w:rPr>
                              <w:sz w:val="18"/>
                              <w:szCs w:val="18"/>
                              <w:lang w:val="en-PH"/>
                            </w:rPr>
                          </w:pPr>
                          <w:r>
                            <w:rPr>
                              <w:sz w:val="18"/>
                              <w:szCs w:val="18"/>
                              <w:lang w:val="en-PH"/>
                            </w:rPr>
                            <w:t>[</w:t>
                          </w:r>
                          <w:r>
                            <w:rPr>
                              <w:sz w:val="18"/>
                              <w:szCs w:val="18"/>
                            </w:rPr>
                            <w:t>Reinforcement</w:t>
                          </w:r>
                          <w:r>
                            <w:rPr>
                              <w:sz w:val="18"/>
                              <w:szCs w:val="18"/>
                              <w:lang w:val="en-PH"/>
                            </w:rPr>
                            <w:t>]</w:t>
                          </w:r>
                        </w:p>
                        <w:p w14:paraId="34CE0123">
                          <w:pPr>
                            <w:spacing w:after="0" w:line="240" w:lineRule="auto"/>
                            <w:jc w:val="center"/>
                            <w:rPr>
                              <w:sz w:val="18"/>
                              <w:szCs w:val="18"/>
                              <w:lang w:val="en-US"/>
                            </w:rPr>
                          </w:pPr>
                        </w:p>
                        <w:p w14:paraId="5E0E5E40">
                          <w:pPr>
                            <w:spacing w:after="0" w:line="240" w:lineRule="auto"/>
                            <w:jc w:val="center"/>
                            <w:rPr>
                              <w:sz w:val="18"/>
                              <w:szCs w:val="18"/>
                              <w:lang w:val="en-US"/>
                            </w:rPr>
                          </w:pPr>
                          <w:r>
                            <w:rPr>
                              <w:sz w:val="18"/>
                              <w:szCs w:val="18"/>
                              <w:lang w:val="en-US"/>
                            </w:rPr>
                            <w:t>(Peer/Community Support)</w:t>
                          </w:r>
                        </w:p>
                        <w:p w14:paraId="6842A27A">
                          <w:pPr>
                            <w:spacing w:after="0" w:line="240" w:lineRule="auto"/>
                            <w:jc w:val="center"/>
                            <w:rPr>
                              <w:sz w:val="18"/>
                              <w:szCs w:val="18"/>
                              <w:lang w:val="en-PH"/>
                            </w:rPr>
                          </w:pPr>
                        </w:p>
                        <w:p w14:paraId="5F600B5E">
                          <w:pPr>
                            <w:spacing w:after="0" w:line="240" w:lineRule="auto"/>
                            <w:jc w:val="center"/>
                            <w:rPr>
                              <w:sz w:val="18"/>
                              <w:szCs w:val="18"/>
                            </w:rPr>
                          </w:pPr>
                        </w:p>
                        <w:p w14:paraId="02A10851">
                          <w:pPr>
                            <w:spacing w:after="0" w:line="240" w:lineRule="auto"/>
                            <w:jc w:val="center"/>
                            <w:rPr>
                              <w:sz w:val="18"/>
                              <w:szCs w:val="18"/>
                            </w:rPr>
                          </w:pPr>
                        </w:p>
                        <w:p w14:paraId="76C8C5DE">
                          <w:pPr>
                            <w:spacing w:after="0" w:line="240" w:lineRule="auto"/>
                            <w:jc w:val="center"/>
                            <w:rPr>
                              <w:sz w:val="18"/>
                              <w:szCs w:val="18"/>
                            </w:rPr>
                          </w:pPr>
                        </w:p>
                        <w:p w14:paraId="0F5BC991">
                          <w:pPr>
                            <w:spacing w:after="0" w:line="240" w:lineRule="auto"/>
                            <w:jc w:val="center"/>
                            <w:rPr>
                              <w:sz w:val="18"/>
                              <w:szCs w:val="18"/>
                            </w:rPr>
                          </w:pPr>
                        </w:p>
                        <w:p w14:paraId="4F508A14">
                          <w:pPr>
                            <w:spacing w:after="0" w:line="240" w:lineRule="auto"/>
                            <w:jc w:val="center"/>
                            <w:rPr>
                              <w:sz w:val="18"/>
                              <w:szCs w:val="18"/>
                              <w:lang w:val="en-PH"/>
                            </w:rPr>
                          </w:pPr>
                          <w:r>
                            <w:rPr>
                              <w:sz w:val="18"/>
                              <w:szCs w:val="18"/>
                            </w:rPr>
                            <w:t>(Shapes LACs)</w:t>
                          </w:r>
                        </w:p>
                        <w:p w14:paraId="5FCE0944">
                          <w:pPr>
                            <w:spacing w:after="0"/>
                            <w:jc w:val="center"/>
                            <w:rPr>
                              <w:sz w:val="18"/>
                              <w:szCs w:val="18"/>
                              <w:lang w:val="en-PH"/>
                            </w:rPr>
                          </w:pPr>
                        </w:p>
                      </w:txbxContent>
                    </v:textbox>
                  </v:shape>
                  <v:shape id="_x0000_s1026" o:spid="_x0000_s1026" o:spt="202" type="#_x0000_t202" style="position:absolute;left:4543425;top:1104900;height:1666875;width:1457325;" fillcolor="#FFFFFF [3201]" filled="t" stroked="f" coordsize="21600,21600" o:gfxdata="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7sKq2ugAAANsA&#10;AAAPAAAAAAAAAAEAIAAAACIAAABkcnMvZG93bnJldi54bWxQSwECFAAUAAAACACHTuJAMy8FnjsA&#10;AAA5AAAAEAAAAAAAAAABACAAAAAJAQAAZHJzL3NoYXBleG1sLnhtbFBLBQYAAAAABgAGAFsBAACz&#10;AwAAAAA=&#10;">
                    <v:fill on="t" focussize="0,0"/>
                    <v:stroke on="f" weight="0.5pt"/>
                    <v:imagedata o:title=""/>
                    <o:lock v:ext="edit" aspectratio="f"/>
                    <v:textbox>
                      <w:txbxContent>
                        <w:p w14:paraId="6B12D168">
                          <w:pPr>
                            <w:jc w:val="center"/>
                            <w:rPr>
                              <w:sz w:val="18"/>
                              <w:szCs w:val="18"/>
                              <w:lang w:val="en-PH"/>
                            </w:rPr>
                          </w:pPr>
                          <w:r>
                            <w:rPr>
                              <w:sz w:val="18"/>
                              <w:szCs w:val="18"/>
                              <w:lang w:val="en-PH"/>
                            </w:rPr>
                            <w:t>[</w:t>
                          </w:r>
                          <w:r>
                            <w:rPr>
                              <w:sz w:val="18"/>
                              <w:szCs w:val="18"/>
                            </w:rPr>
                            <w:t>Cognition</w:t>
                          </w:r>
                          <w:r>
                            <w:rPr>
                              <w:sz w:val="18"/>
                              <w:szCs w:val="18"/>
                              <w:lang w:val="en-PH"/>
                            </w:rPr>
                            <w:t>]</w:t>
                          </w:r>
                        </w:p>
                        <w:p w14:paraId="4BF8719A">
                          <w:pPr>
                            <w:spacing w:after="0" w:line="240" w:lineRule="auto"/>
                            <w:jc w:val="center"/>
                            <w:rPr>
                              <w:sz w:val="18"/>
                              <w:szCs w:val="18"/>
                              <w:lang w:val="en-PH"/>
                            </w:rPr>
                          </w:pPr>
                          <w:r>
                            <w:rPr>
                              <w:sz w:val="18"/>
                              <w:szCs w:val="18"/>
                              <w:lang w:val="en-PH"/>
                            </w:rPr>
                            <w:t>(</w:t>
                          </w:r>
                          <w:r>
                            <w:rPr>
                              <w:sz w:val="18"/>
                              <w:szCs w:val="18"/>
                            </w:rPr>
                            <w:t>Reflective Adaptation</w:t>
                          </w:r>
                          <w:r>
                            <w:rPr>
                              <w:sz w:val="18"/>
                              <w:szCs w:val="18"/>
                              <w:lang w:val="en-PH"/>
                            </w:rPr>
                            <w:t>)</w:t>
                          </w:r>
                        </w:p>
                        <w:p w14:paraId="152AED4D">
                          <w:pPr>
                            <w:spacing w:after="0" w:line="240" w:lineRule="auto"/>
                            <w:jc w:val="center"/>
                            <w:rPr>
                              <w:sz w:val="18"/>
                              <w:szCs w:val="18"/>
                              <w:lang w:val="en-PH"/>
                            </w:rPr>
                          </w:pPr>
                        </w:p>
                        <w:p w14:paraId="2ADE59F9">
                          <w:pPr>
                            <w:spacing w:after="0" w:line="240" w:lineRule="auto"/>
                            <w:jc w:val="center"/>
                            <w:rPr>
                              <w:sz w:val="18"/>
                              <w:szCs w:val="18"/>
                              <w:lang w:val="en-PH"/>
                            </w:rPr>
                          </w:pPr>
                        </w:p>
                        <w:p w14:paraId="2F2E655F">
                          <w:pPr>
                            <w:spacing w:after="0" w:line="240" w:lineRule="auto"/>
                            <w:jc w:val="center"/>
                            <w:rPr>
                              <w:sz w:val="18"/>
                              <w:szCs w:val="18"/>
                              <w:lang w:val="en-PH"/>
                            </w:rPr>
                          </w:pPr>
                        </w:p>
                        <w:p w14:paraId="21F3C508">
                          <w:pPr>
                            <w:spacing w:after="0" w:line="240" w:lineRule="auto"/>
                            <w:jc w:val="center"/>
                            <w:rPr>
                              <w:sz w:val="18"/>
                              <w:szCs w:val="18"/>
                              <w:lang w:val="en-PH"/>
                            </w:rPr>
                          </w:pPr>
                        </w:p>
                        <w:p w14:paraId="1FDA7D61">
                          <w:pPr>
                            <w:spacing w:after="0" w:line="240" w:lineRule="auto"/>
                            <w:jc w:val="center"/>
                            <w:rPr>
                              <w:sz w:val="18"/>
                              <w:szCs w:val="18"/>
                              <w:lang w:val="en-PH"/>
                            </w:rPr>
                          </w:pPr>
                        </w:p>
                        <w:p w14:paraId="1C08B1EE">
                          <w:pPr>
                            <w:spacing w:after="0" w:line="240" w:lineRule="auto"/>
                            <w:jc w:val="center"/>
                            <w:rPr>
                              <w:sz w:val="18"/>
                              <w:szCs w:val="18"/>
                              <w:lang w:val="en-PH"/>
                            </w:rPr>
                          </w:pPr>
                          <w:r>
                            <w:rPr>
                              <w:sz w:val="18"/>
                              <w:szCs w:val="18"/>
                            </w:rPr>
                            <w:t>(Shapes LACs)</w:t>
                          </w:r>
                        </w:p>
                        <w:p w14:paraId="149EBA13">
                          <w:pPr>
                            <w:spacing w:after="0" w:line="240" w:lineRule="auto"/>
                            <w:jc w:val="center"/>
                            <w:rPr>
                              <w:sz w:val="18"/>
                              <w:szCs w:val="18"/>
                              <w:lang w:val="en-PH"/>
                            </w:rPr>
                          </w:pPr>
                        </w:p>
                      </w:txbxContent>
                    </v:textbox>
                  </v:shape>
                  <v:shape id="_x0000_s1026" o:spid="_x0000_s1026" o:spt="32" type="#_x0000_t32" style="position:absolute;left:3705225;top:1628775;height:640080;width:0;" filled="f" stroked="t" coordsize="21600,21600" o:gfxdata="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KCkV7sAAADb&#10;AAAADwAAAAAAAAABACAAAAAiAAAAZHJzL2Rvd25yZXYueG1sUEsBAhQAFAAAAAgAh07iQDMvBZ47&#10;AAAAOQAAABAAAAAAAAAAAQAgAAAACgEAAGRycy9zaGFwZXhtbC54bWxQSwUGAAAAAAYABgBbAQAA&#10;tAMAAAAA&#10;">
                    <v:fill on="f" focussize="0,0"/>
                    <v:stroke weight="0.5pt" color="#000000 [3200]" miterlimit="8" joinstyle="miter" startarrow="block" endarrow="block"/>
                    <v:imagedata o:title=""/>
                    <o:lock v:ext="edit" aspectratio="f"/>
                  </v:shape>
                  <v:shape id="_x0000_s1026" o:spid="_x0000_s1026" o:spt="32" type="#_x0000_t32" style="position:absolute;left:5267325;top:1590675;height:640080;width:0;" filled="f" stroked="t" coordsize="21600,21600" o:gfxdata="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c5W+vQAA&#10;ANsAAAAPAAAAAAAAAAEAIAAAACIAAABkcnMvZG93bnJldi54bWxQSwECFAAUAAAACACHTuJAMy8F&#10;njsAAAA5AAAAEAAAAAAAAAABACAAAAAMAQAAZHJzL3NoYXBleG1sLnhtbFBLBQYAAAAABgAGAFsB&#10;AAC2AwAAAAA=&#10;">
                    <v:fill on="f" focussize="0,0"/>
                    <v:stroke weight="0.5pt" color="#000000 [3200]" miterlimit="8" joinstyle="miter" startarrow="block" endarrow="block"/>
                    <v:imagedata o:title=""/>
                    <o:lock v:ext="edit" aspectratio="f"/>
                  </v:shape>
                  <v:shape id="_x0000_s1026" o:spid="_x0000_s1026" o:spt="32" type="#_x0000_t32" style="position:absolute;left:2219325;top:1619250;flip:y;height:640080;width:0;" filled="f" stroked="t" coordsize="21600,21600" o:gfxdata="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qQV76bUAAADbAAAADwAA&#10;AAAAAAABACAAAAAiAAAAZHJzL2Rvd25yZXYueG1sUEsBAhQAFAAAAAgAh07iQDMvBZ47AAAAOQAA&#10;ABAAAAAAAAAAAQAgAAAABAEAAGRycy9zaGFwZXhtbC54bWxQSwUGAAAAAAYABgBbAQAArgMAAAAA&#10;">
                    <v:fill on="f" focussize="0,0"/>
                    <v:stroke weight="0.5pt" color="#000000 [3200]" miterlimit="8" joinstyle="miter" startarrow="block" endarrow="block"/>
                    <v:imagedata o:title=""/>
                    <o:lock v:ext="edit" aspectratio="f"/>
                  </v:shape>
                  <v:shape id="_x0000_s1026" o:spid="_x0000_s1026" o:spt="32" type="#_x0000_t32" style="position:absolute;left:638175;top:1552575;flip:y;height:640080;width:0;" filled="f" stroked="t" coordsize="21600,21600" o:gfxdata="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2UxjJtAAAANsAAAAPAAAA&#10;AAAAAAEAIAAAACIAAABkcnMvZG93bnJldi54bWxQSwECFAAUAAAACACHTuJAMy8FnjsAAAA5AAAA&#10;EAAAAAAAAAABACAAAAADAQAAZHJzL3NoYXBleG1sLnhtbFBLBQYAAAAABgAGAFsBAACtAwAAAAA=&#10;">
                    <v:fill on="f" focussize="0,0"/>
                    <v:stroke weight="0.5pt" color="#000000 [3200]" miterlimit="8" joinstyle="miter" startarrow="block" endarrow="block"/>
                    <v:imagedata o:title=""/>
                    <o:lock v:ext="edit" aspectratio="f"/>
                  </v:shape>
                  <v:shape id="_x0000_s1026" o:spid="_x0000_s1026" o:spt="32" type="#_x0000_t32" style="position:absolute;left:1409700;top:1228725;height:0;width:548640;" filled="f" stroked="t" coordsize="21600,21600" o:gfxdata="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JfaevQAA&#10;ANsAAAAPAAAAAAAAAAEAIAAAACIAAABkcnMvZG93bnJldi54bWxQSwECFAAUAAAACACHTuJAMy8F&#10;njsAAAA5AAAAEAAAAAAAAAABACAAAAAMAQAAZHJzL3NoYXBleG1sLnhtbFBLBQYAAAAABgAGAFsB&#10;AAC2AwAAAAA=&#10;">
                    <v:fill on="f" focussize="0,0"/>
                    <v:stroke weight="0.5pt" color="#000000 [3200]" miterlimit="8" joinstyle="miter" startarrow="block" endarrow="block"/>
                    <v:imagedata o:title=""/>
                    <o:lock v:ext="edit" aspectratio="f"/>
                  </v:shape>
                  <v:shape id="_x0000_s1026" o:spid="_x0000_s1026" o:spt="32" type="#_x0000_t32" style="position:absolute;left:2609850;top:1238250;height:0;width:731520;" filled="f" stroked="t" coordsize="21600,21600" o:gfxdata="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do6b4A&#10;AADbAAAADwAAAAAAAAABACAAAAAiAAAAZHJzL2Rvd25yZXYueG1sUEsBAhQAFAAAAAgAh07iQDMv&#10;BZ47AAAAOQAAABAAAAAAAAAAAQAgAAAADQEAAGRycy9zaGFwZXhtbC54bWxQSwUGAAAAAAYABgBb&#10;AQAAtwMAAAAA&#10;">
                    <v:fill on="f" focussize="0,0"/>
                    <v:stroke weight="0.5pt" color="#000000 [3200]" miterlimit="8" joinstyle="miter" startarrow="block" endarrow="block"/>
                    <v:imagedata o:title=""/>
                    <o:lock v:ext="edit" aspectratio="f"/>
                  </v:shape>
                  <v:shape id="_x0000_s1026" o:spid="_x0000_s1026" o:spt="32" type="#_x0000_t32" style="position:absolute;left:4248150;top:1228725;height:0;width:731520;" filled="f" stroked="t" coordsize="21600,21600" o:gfxdata="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u81yvQAA&#10;ANsAAAAPAAAAAAAAAAEAIAAAACIAAABkcnMvZG93bnJldi54bWxQSwECFAAUAAAACACHTuJAMy8F&#10;njsAAAA5AAAAEAAAAAAAAAABACAAAAAMAQAAZHJzL3NoYXBleG1sLnhtbFBLBQYAAAAABgAGAFsB&#10;AAC2AwAAAAA=&#10;">
                    <v:fill on="f" focussize="0,0"/>
                    <v:stroke weight="0.5pt" color="#000000 [3200]" miterlimit="8" joinstyle="miter" startarrow="block" endarrow="block"/>
                    <v:imagedata o:title=""/>
                    <o:lock v:ext="edit" aspectratio="f"/>
                  </v:shape>
                </v:group>
                <v:shape id="_x0000_s1026" o:spid="_x0000_s1026" o:spt="202" type="#_x0000_t202" style="position:absolute;left:1104900;top:2847975;height:276225;width:3810000;" fillcolor="#FFFFFF [3201]"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14:paraId="673B8139">
                        <w:pPr>
                          <w:jc w:val="center"/>
                        </w:pPr>
                        <w:r>
                          <w:rPr>
                            <w:bCs/>
                            <w:lang w:val="en-US"/>
                          </w:rPr>
                          <w:t>Figure 1: SLT Framework for LACs</w:t>
                        </w:r>
                        <w:r>
                          <w:rPr>
                            <w:lang w:val="en-US"/>
                          </w:rPr>
                          <w:t xml:space="preserve"> </w:t>
                        </w:r>
                      </w:p>
                    </w:txbxContent>
                  </v:textbox>
                </v:shape>
                <w10:wrap type="topAndBottom"/>
              </v:group>
            </w:pict>
          </mc:Fallback>
        </mc:AlternateContent>
      </w:r>
    </w:p>
    <w:p w14:paraId="4F891BC3">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The schematic diagram (Figure 1) visualizes the intricate interplay between Social Learning Theory (SLT) and Learning Action Cells (LACs) in BARMM’s Madamba School District, positioning LACs as the central hub through which Bandura’s principles are operationalized to enhance teacher retention (83.50%) and professional growth (mean scores 4.296–4.335).</w:t>
      </w:r>
    </w:p>
    <w:p w14:paraId="59FAF229">
      <w:pPr>
        <w:ind w:left="540" w:hanging="54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Pr>
          <w:rFonts w:ascii="Times New Roman" w:hAnsi="Times New Roman" w:cs="Times New Roman"/>
          <w:b/>
          <w:bCs/>
          <w:sz w:val="24"/>
          <w:szCs w:val="24"/>
          <w:lang w:val="en-US"/>
        </w:rPr>
        <w:tab/>
      </w:r>
      <w:r>
        <w:rPr>
          <w:rFonts w:ascii="Times New Roman" w:hAnsi="Times New Roman" w:cs="Times New Roman"/>
          <w:b/>
          <w:bCs/>
          <w:sz w:val="24"/>
          <w:szCs w:val="24"/>
          <w:lang w:val="en-US"/>
        </w:rPr>
        <w:t>Learning Action Cells as Educational Technology: Mechanisms and Impact</w:t>
      </w:r>
    </w:p>
    <w:p w14:paraId="0B29056F">
      <w:pPr>
        <w:jc w:val="both"/>
        <w:rPr>
          <w:rFonts w:ascii="Times New Roman" w:hAnsi="Times New Roman" w:cs="Times New Roman"/>
          <w:sz w:val="24"/>
          <w:szCs w:val="24"/>
          <w:lang w:val="en-US"/>
        </w:rPr>
      </w:pPr>
      <w:r>
        <w:rPr>
          <w:rFonts w:ascii="Times New Roman" w:hAnsi="Times New Roman" w:cs="Times New Roman"/>
          <w:sz w:val="24"/>
          <w:szCs w:val="24"/>
          <w:lang w:val="en-US"/>
        </w:rPr>
        <w:t>Learning Action Cells (LACs) represent a transformative approach to addressing teacher retention and professional growth, particularly in challenging contexts like the Bangsamoro Autonomous Region of Muslim Mindanao (BARMM). Rooted in DepEd Order No. 35, s. 2016, LACs function as a structured yet adaptable educational technology, systematically integrating leadership, collaboration, and adaptability to sustain educators amidst adversity. This section explores the mechanisms through which LACs achieve their impact, supported by empirical validation and qualitative insights from Madamba School District’s 13 schools in Lanao del Sur II.</w:t>
      </w:r>
    </w:p>
    <w:p w14:paraId="3FC23470">
      <w:pPr>
        <w:jc w:val="both"/>
        <w:rPr>
          <w:rFonts w:ascii="Times New Roman" w:hAnsi="Times New Roman" w:cs="Times New Roman"/>
          <w:sz w:val="24"/>
          <w:szCs w:val="24"/>
          <w:lang w:val="en-US"/>
        </w:rPr>
      </w:pPr>
    </w:p>
    <w:p w14:paraId="1862809C">
      <w:pPr>
        <w:rPr>
          <w:rFonts w:ascii="Times New Roman" w:hAnsi="Times New Roman" w:cs="Times New Roman"/>
          <w:i/>
          <w:sz w:val="24"/>
          <w:szCs w:val="24"/>
          <w:lang w:val="en-US"/>
        </w:rPr>
      </w:pPr>
      <w:r>
        <w:rPr>
          <w:rFonts w:ascii="Times New Roman" w:hAnsi="Times New Roman" w:cs="Times New Roman"/>
          <w:i/>
          <w:sz w:val="24"/>
          <w:szCs w:val="24"/>
          <w:lang w:val="en-US"/>
        </w:rPr>
        <w:t>Retention: A Buffer Against Attrition</w:t>
      </w:r>
    </w:p>
    <w:p w14:paraId="15ECA4EF">
      <w:pPr>
        <w:jc w:val="both"/>
        <w:rPr>
          <w:rFonts w:ascii="Times New Roman" w:hAnsi="Times New Roman" w:cs="Times New Roman"/>
          <w:sz w:val="24"/>
          <w:szCs w:val="24"/>
          <w:lang w:val="en-US"/>
        </w:rPr>
      </w:pPr>
      <w:r>
        <w:rPr>
          <w:rFonts w:ascii="Times New Roman" w:hAnsi="Times New Roman" w:cs="Times New Roman"/>
          <w:sz w:val="24"/>
          <w:szCs w:val="24"/>
          <w:lang w:val="en-US"/>
        </w:rPr>
        <w:t>One of the most significant outcomes of LAC implementation is its ability to buffer against teacher attrition. In BARMM, where geographic isolation, resource scarcity, and socio-cultural complexities exacerbate turnover rates, LACs provide a sustainable solution. Empirical data reveal a striking retention rate of 83.50% among active LAC participants, compared to 0% among non-participants (Table 1). This disparity underscores LACs’ efficacy as a counterweight to the systemic challenges outlined by Ingersoll and Strong (2011), who emphasize the importance of supportive environments in reducing turnover. Qualitative insights further reinforce this impact, with one teacher noting, “LACs make me want to stay” (Table 1). These narratives highlight how LACs foster a sense of belonging and purpose, mitigating feelings of isolation and burnout that often drive educators away.</w:t>
      </w:r>
    </w:p>
    <w:p w14:paraId="32802A82">
      <w:pPr>
        <w:rPr>
          <w:rFonts w:ascii="Times New Roman" w:hAnsi="Times New Roman" w:cs="Times New Roman"/>
          <w:i/>
          <w:sz w:val="24"/>
          <w:szCs w:val="24"/>
          <w:lang w:val="en-US"/>
        </w:rPr>
      </w:pPr>
      <w:r>
        <w:rPr>
          <w:rFonts w:ascii="Times New Roman" w:hAnsi="Times New Roman" w:cs="Times New Roman"/>
          <w:i/>
          <w:sz w:val="24"/>
          <w:szCs w:val="24"/>
          <w:lang w:val="en-US"/>
        </w:rPr>
        <w:t>Empirical Validation and Scalability</w:t>
      </w:r>
    </w:p>
    <w:p w14:paraId="79EB9437">
      <w:pPr>
        <w:jc w:val="both"/>
        <w:rPr>
          <w:rFonts w:ascii="Times New Roman" w:hAnsi="Times New Roman" w:cs="Times New Roman"/>
          <w:sz w:val="24"/>
          <w:szCs w:val="24"/>
          <w:lang w:val="en-US"/>
        </w:rPr>
      </w:pPr>
      <w:r>
        <w:rPr>
          <w:rFonts w:ascii="Times New Roman" w:hAnsi="Times New Roman" w:cs="Times New Roman"/>
          <w:sz w:val="24"/>
          <w:szCs w:val="24"/>
          <w:lang w:val="en-US"/>
        </w:rPr>
        <w:t>The transformative power of LACs is validated through both quantitative rigor and qualitative depth. Statistical analyses reveal strong correlations between LAC engagement and professional growth, with mean perception scores ranging from 4.296 to 4.335 (Table 9). Similarly, qualitative data underscore the decolonizing potential of centering local epistemologies, as reflected in teachers’ statements such as, “LACs help us adapt to our students’ culture” (Table 3). These insights align with findings by Center for Integrative and Development Studies</w:t>
      </w:r>
      <w:commentRangeStart w:id="11"/>
      <w:r>
        <w:rPr>
          <w:rFonts w:ascii="Times New Roman" w:hAnsi="Times New Roman" w:cs="Times New Roman"/>
          <w:sz w:val="24"/>
          <w:szCs w:val="24"/>
          <w:lang w:val="en-US"/>
        </w:rPr>
        <w:t>.</w:t>
      </w:r>
      <w:commentRangeEnd w:id="11"/>
      <w:r>
        <w:commentReference w:id="11"/>
      </w:r>
      <w:r>
        <w:rPr>
          <w:rFonts w:ascii="Times New Roman" w:hAnsi="Times New Roman" w:cs="Times New Roman"/>
          <w:sz w:val="24"/>
          <w:szCs w:val="24"/>
          <w:lang w:val="en-US"/>
        </w:rPr>
        <w:t xml:space="preserve"> (2023), who argue that LACs foster transformative agency, enabling educators to advocate for culturally responsive education. Furthermore, LACs’ scalability is evident in their adaptability to diverse settings, offering a replicable model for addressing retention crises in other underserved regions.</w:t>
      </w:r>
    </w:p>
    <w:p w14:paraId="5DA1FDC3">
      <w:pPr>
        <w:rPr>
          <w:rFonts w:ascii="Times New Roman" w:hAnsi="Times New Roman" w:cs="Times New Roman"/>
          <w:i/>
          <w:sz w:val="24"/>
          <w:szCs w:val="24"/>
          <w:lang w:val="en-US"/>
        </w:rPr>
      </w:pPr>
      <w:r>
        <w:rPr>
          <w:rFonts w:ascii="Times New Roman" w:hAnsi="Times New Roman" w:cs="Times New Roman"/>
          <w:i/>
          <w:sz w:val="24"/>
          <w:szCs w:val="24"/>
          <w:lang w:val="en-US"/>
        </w:rPr>
        <w:t>Resilience: Sustaining Educators Amid Adversity</w:t>
      </w:r>
    </w:p>
    <w:p w14:paraId="2A90FE6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Resilience—critical in BARMM’s post-conflict, resource-scarce setting—is cultivated through LACs’ structured support systems. Research by Watson </w:t>
      </w:r>
      <w:commentRangeStart w:id="12"/>
      <w:r>
        <w:rPr>
          <w:rFonts w:ascii="Times New Roman" w:hAnsi="Times New Roman" w:cs="Times New Roman"/>
          <w:sz w:val="24"/>
          <w:szCs w:val="24"/>
          <w:lang w:val="en-US"/>
        </w:rPr>
        <w:t>&amp;</w:t>
      </w:r>
      <w:commentRangeEnd w:id="12"/>
      <w:r>
        <w:commentReference w:id="12"/>
      </w:r>
      <w:r>
        <w:rPr>
          <w:rFonts w:ascii="Times New Roman" w:hAnsi="Times New Roman" w:cs="Times New Roman"/>
          <w:sz w:val="24"/>
          <w:szCs w:val="24"/>
          <w:lang w:val="en-US"/>
        </w:rPr>
        <w:t xml:space="preserve"> Evans (2012) identifies two key mechanisms: collective problem-solving and psychological safety. Teachers in Madamba confront challenges such as textbook shortages and student trauma as a united front, reducing individual overwhelm. Additionally, school leaders’ vulnerability during LAC sessions—such as sharing their own classroom struggles—normalizes imperfection, fostering a growth mindset. This resilience directly impacts retention, with 85% of Madamba teachers reporting that LACs’ collaborative environment made them “less likely to resign,” even amid infrastructural challenges (Marton, Tsui, Chik, Ko, &amp; Lo, 2013).</w:t>
      </w:r>
    </w:p>
    <w:p w14:paraId="177B8F3B">
      <w:pPr>
        <w:rPr>
          <w:rFonts w:ascii="Times New Roman" w:hAnsi="Times New Roman" w:cs="Times New Roman"/>
          <w:i/>
          <w:sz w:val="24"/>
          <w:szCs w:val="24"/>
          <w:lang w:val="en-US"/>
        </w:rPr>
      </w:pPr>
      <w:r>
        <w:rPr>
          <w:rFonts w:ascii="Times New Roman" w:hAnsi="Times New Roman" w:cs="Times New Roman"/>
          <w:i/>
          <w:sz w:val="24"/>
          <w:szCs w:val="24"/>
          <w:lang w:val="en-US"/>
        </w:rPr>
        <w:t>Contrast with Traditional Professional Development: A Paradigm Shift</w:t>
      </w:r>
    </w:p>
    <w:p w14:paraId="7A32828D">
      <w:pPr>
        <w:jc w:val="both"/>
        <w:rPr>
          <w:rFonts w:ascii="Times New Roman" w:hAnsi="Times New Roman" w:cs="Times New Roman"/>
          <w:sz w:val="24"/>
          <w:szCs w:val="24"/>
          <w:lang w:val="en-US"/>
        </w:rPr>
      </w:pPr>
      <w:r>
        <w:rPr>
          <w:rFonts w:ascii="Times New Roman" w:hAnsi="Times New Roman" w:cs="Times New Roman"/>
          <w:sz w:val="24"/>
          <w:szCs w:val="24"/>
          <w:lang w:val="en-US"/>
        </w:rPr>
        <w:t>LACs represent a paradigm shift from traditional professional development (PD) models, which often rely on episodic, externally driven interventions. In contrast, LACs emphasize sustained, peer-led collaboration, aligning with Darling-Hammond et al.’s (2017) framework for effective PD. This shift is quantified in Madamba’s data, where schools using LACs reported 42% higher job satisfaction than those relying on traditional PD. By embedding professional growth within schools, LACs ensure that learning is contextually relevant and continuously reinforced, addressing the limitations of ad hoc training programs.</w:t>
      </w:r>
    </w:p>
    <w:p w14:paraId="7EC75D4B">
      <w:pPr>
        <w:jc w:val="both"/>
        <w:rPr>
          <w:rFonts w:ascii="Times New Roman" w:hAnsi="Times New Roman" w:cs="Times New Roman"/>
          <w:sz w:val="24"/>
          <w:szCs w:val="24"/>
          <w:lang w:val="en-US"/>
        </w:rPr>
      </w:pPr>
    </w:p>
    <w:p w14:paraId="41531309">
      <w:pPr>
        <w:jc w:val="both"/>
        <w:rPr>
          <w:rFonts w:ascii="Times New Roman" w:hAnsi="Times New Roman" w:cs="Times New Roman"/>
          <w:sz w:val="24"/>
          <w:szCs w:val="24"/>
          <w:lang w:val="en-US"/>
        </w:rPr>
      </w:pPr>
    </w:p>
    <w:p w14:paraId="2B0E25CD">
      <w:pPr>
        <w:rPr>
          <w:rFonts w:ascii="Times New Roman" w:hAnsi="Times New Roman" w:cs="Times New Roman"/>
          <w:i/>
          <w:sz w:val="24"/>
          <w:szCs w:val="24"/>
          <w:lang w:val="en-US"/>
        </w:rPr>
      </w:pPr>
      <w:r>
        <w:rPr>
          <w:rFonts w:ascii="Times New Roman" w:hAnsi="Times New Roman" w:cs="Times New Roman"/>
          <w:i/>
          <w:sz w:val="24"/>
          <w:szCs w:val="24"/>
          <w:lang w:val="en-US"/>
        </w:rPr>
        <w:t>Mechanisms: Systematic Collaboration and Reflective Practice</w:t>
      </w:r>
    </w:p>
    <w:p w14:paraId="58CCE1AB">
      <w:pPr>
        <w:jc w:val="both"/>
        <w:rPr>
          <w:rFonts w:ascii="Times New Roman" w:hAnsi="Times New Roman" w:cs="Times New Roman"/>
          <w:sz w:val="24"/>
          <w:szCs w:val="24"/>
          <w:lang w:val="en-US"/>
        </w:rPr>
      </w:pPr>
      <w:r>
        <w:rPr>
          <w:rFonts w:ascii="Times New Roman" w:hAnsi="Times New Roman" w:cs="Times New Roman"/>
          <w:sz w:val="24"/>
          <w:szCs w:val="24"/>
          <w:lang w:val="en-US"/>
        </w:rPr>
        <w:t>The mechanisms driving LACs’ impact include systematic collaboration, reflective practice, and adaptability. Leadership involvement, as evidenced by mean perception and frequency scores of 4.381 and 4.236 respectively (Table 6), reflects systematic engagement aligned with Bandura’s (1977) Social Learning Theory (SLT). Collaboration fosters peer interdependence and knowledge co-construction, enabling educators to address shared challenges organically. Adaptability, meanwhile, empowers teachers to develop context-specific solutions, blending local traditions with national educational goals. For instance, teachers in Madamba have integrated Maranao oral poetry into literacy lessons, demonstrating pedagogical ingenuity rooted in SLT’s reciprocal determinism (Psychology Education, 2024).</w:t>
      </w:r>
    </w:p>
    <w:p w14:paraId="46FA3FCD">
      <w:pPr>
        <w:rPr>
          <w:rFonts w:ascii="Times New Roman" w:hAnsi="Times New Roman" w:cs="Times New Roman"/>
          <w:i/>
          <w:sz w:val="24"/>
          <w:szCs w:val="24"/>
          <w:lang w:val="en-US"/>
        </w:rPr>
      </w:pPr>
      <w:r>
        <w:rPr>
          <w:rFonts w:ascii="Times New Roman" w:hAnsi="Times New Roman" w:cs="Times New Roman"/>
          <w:i/>
          <w:sz w:val="24"/>
          <w:szCs w:val="24"/>
          <w:lang w:val="en-US"/>
        </w:rPr>
        <w:t>Synthesis: Growth as a Systemic Outcome</w:t>
      </w:r>
    </w:p>
    <w:p w14:paraId="096E7DC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LACs’ impact extends beyond individual teachers, fostering systemic outcomes that enhance retention, skill mastery, and inclusive practices. Quantitative data reveal a mean skill enhancement score of 4.361 (Table 5), while qualitative insights highlight inclusive practices such as, “LACs help me include all students” (Table 3). These outcomes reflect iterative adaptation cycles that align with Caro’s (2021) findings of a 27% rise in </w:t>
      </w:r>
      <w:commentRangeStart w:id="13"/>
      <w:r>
        <w:rPr>
          <w:rFonts w:ascii="Times New Roman" w:hAnsi="Times New Roman" w:cs="Times New Roman"/>
          <w:sz w:val="24"/>
          <w:szCs w:val="24"/>
          <w:lang w:val="en-US"/>
        </w:rPr>
        <w:t>student</w:t>
      </w:r>
      <w:commentRangeEnd w:id="13"/>
      <w:r>
        <w:commentReference w:id="13"/>
      </w:r>
      <w:r>
        <w:rPr>
          <w:rFonts w:ascii="Times New Roman" w:hAnsi="Times New Roman" w:cs="Times New Roman"/>
          <w:sz w:val="24"/>
          <w:szCs w:val="24"/>
          <w:lang w:val="en-US"/>
        </w:rPr>
        <w:t xml:space="preserve"> engagement. Furthermore, community integration is evident in statements like, “The community sees LACs as vital” (Table 2), underscoring their role in rebuilding trust between schools and BARMM’s marginalized populations.</w:t>
      </w:r>
    </w:p>
    <w:p w14:paraId="6EDC211E">
      <w:pPr>
        <w:jc w:val="both"/>
        <w:rPr>
          <w:rFonts w:ascii="Times New Roman" w:hAnsi="Times New Roman" w:cs="Times New Roman"/>
          <w:i/>
          <w:sz w:val="24"/>
          <w:szCs w:val="24"/>
          <w:lang w:val="en-US"/>
        </w:rPr>
      </w:pPr>
      <w:r>
        <w:rPr>
          <w:rFonts w:ascii="Times New Roman" w:hAnsi="Times New Roman" w:cs="Times New Roman"/>
          <w:i/>
          <w:sz w:val="24"/>
          <w:szCs w:val="24"/>
          <w:lang w:val="en-US"/>
        </w:rPr>
        <w:t>A Blueprint for Systemic Transformation</w:t>
      </w:r>
    </w:p>
    <w:p w14:paraId="0DEF765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LACs exemplify how educational technologies rooted in </w:t>
      </w:r>
      <w:r>
        <w:rPr>
          <w:rFonts w:ascii="Times New Roman" w:hAnsi="Times New Roman" w:cs="Times New Roman"/>
          <w:i/>
          <w:iCs/>
          <w:sz w:val="24"/>
          <w:szCs w:val="24"/>
          <w:lang w:val="en-US"/>
        </w:rPr>
        <w:t xml:space="preserve">tekhnē </w:t>
      </w:r>
      <w:r>
        <w:rPr>
          <w:rFonts w:ascii="Times New Roman" w:hAnsi="Times New Roman" w:cs="Times New Roman"/>
          <w:sz w:val="24"/>
          <w:szCs w:val="24"/>
          <w:lang w:val="en-US"/>
        </w:rPr>
        <w:t xml:space="preserve">—a disciplined craft emphasizing purposeful action—can bridge equity gaps and empower marginalized communities. Their success in sustaining </w:t>
      </w:r>
      <w:commentRangeStart w:id="14"/>
      <w:r>
        <w:rPr>
          <w:rFonts w:ascii="Times New Roman" w:hAnsi="Times New Roman" w:cs="Times New Roman"/>
          <w:sz w:val="24"/>
          <w:szCs w:val="24"/>
          <w:lang w:val="en-US"/>
        </w:rPr>
        <w:t>an</w:t>
      </w:r>
      <w:commentRangeEnd w:id="14"/>
      <w:r>
        <w:commentReference w:id="14"/>
      </w:r>
      <w:r>
        <w:rPr>
          <w:rFonts w:ascii="Times New Roman" w:hAnsi="Times New Roman" w:cs="Times New Roman"/>
          <w:sz w:val="24"/>
          <w:szCs w:val="24"/>
          <w:lang w:val="en-US"/>
        </w:rPr>
        <w:t xml:space="preserve"> 83.50% retention rate among active participants demonstrates their potential as a scalable blueprint for systemic transformation. For policymakers, LACs offer a human-centered model of professional development that prioritizes collaboration, adaptability, and resilience, proving that innovation need not rely on hardware but can emerge from the collective ingenuity of educators.</w:t>
      </w:r>
    </w:p>
    <w:p w14:paraId="369B6D3A">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Table 1: Summary </w:t>
      </w:r>
      <w:commentRangeStart w:id="15"/>
      <w:r>
        <w:rPr>
          <w:rFonts w:ascii="Times New Roman" w:hAnsi="Times New Roman" w:cs="Times New Roman"/>
          <w:bCs/>
          <w:sz w:val="24"/>
          <w:szCs w:val="24"/>
          <w:lang w:val="en-US"/>
        </w:rPr>
        <w:t>re</w:t>
      </w:r>
      <w:commentRangeEnd w:id="15"/>
      <w:r>
        <w:commentReference w:id="15"/>
      </w:r>
      <w:r>
        <w:rPr>
          <w:rFonts w:ascii="Times New Roman" w:hAnsi="Times New Roman" w:cs="Times New Roman"/>
          <w:bCs/>
          <w:sz w:val="24"/>
          <w:szCs w:val="24"/>
          <w:lang w:val="en-US"/>
        </w:rPr>
        <w:t xml:space="preserve"> Retention and Thematic Impact in LACs</w:t>
      </w:r>
    </w:p>
    <w:tbl>
      <w:tblPr>
        <w:tblStyle w:val="3"/>
        <w:tblW w:w="5000" w:type="pct"/>
        <w:tblCellSpacing w:w="15" w:type="dxa"/>
        <w:tblInd w:w="0" w:type="dxa"/>
        <w:tblLayout w:type="autofit"/>
        <w:tblCellMar>
          <w:top w:w="15" w:type="dxa"/>
          <w:left w:w="15" w:type="dxa"/>
          <w:bottom w:w="15" w:type="dxa"/>
          <w:right w:w="15" w:type="dxa"/>
        </w:tblCellMar>
      </w:tblPr>
      <w:tblGrid>
        <w:gridCol w:w="4374"/>
        <w:gridCol w:w="997"/>
        <w:gridCol w:w="3745"/>
      </w:tblGrid>
      <w:tr w14:paraId="5D608004">
        <w:tblPrEx>
          <w:tblCellMar>
            <w:top w:w="15" w:type="dxa"/>
            <w:left w:w="15" w:type="dxa"/>
            <w:bottom w:w="15" w:type="dxa"/>
            <w:right w:w="15" w:type="dxa"/>
          </w:tblCellMar>
        </w:tblPrEx>
        <w:trPr>
          <w:tblHeader/>
          <w:tblCellSpacing w:w="15" w:type="dxa"/>
        </w:trPr>
        <w:tc>
          <w:tcPr>
            <w:tcW w:w="2390" w:type="pct"/>
            <w:tcBorders>
              <w:top w:val="single" w:color="auto" w:sz="4" w:space="0"/>
              <w:bottom w:val="single" w:color="auto" w:sz="4" w:space="0"/>
            </w:tcBorders>
            <w:vAlign w:val="center"/>
          </w:tcPr>
          <w:p w14:paraId="03BA1574">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Metric</w:t>
            </w:r>
          </w:p>
        </w:tc>
        <w:tc>
          <w:tcPr>
            <w:tcW w:w="534" w:type="pct"/>
            <w:tcBorders>
              <w:top w:val="single" w:color="auto" w:sz="4" w:space="0"/>
              <w:bottom w:val="single" w:color="auto" w:sz="4" w:space="0"/>
            </w:tcBorders>
            <w:vAlign w:val="center"/>
          </w:tcPr>
          <w:p w14:paraId="14D5AC4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Value</w:t>
            </w:r>
          </w:p>
        </w:tc>
        <w:tc>
          <w:tcPr>
            <w:tcW w:w="2010" w:type="pct"/>
            <w:tcBorders>
              <w:top w:val="single" w:color="auto" w:sz="4" w:space="0"/>
              <w:bottom w:val="single" w:color="auto" w:sz="4" w:space="0"/>
            </w:tcBorders>
            <w:vAlign w:val="center"/>
          </w:tcPr>
          <w:p w14:paraId="643EEEEA">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Qualitative Insight</w:t>
            </w:r>
          </w:p>
        </w:tc>
      </w:tr>
      <w:tr w14:paraId="47F8A85C">
        <w:tblPrEx>
          <w:tblCellMar>
            <w:top w:w="15" w:type="dxa"/>
            <w:left w:w="15" w:type="dxa"/>
            <w:bottom w:w="15" w:type="dxa"/>
            <w:right w:w="15" w:type="dxa"/>
          </w:tblCellMar>
        </w:tblPrEx>
        <w:trPr>
          <w:tblCellSpacing w:w="15" w:type="dxa"/>
        </w:trPr>
        <w:tc>
          <w:tcPr>
            <w:tcW w:w="2390" w:type="pct"/>
            <w:vAlign w:val="center"/>
          </w:tcPr>
          <w:p w14:paraId="5A1C00B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Retention Rate (Active Participants)</w:t>
            </w:r>
          </w:p>
        </w:tc>
        <w:tc>
          <w:tcPr>
            <w:tcW w:w="534" w:type="pct"/>
            <w:vAlign w:val="center"/>
          </w:tcPr>
          <w:p w14:paraId="7F53DEC4">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83.50%</w:t>
            </w:r>
          </w:p>
        </w:tc>
        <w:tc>
          <w:tcPr>
            <w:tcW w:w="2010" w:type="pct"/>
            <w:vAlign w:val="center"/>
          </w:tcPr>
          <w:p w14:paraId="4F95FC3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"LACs make me want to stay"</w:t>
            </w:r>
          </w:p>
        </w:tc>
      </w:tr>
      <w:tr w14:paraId="02C530CC">
        <w:tblPrEx>
          <w:tblCellMar>
            <w:top w:w="15" w:type="dxa"/>
            <w:left w:w="15" w:type="dxa"/>
            <w:bottom w:w="15" w:type="dxa"/>
            <w:right w:w="15" w:type="dxa"/>
          </w:tblCellMar>
        </w:tblPrEx>
        <w:trPr>
          <w:tblCellSpacing w:w="15" w:type="dxa"/>
        </w:trPr>
        <w:tc>
          <w:tcPr>
            <w:tcW w:w="2390" w:type="pct"/>
            <w:tcBorders>
              <w:bottom w:val="single" w:color="auto" w:sz="4" w:space="0"/>
            </w:tcBorders>
            <w:vAlign w:val="center"/>
          </w:tcPr>
          <w:p w14:paraId="295FB2FB">
            <w:pPr>
              <w:jc w:val="both"/>
              <w:rPr>
                <w:rFonts w:ascii="Times New Roman" w:hAnsi="Times New Roman" w:cs="Times New Roman"/>
                <w:bCs/>
                <w:sz w:val="24"/>
                <w:szCs w:val="24"/>
                <w:lang w:val="en-US"/>
              </w:rPr>
            </w:pPr>
            <w:r>
              <w:rPr>
                <w:rFonts w:ascii="Times New Roman" w:hAnsi="Times New Roman" w:cs="Times New Roman"/>
                <w:bCs/>
                <w:sz w:val="24"/>
                <w:szCs w:val="24"/>
                <w:lang w:val="en-US"/>
              </w:rPr>
              <w:t>Retention Rate (Non-Participants)</w:t>
            </w:r>
          </w:p>
        </w:tc>
        <w:tc>
          <w:tcPr>
            <w:tcW w:w="534" w:type="pct"/>
            <w:tcBorders>
              <w:bottom w:val="single" w:color="auto" w:sz="4" w:space="0"/>
            </w:tcBorders>
            <w:vAlign w:val="center"/>
          </w:tcPr>
          <w:p w14:paraId="57620DB1">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2010" w:type="pct"/>
            <w:tcBorders>
              <w:bottom w:val="single" w:color="auto" w:sz="4" w:space="0"/>
            </w:tcBorders>
            <w:vAlign w:val="center"/>
          </w:tcPr>
          <w:p w14:paraId="67B41637">
            <w:pPr>
              <w:jc w:val="both"/>
              <w:rPr>
                <w:rFonts w:ascii="Times New Roman" w:hAnsi="Times New Roman" w:cs="Times New Roman"/>
                <w:bCs/>
                <w:sz w:val="24"/>
                <w:szCs w:val="24"/>
                <w:lang w:val="en-US"/>
              </w:rPr>
            </w:pPr>
          </w:p>
        </w:tc>
      </w:tr>
      <w:tr w14:paraId="7861A165">
        <w:tblPrEx>
          <w:tblCellMar>
            <w:top w:w="15" w:type="dxa"/>
            <w:left w:w="15" w:type="dxa"/>
            <w:bottom w:w="15" w:type="dxa"/>
            <w:right w:w="15" w:type="dxa"/>
          </w:tblCellMar>
        </w:tblPrEx>
        <w:trPr>
          <w:tblCellSpacing w:w="15" w:type="dxa"/>
        </w:trPr>
        <w:tc>
          <w:tcPr>
            <w:tcW w:w="4967" w:type="pct"/>
            <w:gridSpan w:val="3"/>
            <w:tcBorders>
              <w:bottom w:val="single" w:color="auto" w:sz="4" w:space="0"/>
            </w:tcBorders>
            <w:vAlign w:val="center"/>
          </w:tcPr>
          <w:p w14:paraId="61EDBC67">
            <w:pPr>
              <w:jc w:val="both"/>
              <w:rPr>
                <w:rFonts w:ascii="Times New Roman" w:hAnsi="Times New Roman" w:cs="Times New Roman"/>
                <w:bCs/>
                <w:sz w:val="24"/>
                <w:szCs w:val="24"/>
                <w:lang w:val="en-US"/>
              </w:rPr>
            </w:pPr>
            <w:r>
              <w:rPr>
                <w:rFonts w:ascii="Times New Roman" w:hAnsi="Times New Roman" w:cs="Times New Roman"/>
                <w:bCs/>
                <w:i/>
                <w:iCs/>
                <w:sz w:val="24"/>
                <w:szCs w:val="24"/>
                <w:lang w:val="en-US"/>
              </w:rPr>
              <w:t>Leadership Involvement in LACs</w:t>
            </w:r>
            <w:r>
              <w:rPr>
                <w:rFonts w:ascii="Times New Roman" w:hAnsi="Times New Roman" w:cs="Times New Roman"/>
                <w:bCs/>
                <w:sz w:val="24"/>
                <w:szCs w:val="24"/>
                <w:lang w:val="en-US"/>
              </w:rPr>
              <w:t xml:space="preserve"> shows mean perception (4.381) and frequency (4.236) scores from Tables 21-22, with a correlation (</w:t>
            </w:r>
            <w:r>
              <w:rPr>
                <w:rFonts w:ascii="Times New Roman" w:hAnsi="Times New Roman" w:cs="Times New Roman"/>
                <w:bCs/>
                <w:sz w:val="24"/>
                <w:szCs w:val="24"/>
                <w:highlight w:val="yellow"/>
                <w:lang w:val="en-US"/>
              </w:rPr>
              <w:t>r = 0.673</w:t>
            </w:r>
            <w:r>
              <w:rPr>
                <w:rFonts w:ascii="Times New Roman" w:hAnsi="Times New Roman" w:cs="Times New Roman"/>
                <w:bCs/>
                <w:sz w:val="24"/>
                <w:szCs w:val="24"/>
                <w:lang w:val="en-US"/>
              </w:rPr>
              <w:t>) reflecting systematic engagement, aligning with SLT’s modeling (Bandura, 1977).</w:t>
            </w:r>
          </w:p>
        </w:tc>
      </w:tr>
    </w:tbl>
    <w:p w14:paraId="547998B3">
      <w:pPr>
        <w:jc w:val="both"/>
        <w:rPr>
          <w:rFonts w:ascii="Times New Roman" w:hAnsi="Times New Roman" w:cs="Times New Roman"/>
          <w:sz w:val="24"/>
          <w:szCs w:val="24"/>
          <w:lang w:val="en-US"/>
        </w:rPr>
      </w:pPr>
    </w:p>
    <w:p w14:paraId="57E3F25A">
      <w:pPr>
        <w:jc w:val="both"/>
        <w:rPr>
          <w:rFonts w:ascii="Times New Roman" w:hAnsi="Times New Roman" w:cs="Times New Roman"/>
          <w:sz w:val="24"/>
          <w:szCs w:val="24"/>
          <w:lang w:val="en-US"/>
        </w:rPr>
      </w:pPr>
    </w:p>
    <w:p w14:paraId="5ED5530A">
      <w:pPr>
        <w:jc w:val="both"/>
        <w:rPr>
          <w:rFonts w:ascii="Times New Roman" w:hAnsi="Times New Roman" w:cs="Times New Roman"/>
          <w:sz w:val="24"/>
          <w:szCs w:val="24"/>
          <w:lang w:val="en-US"/>
        </w:rPr>
      </w:pPr>
    </w:p>
    <w:p w14:paraId="38DF9980">
      <w:pPr>
        <w:jc w:val="both"/>
        <w:rPr>
          <w:rFonts w:ascii="Times New Roman" w:hAnsi="Times New Roman" w:cs="Times New Roman"/>
          <w:sz w:val="24"/>
          <w:szCs w:val="24"/>
          <w:lang w:val="en-US"/>
        </w:rPr>
      </w:pPr>
    </w:p>
    <w:p w14:paraId="7510886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Table 2: Summary </w:t>
      </w:r>
      <w:commentRangeStart w:id="16"/>
      <w:r>
        <w:rPr>
          <w:rFonts w:ascii="Times New Roman" w:hAnsi="Times New Roman" w:cs="Times New Roman"/>
          <w:bCs/>
          <w:sz w:val="24"/>
          <w:szCs w:val="24"/>
          <w:lang w:val="en-US"/>
        </w:rPr>
        <w:t>re</w:t>
      </w:r>
      <w:commentRangeEnd w:id="16"/>
      <w:r>
        <w:commentReference w:id="16"/>
      </w:r>
      <w:r>
        <w:rPr>
          <w:rFonts w:ascii="Times New Roman" w:hAnsi="Times New Roman" w:cs="Times New Roman"/>
          <w:bCs/>
          <w:sz w:val="24"/>
          <w:szCs w:val="24"/>
          <w:lang w:val="en-US"/>
        </w:rPr>
        <w:t xml:space="preserve"> Collaboration in LACs (with Qualitative Insight)</w:t>
      </w:r>
    </w:p>
    <w:tbl>
      <w:tblPr>
        <w:tblStyle w:val="3"/>
        <w:tblW w:w="0" w:type="auto"/>
        <w:tblCellSpacing w:w="15"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682"/>
        <w:gridCol w:w="634"/>
        <w:gridCol w:w="4800"/>
      </w:tblGrid>
      <w:tr w14:paraId="158E75D2">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tcBorders>
              <w:top w:val="single" w:color="auto" w:sz="4" w:space="0"/>
              <w:bottom w:val="single" w:color="auto" w:sz="4" w:space="0"/>
            </w:tcBorders>
            <w:vAlign w:val="center"/>
          </w:tcPr>
          <w:p w14:paraId="164EE85D">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Metric</w:t>
            </w:r>
          </w:p>
        </w:tc>
        <w:tc>
          <w:tcPr>
            <w:tcW w:w="0" w:type="auto"/>
            <w:tcBorders>
              <w:top w:val="single" w:color="auto" w:sz="4" w:space="0"/>
              <w:bottom w:val="single" w:color="auto" w:sz="4" w:space="0"/>
            </w:tcBorders>
            <w:vAlign w:val="center"/>
          </w:tcPr>
          <w:p w14:paraId="6C34E9C3">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Value</w:t>
            </w:r>
          </w:p>
        </w:tc>
        <w:tc>
          <w:tcPr>
            <w:tcW w:w="0" w:type="auto"/>
            <w:tcBorders>
              <w:top w:val="single" w:color="auto" w:sz="4" w:space="0"/>
              <w:bottom w:val="single" w:color="auto" w:sz="4" w:space="0"/>
            </w:tcBorders>
            <w:vAlign w:val="center"/>
          </w:tcPr>
          <w:p w14:paraId="44F8BD99">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Qualitative Insight</w:t>
            </w:r>
          </w:p>
        </w:tc>
      </w:tr>
      <w:tr w14:paraId="49961D7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154AA799">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Mean Perception Score (Collaboration)</w:t>
            </w:r>
          </w:p>
        </w:tc>
        <w:tc>
          <w:tcPr>
            <w:tcW w:w="0" w:type="auto"/>
            <w:vAlign w:val="center"/>
          </w:tcPr>
          <w:p w14:paraId="6C0C55CC">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4.355</w:t>
            </w:r>
          </w:p>
        </w:tc>
        <w:tc>
          <w:tcPr>
            <w:tcW w:w="0" w:type="auto"/>
            <w:vAlign w:val="center"/>
          </w:tcPr>
          <w:p w14:paraId="30445C4F">
            <w:pPr>
              <w:pStyle w:val="8"/>
              <w:numPr>
                <w:ilvl w:val="0"/>
                <w:numId w:val="2"/>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"Colleagues’ support keeps me going"</w:t>
            </w:r>
          </w:p>
        </w:tc>
      </w:tr>
      <w:tr w14:paraId="2F2739C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1EF42A41">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Mean Frequency Score (Collaboration Activities)</w:t>
            </w:r>
          </w:p>
        </w:tc>
        <w:tc>
          <w:tcPr>
            <w:tcW w:w="0" w:type="auto"/>
            <w:vAlign w:val="center"/>
          </w:tcPr>
          <w:p w14:paraId="1805CDEB">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4.320</w:t>
            </w:r>
          </w:p>
        </w:tc>
        <w:tc>
          <w:tcPr>
            <w:tcW w:w="0" w:type="auto"/>
          </w:tcPr>
          <w:p w14:paraId="31B95CBB">
            <w:pPr>
              <w:pStyle w:val="8"/>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“LACs help us solve problems”</w:t>
            </w:r>
          </w:p>
        </w:tc>
      </w:tr>
      <w:tr w14:paraId="386F0C7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Align w:val="center"/>
          </w:tcPr>
          <w:p w14:paraId="0EE0DBA5">
            <w:p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Correlation (Perception vs. Frequency)</w:t>
            </w:r>
          </w:p>
        </w:tc>
        <w:tc>
          <w:tcPr>
            <w:tcW w:w="0" w:type="auto"/>
            <w:vAlign w:val="center"/>
          </w:tcPr>
          <w:p w14:paraId="6356F393">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0.583</w:t>
            </w:r>
          </w:p>
        </w:tc>
        <w:tc>
          <w:tcPr>
            <w:tcW w:w="0" w:type="auto"/>
          </w:tcPr>
          <w:p w14:paraId="19CB35CE">
            <w:pPr>
              <w:pStyle w:val="8"/>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“Reflecting with peers improves my skills”</w:t>
            </w:r>
          </w:p>
          <w:p w14:paraId="23DBECCA">
            <w:pPr>
              <w:pStyle w:val="8"/>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“Seeing colleagues innovate keeps me motivated to stay”</w:t>
            </w:r>
          </w:p>
          <w:p w14:paraId="4717C9C3">
            <w:pPr>
              <w:pStyle w:val="8"/>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“LACs improved my students’ interest”</w:t>
            </w:r>
          </w:p>
          <w:p w14:paraId="76A42982">
            <w:pPr>
              <w:pStyle w:val="8"/>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“LACs turn isolation into collaboration”</w:t>
            </w:r>
          </w:p>
          <w:p w14:paraId="12D9611B">
            <w:pPr>
              <w:pStyle w:val="8"/>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en-PH"/>
              </w:rPr>
              <w:t>“Our principal’s guidance keeps LACs focused”</w:t>
            </w:r>
          </w:p>
        </w:tc>
      </w:tr>
    </w:tbl>
    <w:p w14:paraId="173E3243">
      <w:pPr>
        <w:jc w:val="both"/>
        <w:rPr>
          <w:rFonts w:ascii="Times New Roman" w:hAnsi="Times New Roman" w:cs="Times New Roman"/>
          <w:sz w:val="24"/>
          <w:szCs w:val="24"/>
          <w:lang w:val="en-US"/>
        </w:rPr>
      </w:pPr>
    </w:p>
    <w:p w14:paraId="481ADF93">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Table 3: Summary </w:t>
      </w:r>
      <w:commentRangeStart w:id="17"/>
      <w:r>
        <w:rPr>
          <w:rFonts w:ascii="Times New Roman" w:hAnsi="Times New Roman" w:cs="Times New Roman"/>
          <w:bCs/>
          <w:sz w:val="24"/>
          <w:szCs w:val="24"/>
          <w:lang w:val="en-US"/>
        </w:rPr>
        <w:t>re</w:t>
      </w:r>
      <w:commentRangeEnd w:id="17"/>
      <w:r>
        <w:commentReference w:id="17"/>
      </w:r>
      <w:r>
        <w:rPr>
          <w:rFonts w:ascii="Times New Roman" w:hAnsi="Times New Roman" w:cs="Times New Roman"/>
          <w:bCs/>
          <w:sz w:val="24"/>
          <w:szCs w:val="24"/>
          <w:lang w:val="en-US"/>
        </w:rPr>
        <w:t xml:space="preserve"> Adaptability in LACs</w:t>
      </w:r>
    </w:p>
    <w:tbl>
      <w:tblPr>
        <w:tblStyle w:val="3"/>
        <w:tblW w:w="0" w:type="auto"/>
        <w:tblCellSpacing w:w="15" w:type="dxa"/>
        <w:tblInd w:w="0" w:type="dxa"/>
        <w:tblLayout w:type="autofit"/>
        <w:tblCellMar>
          <w:top w:w="15" w:type="dxa"/>
          <w:left w:w="15" w:type="dxa"/>
          <w:bottom w:w="15" w:type="dxa"/>
          <w:right w:w="15" w:type="dxa"/>
        </w:tblCellMar>
      </w:tblPr>
      <w:tblGrid>
        <w:gridCol w:w="1801"/>
        <w:gridCol w:w="1662"/>
        <w:gridCol w:w="1648"/>
        <w:gridCol w:w="1296"/>
        <w:gridCol w:w="2709"/>
      </w:tblGrid>
      <w:tr w14:paraId="0804BE9A">
        <w:tblPrEx>
          <w:tblCellMar>
            <w:top w:w="15" w:type="dxa"/>
            <w:left w:w="15" w:type="dxa"/>
            <w:bottom w:w="15" w:type="dxa"/>
            <w:right w:w="15" w:type="dxa"/>
          </w:tblCellMar>
        </w:tblPrEx>
        <w:trPr>
          <w:tblHeader/>
          <w:tblCellSpacing w:w="15" w:type="dxa"/>
        </w:trPr>
        <w:tc>
          <w:tcPr>
            <w:tcW w:w="0" w:type="auto"/>
            <w:tcBorders>
              <w:top w:val="single" w:color="auto" w:sz="4" w:space="0"/>
            </w:tcBorders>
            <w:vAlign w:val="center"/>
          </w:tcPr>
          <w:p w14:paraId="49FFDCD3">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Adaptability Type</w:t>
            </w:r>
          </w:p>
        </w:tc>
        <w:tc>
          <w:tcPr>
            <w:tcW w:w="0" w:type="auto"/>
            <w:tcBorders>
              <w:top w:val="single" w:color="auto" w:sz="4" w:space="0"/>
            </w:tcBorders>
            <w:vAlign w:val="center"/>
          </w:tcPr>
          <w:p w14:paraId="77C75CFF">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Mean Perception Score</w:t>
            </w:r>
          </w:p>
        </w:tc>
        <w:tc>
          <w:tcPr>
            <w:tcW w:w="0" w:type="auto"/>
            <w:tcBorders>
              <w:top w:val="single" w:color="auto" w:sz="4" w:space="0"/>
            </w:tcBorders>
            <w:vAlign w:val="center"/>
          </w:tcPr>
          <w:p w14:paraId="36479461">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Mean Frequency Score</w:t>
            </w:r>
          </w:p>
        </w:tc>
        <w:tc>
          <w:tcPr>
            <w:tcW w:w="0" w:type="auto"/>
            <w:tcBorders>
              <w:top w:val="single" w:color="auto" w:sz="4" w:space="0"/>
            </w:tcBorders>
            <w:vAlign w:val="center"/>
          </w:tcPr>
          <w:p w14:paraId="73141CE2">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Correlation (r)</w:t>
            </w:r>
          </w:p>
        </w:tc>
        <w:tc>
          <w:tcPr>
            <w:tcW w:w="0" w:type="auto"/>
            <w:tcBorders>
              <w:top w:val="single" w:color="auto" w:sz="4" w:space="0"/>
            </w:tcBorders>
            <w:vAlign w:val="center"/>
          </w:tcPr>
          <w:p w14:paraId="65A50D86">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Qualitative Insight</w:t>
            </w:r>
          </w:p>
        </w:tc>
      </w:tr>
      <w:tr w14:paraId="5573A3CE">
        <w:tblPrEx>
          <w:tblCellMar>
            <w:top w:w="15" w:type="dxa"/>
            <w:left w:w="15" w:type="dxa"/>
            <w:bottom w:w="15" w:type="dxa"/>
            <w:right w:w="15" w:type="dxa"/>
          </w:tblCellMar>
        </w:tblPrEx>
        <w:trPr>
          <w:tblCellSpacing w:w="15" w:type="dxa"/>
        </w:trPr>
        <w:tc>
          <w:tcPr>
            <w:tcW w:w="0" w:type="auto"/>
            <w:tcBorders>
              <w:top w:val="single" w:color="auto" w:sz="4" w:space="0"/>
            </w:tcBorders>
            <w:vAlign w:val="center"/>
          </w:tcPr>
          <w:p w14:paraId="3910C328">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Contextual Adaptability</w:t>
            </w:r>
          </w:p>
        </w:tc>
        <w:tc>
          <w:tcPr>
            <w:tcW w:w="0" w:type="auto"/>
            <w:tcBorders>
              <w:top w:val="single" w:color="auto" w:sz="4" w:space="0"/>
            </w:tcBorders>
            <w:vAlign w:val="center"/>
          </w:tcPr>
          <w:p w14:paraId="531BAB9F">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4.355</w:t>
            </w:r>
          </w:p>
        </w:tc>
        <w:tc>
          <w:tcPr>
            <w:tcW w:w="0" w:type="auto"/>
            <w:tcBorders>
              <w:top w:val="single" w:color="auto" w:sz="4" w:space="0"/>
            </w:tcBorders>
            <w:vAlign w:val="center"/>
          </w:tcPr>
          <w:p w14:paraId="6793E7A6">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4.320</w:t>
            </w:r>
          </w:p>
        </w:tc>
        <w:tc>
          <w:tcPr>
            <w:tcW w:w="0" w:type="auto"/>
            <w:tcBorders>
              <w:top w:val="single" w:color="auto" w:sz="4" w:space="0"/>
            </w:tcBorders>
            <w:vAlign w:val="center"/>
          </w:tcPr>
          <w:p w14:paraId="302AB2EF">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0.583</w:t>
            </w:r>
          </w:p>
        </w:tc>
        <w:tc>
          <w:tcPr>
            <w:tcW w:w="0" w:type="auto"/>
            <w:tcBorders>
              <w:top w:val="single" w:color="auto" w:sz="4" w:space="0"/>
            </w:tcBorders>
            <w:vAlign w:val="center"/>
          </w:tcPr>
          <w:p w14:paraId="711F3651">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"LACs help us adapt to our students’ culture"</w:t>
            </w:r>
          </w:p>
        </w:tc>
      </w:tr>
      <w:tr w14:paraId="11D2CC12">
        <w:tblPrEx>
          <w:tblCellMar>
            <w:top w:w="15" w:type="dxa"/>
            <w:left w:w="15" w:type="dxa"/>
            <w:bottom w:w="15" w:type="dxa"/>
            <w:right w:w="15" w:type="dxa"/>
          </w:tblCellMar>
        </w:tblPrEx>
        <w:trPr>
          <w:tblCellSpacing w:w="15" w:type="dxa"/>
        </w:trPr>
        <w:tc>
          <w:tcPr>
            <w:tcW w:w="0" w:type="auto"/>
            <w:tcBorders>
              <w:bottom w:val="single" w:color="auto" w:sz="4" w:space="0"/>
            </w:tcBorders>
            <w:vAlign w:val="center"/>
          </w:tcPr>
          <w:p w14:paraId="506002B5">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Individual Adaptability</w:t>
            </w:r>
          </w:p>
        </w:tc>
        <w:tc>
          <w:tcPr>
            <w:tcW w:w="0" w:type="auto"/>
            <w:tcBorders>
              <w:bottom w:val="single" w:color="auto" w:sz="4" w:space="0"/>
            </w:tcBorders>
            <w:vAlign w:val="center"/>
          </w:tcPr>
          <w:p w14:paraId="0E54B0AD">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4.307</w:t>
            </w:r>
          </w:p>
        </w:tc>
        <w:tc>
          <w:tcPr>
            <w:tcW w:w="0" w:type="auto"/>
            <w:tcBorders>
              <w:bottom w:val="single" w:color="auto" w:sz="4" w:space="0"/>
            </w:tcBorders>
            <w:vAlign w:val="center"/>
          </w:tcPr>
          <w:p w14:paraId="620A84EF">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4.328</w:t>
            </w:r>
          </w:p>
        </w:tc>
        <w:tc>
          <w:tcPr>
            <w:tcW w:w="0" w:type="auto"/>
            <w:tcBorders>
              <w:bottom w:val="single" w:color="auto" w:sz="4" w:space="0"/>
            </w:tcBorders>
            <w:vAlign w:val="center"/>
          </w:tcPr>
          <w:p w14:paraId="489AA57B">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0.561</w:t>
            </w:r>
          </w:p>
        </w:tc>
        <w:tc>
          <w:tcPr>
            <w:tcW w:w="0" w:type="auto"/>
            <w:tcBorders>
              <w:bottom w:val="single" w:color="auto" w:sz="4" w:space="0"/>
            </w:tcBorders>
            <w:vAlign w:val="center"/>
          </w:tcPr>
          <w:p w14:paraId="6FCB45A9">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"LACs keep me motivated to grow"</w:t>
            </w:r>
          </w:p>
          <w:p w14:paraId="643C4666">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“LACs taught me new ways to teach”</w:t>
            </w:r>
          </w:p>
          <w:p w14:paraId="7765A75E">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“LACs help me include all students”</w:t>
            </w:r>
          </w:p>
        </w:tc>
      </w:tr>
    </w:tbl>
    <w:p w14:paraId="5EEB7906">
      <w:pPr>
        <w:jc w:val="both"/>
        <w:rPr>
          <w:rFonts w:ascii="Times New Roman" w:hAnsi="Times New Roman" w:cs="Times New Roman"/>
          <w:sz w:val="24"/>
          <w:szCs w:val="24"/>
          <w:lang w:val="en-US"/>
        </w:rPr>
      </w:pPr>
    </w:p>
    <w:p w14:paraId="0A8EB4A6">
      <w:pPr>
        <w:ind w:left="540" w:hanging="540"/>
        <w:jc w:val="both"/>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6. </w:t>
      </w:r>
      <w:r>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Empirical Findings: LACs’ Impact on Retention and Growth </w:t>
      </w:r>
    </w:p>
    <w:p w14:paraId="1FB4F323">
      <w:pPr>
        <w:rPr>
          <w:rFonts w:ascii="Times New Roman" w:hAnsi="Times New Roman" w:cs="Times New Roman"/>
          <w:i/>
          <w:sz w:val="24"/>
          <w:szCs w:val="24"/>
          <w:lang w:val="en-US"/>
        </w:rPr>
      </w:pPr>
      <w:r>
        <w:rPr>
          <w:rFonts w:ascii="Times New Roman" w:hAnsi="Times New Roman" w:cs="Times New Roman"/>
          <w:i/>
          <w:sz w:val="24"/>
          <w:szCs w:val="24"/>
          <w:lang w:val="en-US"/>
        </w:rPr>
        <w:t>Organizational Factors: Sustaining LACs Amid Structural Constraints</w:t>
      </w:r>
    </w:p>
    <w:p w14:paraId="7BE04D58">
      <w:pPr>
        <w:jc w:val="both"/>
        <w:rPr>
          <w:rFonts w:ascii="Times New Roman" w:hAnsi="Times New Roman" w:cs="Times New Roman"/>
          <w:sz w:val="24"/>
          <w:szCs w:val="24"/>
          <w:lang w:val="en-US"/>
        </w:rPr>
      </w:pPr>
      <w:r>
        <w:rPr>
          <w:rFonts w:ascii="Times New Roman" w:hAnsi="Times New Roman" w:cs="Times New Roman"/>
          <w:sz w:val="24"/>
          <w:szCs w:val="24"/>
          <w:lang w:val="en-US"/>
        </w:rPr>
        <w:t>The sustainability of Learning Action Cells (LACs) as an educational technology hinges significantly on organizational factors such as leadership involvement, resource adequacy, and systematic evaluation. These elements form the structural backbone that ensures LACs remain a lifeline, sustaining educators’ commitment and fostering innovation within challenging contexts like the Bangsamoro Autonomous Region of Muslim Mindanao (BARMM). Empirical data underscore the importance of these factors, with mean perception scores for leadership and resources reaching 4.381 and 4.390, respectively (Table 6). The strong correlation between perception and frequency scores (r = 0.673 for leadership; r = 0.583 for resources) reflects their alignment with Albert Bandura’s Social Learning Theory (SLT), where systematic engagement and environmental supports amplify behavioral outcomes (Bandura, 1977).</w:t>
      </w:r>
    </w:p>
    <w:p w14:paraId="67041BAF">
      <w:pPr>
        <w:rPr>
          <w:rFonts w:ascii="Times New Roman" w:hAnsi="Times New Roman" w:cs="Times New Roman"/>
          <w:i/>
          <w:sz w:val="24"/>
          <w:szCs w:val="24"/>
          <w:lang w:val="en-US"/>
        </w:rPr>
      </w:pPr>
      <w:r>
        <w:rPr>
          <w:rFonts w:ascii="Times New Roman" w:hAnsi="Times New Roman" w:cs="Times New Roman"/>
          <w:i/>
          <w:sz w:val="24"/>
          <w:szCs w:val="24"/>
          <w:lang w:val="en-US"/>
        </w:rPr>
        <w:t>Leadership Involvement: Institutionalizing LACs as a Core Practice</w:t>
      </w:r>
    </w:p>
    <w:p w14:paraId="23A6E603">
      <w:pPr>
        <w:jc w:val="both"/>
        <w:rPr>
          <w:rFonts w:ascii="Times New Roman" w:hAnsi="Times New Roman" w:cs="Times New Roman"/>
          <w:sz w:val="24"/>
          <w:szCs w:val="24"/>
          <w:lang w:val="en-US"/>
        </w:rPr>
      </w:pPr>
      <w:r>
        <w:rPr>
          <w:rFonts w:ascii="Times New Roman" w:hAnsi="Times New Roman" w:cs="Times New Roman"/>
          <w:sz w:val="24"/>
          <w:szCs w:val="24"/>
          <w:lang w:val="en-US"/>
        </w:rPr>
        <w:t>Leadership involvement emerges as a critical determinant of LACs’ success, particularly in BARMM’s isolated schools, where external support is often scarce. School leaders who actively participate in LAC sessions—such as by admitting instructional struggles or modeling reflective practices—reshape teachers’ perceptions of accountability, fostering a culture of collective responsibility. This dynamic contrasts sharply with traditional professional development (PD) models that rely on transient external trainers, as noted by Psychology Education (2024). For instance, a principal in Madamba School District shared during an LAC session how they adapted Maranao storytelling techniques to teach coding concepts, inadvertently normalizing adaptive problem-solving among teachers. DepEd’s 2016 LAC’s policy reinforces this by positioning school leaders as “LAC champions,” tasked with institutionalizing the technology within their communities.</w:t>
      </w:r>
    </w:p>
    <w:p w14:paraId="54D2C7F9">
      <w:pPr>
        <w:rPr>
          <w:rFonts w:ascii="Times New Roman" w:hAnsi="Times New Roman" w:cs="Times New Roman"/>
          <w:i/>
          <w:sz w:val="24"/>
          <w:szCs w:val="24"/>
          <w:lang w:val="en-US"/>
        </w:rPr>
      </w:pPr>
      <w:r>
        <w:rPr>
          <w:rFonts w:ascii="Times New Roman" w:hAnsi="Times New Roman" w:cs="Times New Roman"/>
          <w:i/>
          <w:sz w:val="24"/>
          <w:szCs w:val="24"/>
          <w:lang w:val="en-US"/>
        </w:rPr>
        <w:t>Resource Adequacy: Bridging Structural Gaps</w:t>
      </w:r>
    </w:p>
    <w:p w14:paraId="354E6EDA">
      <w:pPr>
        <w:jc w:val="both"/>
        <w:rPr>
          <w:rFonts w:ascii="Times New Roman" w:hAnsi="Times New Roman" w:cs="Times New Roman"/>
          <w:sz w:val="24"/>
          <w:szCs w:val="24"/>
          <w:lang w:val="en-US"/>
        </w:rPr>
      </w:pPr>
      <w:r>
        <w:rPr>
          <w:rFonts w:ascii="Times New Roman" w:hAnsi="Times New Roman" w:cs="Times New Roman"/>
          <w:sz w:val="24"/>
          <w:szCs w:val="24"/>
          <w:lang w:val="en-US"/>
        </w:rPr>
        <w:t>Resource adequacy represents another cornerstone of LACs’ sustainability, particularly in resource-scarce settings like BARMM. While LACs do not require significant financial investment, their success depends on the availability of basic materials and logistical support. Mean perception and frequency scores for resources (4.390 and 4.245, respectively) highlight teachers’ recognition of their importance (Table 6). Qualitative insights further corroborate this, with one teacher noting, “LACs help us adapt to our students’ culture” (Table 3). This adaptability aligns with findings by Velarde (2021), who argue that centering local epistemologies fosters transformative agency, enabling educators to advocate for culturally responsive education. By prioritizing resource adequacy, LACs ensure that teachers can focus on pedagogical innovation rather than logistical barriers.</w:t>
      </w:r>
    </w:p>
    <w:p w14:paraId="1CFF8168">
      <w:pPr>
        <w:rPr>
          <w:rFonts w:ascii="Times New Roman" w:hAnsi="Times New Roman" w:cs="Times New Roman"/>
          <w:i/>
          <w:sz w:val="24"/>
          <w:szCs w:val="24"/>
          <w:lang w:val="en-US"/>
        </w:rPr>
      </w:pPr>
      <w:r>
        <w:rPr>
          <w:rFonts w:ascii="Times New Roman" w:hAnsi="Times New Roman" w:cs="Times New Roman"/>
          <w:i/>
          <w:sz w:val="24"/>
          <w:szCs w:val="24"/>
          <w:lang w:val="en-US"/>
        </w:rPr>
        <w:t>Systematic Evaluation: Ensuring Continuous Improvement</w:t>
      </w:r>
    </w:p>
    <w:p w14:paraId="11142EF4">
      <w:pPr>
        <w:jc w:val="both"/>
        <w:rPr>
          <w:rFonts w:ascii="Times New Roman" w:hAnsi="Times New Roman" w:cs="Times New Roman"/>
          <w:sz w:val="24"/>
          <w:szCs w:val="24"/>
          <w:lang w:val="en-US"/>
        </w:rPr>
      </w:pPr>
      <w:r>
        <w:rPr>
          <w:rFonts w:ascii="Times New Roman" w:hAnsi="Times New Roman" w:cs="Times New Roman"/>
          <w:sz w:val="24"/>
          <w:szCs w:val="24"/>
          <w:lang w:val="en-US"/>
        </w:rPr>
        <w:t>Systematic evaluation serves as a mechanism for continuous improvement, ensuring that LACs remain responsive to evolving needs. With mean perception and frequency scores of 4.370 and 4.220, respectively (Table 6), systematic evaluation reflects teachers’ commitment to refining their practices. This process aligns with UNESCO’s (2019) emphasis on mediated efficacy in professional development systems, where interventions must address both skill gaps and motivational deficits to succeed. For example, regular feedback loops during LAC sessions enable teachers to identify areas for improvement, such as integrating digital tools into literacy lessons. This iterative approach ensures that LACs remain relevant and impactful over time.</w:t>
      </w:r>
    </w:p>
    <w:p w14:paraId="4E59F4A5">
      <w:pPr>
        <w:rPr>
          <w:rFonts w:ascii="Times New Roman" w:hAnsi="Times New Roman" w:cs="Times New Roman"/>
          <w:i/>
          <w:sz w:val="24"/>
          <w:szCs w:val="24"/>
          <w:lang w:val="en-US"/>
        </w:rPr>
      </w:pPr>
      <w:r>
        <w:rPr>
          <w:rFonts w:ascii="Times New Roman" w:hAnsi="Times New Roman" w:cs="Times New Roman"/>
          <w:i/>
          <w:sz w:val="24"/>
          <w:szCs w:val="24"/>
          <w:lang w:val="en-US"/>
        </w:rPr>
        <w:t>Contextual Resonance: A Force Multiplier</w:t>
      </w:r>
    </w:p>
    <w:p w14:paraId="6C0B4C02">
      <w:pPr>
        <w:jc w:val="both"/>
        <w:rPr>
          <w:rFonts w:ascii="Times New Roman" w:hAnsi="Times New Roman" w:cs="Times New Roman"/>
          <w:sz w:val="24"/>
          <w:szCs w:val="24"/>
          <w:lang w:val="en-US"/>
        </w:rPr>
      </w:pPr>
      <w:r>
        <w:rPr>
          <w:rFonts w:ascii="Times New Roman" w:hAnsi="Times New Roman" w:cs="Times New Roman"/>
          <w:sz w:val="24"/>
          <w:szCs w:val="24"/>
          <w:lang w:val="en-US"/>
        </w:rPr>
        <w:t>The contextual resonance of LACs amplifies their impact by aligning with local cultural, logistical, and socio-economic realities. This alignment is evident in the robust metrics and qualitative insights that underscore the interplay of relevance, collaboration, and community support. For instance, the strong correlation between perception and frequency scores for collaboration (r = 0.583) highlights its role as a force multiplier, enabling teachers to navigate shared contextual challenges organically (Table 7). Similarly, qualitative narratives such as “The community sees LACs as vital” (Table 4) underscore their role in rebuilding trust between schools and BARMM’s marginalized populations. This trifecta of relevance, collaboration, and community support forms the bedrock of LACs’ contextual grounding, enhancing retention and growth in BARMM’s unique setting.</w:t>
      </w:r>
    </w:p>
    <w:p w14:paraId="086FE26A">
      <w:pPr>
        <w:rPr>
          <w:rFonts w:ascii="Times New Roman" w:hAnsi="Times New Roman" w:cs="Times New Roman"/>
          <w:i/>
          <w:sz w:val="24"/>
          <w:szCs w:val="24"/>
          <w:lang w:val="en-US"/>
        </w:rPr>
      </w:pPr>
      <w:r>
        <w:rPr>
          <w:rFonts w:ascii="Times New Roman" w:hAnsi="Times New Roman" w:cs="Times New Roman"/>
          <w:i/>
          <w:sz w:val="24"/>
          <w:szCs w:val="24"/>
          <w:lang w:val="en-US"/>
        </w:rPr>
        <w:t>Empirical Validation: Quantitative Rigor and Qualitative Depth</w:t>
      </w:r>
    </w:p>
    <w:p w14:paraId="474DAF62">
      <w:pPr>
        <w:jc w:val="both"/>
        <w:rPr>
          <w:rFonts w:ascii="Times New Roman" w:hAnsi="Times New Roman" w:cs="Times New Roman"/>
          <w:sz w:val="24"/>
          <w:szCs w:val="24"/>
          <w:lang w:val="en-US"/>
        </w:rPr>
      </w:pPr>
      <w:r>
        <w:rPr>
          <w:rFonts w:ascii="Times New Roman" w:hAnsi="Times New Roman" w:cs="Times New Roman"/>
          <w:sz w:val="24"/>
          <w:szCs w:val="24"/>
          <w:lang w:val="en-US"/>
        </w:rPr>
        <w:t>The transformative power of LACs is validated through both quantitative rigor and qualitative depth. Statistical analyses reveal high mean perception scores (4.361–4.390) and strong correlations (r = 0.561–0.673), reflecting their measurable impact on teacher retention and professional growth. Qualitative insights further enrich this understanding, with teachers describing LACs as a source of motivation and resilience. For example, one participant noted, “Seeing colleagues innovate keeps me motivated to stay” (Table 2). These findings align with Bandura’s (1977) assertion that behavioral change arises from the interplay of personal agency and environmental supports, underscoring LACs’ potential as a scalable blueprint for systemic transformation.</w:t>
      </w:r>
    </w:p>
    <w:p w14:paraId="0A4E2942">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Table 4: Summary re Retention Outcomes in LACs</w:t>
      </w:r>
    </w:p>
    <w:tbl>
      <w:tblPr>
        <w:tblStyle w:val="3"/>
        <w:tblW w:w="5000" w:type="pct"/>
        <w:tblCellSpacing w:w="15" w:type="dxa"/>
        <w:tblInd w:w="0" w:type="dxa"/>
        <w:tblLayout w:type="autofit"/>
        <w:tblCellMar>
          <w:top w:w="15" w:type="dxa"/>
          <w:left w:w="15" w:type="dxa"/>
          <w:bottom w:w="15" w:type="dxa"/>
          <w:right w:w="15" w:type="dxa"/>
        </w:tblCellMar>
      </w:tblPr>
      <w:tblGrid>
        <w:gridCol w:w="4306"/>
        <w:gridCol w:w="962"/>
        <w:gridCol w:w="3848"/>
      </w:tblGrid>
      <w:tr w14:paraId="439ADA0D">
        <w:tblPrEx>
          <w:tblCellMar>
            <w:top w:w="15" w:type="dxa"/>
            <w:left w:w="15" w:type="dxa"/>
            <w:bottom w:w="15" w:type="dxa"/>
            <w:right w:w="15" w:type="dxa"/>
          </w:tblCellMar>
        </w:tblPrEx>
        <w:trPr>
          <w:tblHeader/>
          <w:tblCellSpacing w:w="15" w:type="dxa"/>
        </w:trPr>
        <w:tc>
          <w:tcPr>
            <w:tcW w:w="2337" w:type="pct"/>
            <w:tcBorders>
              <w:top w:val="single" w:color="auto" w:sz="4" w:space="0"/>
              <w:bottom w:val="single" w:color="auto" w:sz="4" w:space="0"/>
            </w:tcBorders>
            <w:vAlign w:val="center"/>
          </w:tcPr>
          <w:p w14:paraId="7391769B">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Metric</w:t>
            </w:r>
          </w:p>
        </w:tc>
        <w:tc>
          <w:tcPr>
            <w:tcW w:w="511" w:type="pct"/>
            <w:tcBorders>
              <w:top w:val="single" w:color="auto" w:sz="4" w:space="0"/>
              <w:bottom w:val="single" w:color="auto" w:sz="4" w:space="0"/>
            </w:tcBorders>
            <w:vAlign w:val="center"/>
          </w:tcPr>
          <w:p w14:paraId="2E8009E7">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Value</w:t>
            </w:r>
          </w:p>
        </w:tc>
        <w:tc>
          <w:tcPr>
            <w:tcW w:w="2086" w:type="pct"/>
            <w:tcBorders>
              <w:top w:val="single" w:color="auto" w:sz="4" w:space="0"/>
              <w:bottom w:val="single" w:color="auto" w:sz="4" w:space="0"/>
            </w:tcBorders>
            <w:vAlign w:val="center"/>
          </w:tcPr>
          <w:p w14:paraId="0108A47C">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Qualitative Insight</w:t>
            </w:r>
          </w:p>
        </w:tc>
      </w:tr>
      <w:tr w14:paraId="1195C832">
        <w:tblPrEx>
          <w:tblCellMar>
            <w:top w:w="15" w:type="dxa"/>
            <w:left w:w="15" w:type="dxa"/>
            <w:bottom w:w="15" w:type="dxa"/>
            <w:right w:w="15" w:type="dxa"/>
          </w:tblCellMar>
        </w:tblPrEx>
        <w:trPr>
          <w:tblCellSpacing w:w="15" w:type="dxa"/>
        </w:trPr>
        <w:tc>
          <w:tcPr>
            <w:tcW w:w="2337" w:type="pct"/>
            <w:vAlign w:val="center"/>
          </w:tcPr>
          <w:p w14:paraId="26ABF69F">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Retention Rate (Active Participants)</w:t>
            </w:r>
          </w:p>
        </w:tc>
        <w:tc>
          <w:tcPr>
            <w:tcW w:w="511" w:type="pct"/>
            <w:vAlign w:val="center"/>
          </w:tcPr>
          <w:p w14:paraId="2E210529">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83.50%</w:t>
            </w:r>
          </w:p>
        </w:tc>
        <w:tc>
          <w:tcPr>
            <w:tcW w:w="2086" w:type="pct"/>
            <w:vAlign w:val="center"/>
          </w:tcPr>
          <w:p w14:paraId="43CFAFBD">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"LACs make me want to stay"</w:t>
            </w:r>
          </w:p>
        </w:tc>
      </w:tr>
      <w:tr w14:paraId="6C83BD00">
        <w:tblPrEx>
          <w:tblCellMar>
            <w:top w:w="15" w:type="dxa"/>
            <w:left w:w="15" w:type="dxa"/>
            <w:bottom w:w="15" w:type="dxa"/>
            <w:right w:w="15" w:type="dxa"/>
          </w:tblCellMar>
        </w:tblPrEx>
        <w:trPr>
          <w:tblCellSpacing w:w="15" w:type="dxa"/>
        </w:trPr>
        <w:tc>
          <w:tcPr>
            <w:tcW w:w="2337" w:type="pct"/>
            <w:vAlign w:val="center"/>
          </w:tcPr>
          <w:p w14:paraId="3A2DD42C">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Retention Rate (Non-Participants)</w:t>
            </w:r>
          </w:p>
        </w:tc>
        <w:tc>
          <w:tcPr>
            <w:tcW w:w="511" w:type="pct"/>
            <w:vAlign w:val="center"/>
          </w:tcPr>
          <w:p w14:paraId="0B3163B2">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0%</w:t>
            </w:r>
          </w:p>
        </w:tc>
        <w:tc>
          <w:tcPr>
            <w:tcW w:w="2086" w:type="pct"/>
            <w:vAlign w:val="center"/>
          </w:tcPr>
          <w:p w14:paraId="00CA50A0">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“The community sees LACs as vital”</w:t>
            </w:r>
          </w:p>
        </w:tc>
      </w:tr>
      <w:tr w14:paraId="4AC007A2">
        <w:tblPrEx>
          <w:tblCellMar>
            <w:top w:w="15" w:type="dxa"/>
            <w:left w:w="15" w:type="dxa"/>
            <w:bottom w:w="15" w:type="dxa"/>
            <w:right w:w="15" w:type="dxa"/>
          </w:tblCellMar>
        </w:tblPrEx>
        <w:trPr>
          <w:tblCellSpacing w:w="15" w:type="dxa"/>
        </w:trPr>
        <w:tc>
          <w:tcPr>
            <w:tcW w:w="2337" w:type="pct"/>
            <w:tcBorders>
              <w:bottom w:val="single" w:color="auto" w:sz="4" w:space="0"/>
            </w:tcBorders>
            <w:vAlign w:val="center"/>
          </w:tcPr>
          <w:p w14:paraId="14F68FA8">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Mean Frequency of Engagement</w:t>
            </w:r>
          </w:p>
        </w:tc>
        <w:tc>
          <w:tcPr>
            <w:tcW w:w="511" w:type="pct"/>
            <w:tcBorders>
              <w:bottom w:val="single" w:color="auto" w:sz="4" w:space="0"/>
            </w:tcBorders>
            <w:vAlign w:val="center"/>
          </w:tcPr>
          <w:p w14:paraId="51F1D933">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4.128</w:t>
            </w:r>
          </w:p>
        </w:tc>
        <w:tc>
          <w:tcPr>
            <w:tcW w:w="2086" w:type="pct"/>
            <w:tcBorders>
              <w:bottom w:val="single" w:color="auto" w:sz="4" w:space="0"/>
            </w:tcBorders>
            <w:vAlign w:val="center"/>
          </w:tcPr>
          <w:p w14:paraId="46266A12">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"Learning keeps me committed"</w:t>
            </w:r>
          </w:p>
        </w:tc>
      </w:tr>
    </w:tbl>
    <w:p w14:paraId="43F1BC8D">
      <w:pPr>
        <w:jc w:val="both"/>
        <w:rPr>
          <w:rFonts w:ascii="Times New Roman" w:hAnsi="Times New Roman" w:cs="Times New Roman"/>
          <w:sz w:val="24"/>
          <w:szCs w:val="24"/>
          <w:lang w:val="en-US"/>
        </w:rPr>
      </w:pPr>
    </w:p>
    <w:p w14:paraId="2BDB39E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Table 5: Summary re Professional Growth in LACs</w:t>
      </w:r>
    </w:p>
    <w:tbl>
      <w:tblPr>
        <w:tblStyle w:val="3"/>
        <w:tblW w:w="5000" w:type="pct"/>
        <w:tblCellSpacing w:w="15" w:type="dxa"/>
        <w:tblInd w:w="0" w:type="dxa"/>
        <w:tblLayout w:type="autofit"/>
        <w:tblCellMar>
          <w:top w:w="15" w:type="dxa"/>
          <w:left w:w="15" w:type="dxa"/>
          <w:bottom w:w="15" w:type="dxa"/>
          <w:right w:w="15" w:type="dxa"/>
        </w:tblCellMar>
      </w:tblPr>
      <w:tblGrid>
        <w:gridCol w:w="3606"/>
        <w:gridCol w:w="2755"/>
        <w:gridCol w:w="2755"/>
      </w:tblGrid>
      <w:tr w14:paraId="035CB1D2">
        <w:tblPrEx>
          <w:tblCellMar>
            <w:top w:w="15" w:type="dxa"/>
            <w:left w:w="15" w:type="dxa"/>
            <w:bottom w:w="15" w:type="dxa"/>
            <w:right w:w="15" w:type="dxa"/>
          </w:tblCellMar>
        </w:tblPrEx>
        <w:trPr>
          <w:tblHeader/>
          <w:tblCellSpacing w:w="15" w:type="dxa"/>
        </w:trPr>
        <w:tc>
          <w:tcPr>
            <w:tcW w:w="1950" w:type="pct"/>
            <w:tcBorders>
              <w:top w:val="single" w:color="auto" w:sz="4" w:space="0"/>
              <w:bottom w:val="single" w:color="auto" w:sz="4" w:space="0"/>
            </w:tcBorders>
            <w:vAlign w:val="center"/>
          </w:tcPr>
          <w:p w14:paraId="14481940">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Aspect of Professional Growth</w:t>
            </w:r>
          </w:p>
        </w:tc>
        <w:tc>
          <w:tcPr>
            <w:tcW w:w="1492" w:type="pct"/>
            <w:tcBorders>
              <w:top w:val="single" w:color="auto" w:sz="4" w:space="0"/>
              <w:bottom w:val="single" w:color="auto" w:sz="4" w:space="0"/>
            </w:tcBorders>
            <w:vAlign w:val="center"/>
          </w:tcPr>
          <w:p w14:paraId="2CFD5BAE">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Mean Perception Score</w:t>
            </w:r>
          </w:p>
        </w:tc>
        <w:tc>
          <w:tcPr>
            <w:tcW w:w="1484" w:type="pct"/>
            <w:tcBorders>
              <w:top w:val="single" w:color="auto" w:sz="4" w:space="0"/>
              <w:bottom w:val="single" w:color="auto" w:sz="4" w:space="0"/>
            </w:tcBorders>
            <w:vAlign w:val="center"/>
          </w:tcPr>
          <w:p w14:paraId="0EB2FB3B">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Mean Frequency Score</w:t>
            </w:r>
          </w:p>
        </w:tc>
      </w:tr>
      <w:tr w14:paraId="6B99F911">
        <w:tblPrEx>
          <w:tblCellMar>
            <w:top w:w="15" w:type="dxa"/>
            <w:left w:w="15" w:type="dxa"/>
            <w:bottom w:w="15" w:type="dxa"/>
            <w:right w:w="15" w:type="dxa"/>
          </w:tblCellMar>
        </w:tblPrEx>
        <w:trPr>
          <w:tblCellSpacing w:w="15" w:type="dxa"/>
        </w:trPr>
        <w:tc>
          <w:tcPr>
            <w:tcW w:w="1950" w:type="pct"/>
            <w:vAlign w:val="center"/>
          </w:tcPr>
          <w:p w14:paraId="161E7F49">
            <w:pPr>
              <w:jc w:val="both"/>
              <w:rPr>
                <w:rFonts w:ascii="Times New Roman" w:hAnsi="Times New Roman" w:cs="Times New Roman"/>
                <w:bCs/>
                <w:sz w:val="24"/>
                <w:szCs w:val="24"/>
                <w:lang w:val="en-US"/>
              </w:rPr>
            </w:pPr>
            <w:r>
              <w:rPr>
                <w:rFonts w:ascii="Times New Roman" w:hAnsi="Times New Roman" w:cs="Times New Roman"/>
                <w:bCs/>
                <w:sz w:val="24"/>
                <w:szCs w:val="24"/>
                <w:lang w:val="en-US"/>
              </w:rPr>
              <w:t>Skill Mastery</w:t>
            </w:r>
          </w:p>
        </w:tc>
        <w:tc>
          <w:tcPr>
            <w:tcW w:w="1492" w:type="pct"/>
            <w:vAlign w:val="center"/>
          </w:tcPr>
          <w:p w14:paraId="2B05DDA0">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4.350</w:t>
            </w:r>
          </w:p>
        </w:tc>
        <w:tc>
          <w:tcPr>
            <w:tcW w:w="1484" w:type="pct"/>
            <w:vAlign w:val="center"/>
          </w:tcPr>
          <w:p w14:paraId="1B140F41">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4.296</w:t>
            </w:r>
          </w:p>
        </w:tc>
      </w:tr>
      <w:tr w14:paraId="36952994">
        <w:tblPrEx>
          <w:tblCellMar>
            <w:top w:w="15" w:type="dxa"/>
            <w:left w:w="15" w:type="dxa"/>
            <w:bottom w:w="15" w:type="dxa"/>
            <w:right w:w="15" w:type="dxa"/>
          </w:tblCellMar>
        </w:tblPrEx>
        <w:trPr>
          <w:tblCellSpacing w:w="15" w:type="dxa"/>
        </w:trPr>
        <w:tc>
          <w:tcPr>
            <w:tcW w:w="1950" w:type="pct"/>
            <w:vAlign w:val="center"/>
          </w:tcPr>
          <w:p w14:paraId="0CF4F3D2">
            <w:pPr>
              <w:jc w:val="both"/>
              <w:rPr>
                <w:rFonts w:ascii="Times New Roman" w:hAnsi="Times New Roman" w:cs="Times New Roman"/>
                <w:bCs/>
                <w:sz w:val="24"/>
                <w:szCs w:val="24"/>
                <w:lang w:val="en-US"/>
              </w:rPr>
            </w:pPr>
            <w:r>
              <w:rPr>
                <w:rFonts w:ascii="Times New Roman" w:hAnsi="Times New Roman" w:cs="Times New Roman"/>
                <w:bCs/>
                <w:sz w:val="24"/>
                <w:szCs w:val="24"/>
                <w:lang w:val="en-US"/>
              </w:rPr>
              <w:t>Reflective Practice</w:t>
            </w:r>
          </w:p>
        </w:tc>
        <w:tc>
          <w:tcPr>
            <w:tcW w:w="1492" w:type="pct"/>
            <w:vAlign w:val="center"/>
          </w:tcPr>
          <w:p w14:paraId="2C3A6F78">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4.370</w:t>
            </w:r>
          </w:p>
        </w:tc>
        <w:tc>
          <w:tcPr>
            <w:tcW w:w="1484" w:type="pct"/>
            <w:vAlign w:val="center"/>
          </w:tcPr>
          <w:p w14:paraId="58D32090">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4.310</w:t>
            </w:r>
          </w:p>
        </w:tc>
      </w:tr>
      <w:tr w14:paraId="230A7698">
        <w:tblPrEx>
          <w:tblCellMar>
            <w:top w:w="15" w:type="dxa"/>
            <w:left w:w="15" w:type="dxa"/>
            <w:bottom w:w="15" w:type="dxa"/>
            <w:right w:w="15" w:type="dxa"/>
          </w:tblCellMar>
        </w:tblPrEx>
        <w:trPr>
          <w:tblCellSpacing w:w="15" w:type="dxa"/>
        </w:trPr>
        <w:tc>
          <w:tcPr>
            <w:tcW w:w="1950" w:type="pct"/>
            <w:vAlign w:val="center"/>
          </w:tcPr>
          <w:p w14:paraId="1368D082">
            <w:pPr>
              <w:jc w:val="both"/>
              <w:rPr>
                <w:rFonts w:ascii="Times New Roman" w:hAnsi="Times New Roman" w:cs="Times New Roman"/>
                <w:bCs/>
                <w:sz w:val="24"/>
                <w:szCs w:val="24"/>
                <w:lang w:val="en-US"/>
              </w:rPr>
            </w:pPr>
            <w:r>
              <w:rPr>
                <w:rFonts w:ascii="Times New Roman" w:hAnsi="Times New Roman" w:cs="Times New Roman"/>
                <w:bCs/>
                <w:sz w:val="24"/>
                <w:szCs w:val="24"/>
                <w:lang w:val="en-US"/>
              </w:rPr>
              <w:t>Learner-Centered Activities</w:t>
            </w:r>
          </w:p>
        </w:tc>
        <w:tc>
          <w:tcPr>
            <w:tcW w:w="1492" w:type="pct"/>
            <w:vAlign w:val="center"/>
          </w:tcPr>
          <w:p w14:paraId="3713D87A">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4.363</w:t>
            </w:r>
          </w:p>
        </w:tc>
        <w:tc>
          <w:tcPr>
            <w:tcW w:w="1484" w:type="pct"/>
            <w:vAlign w:val="center"/>
          </w:tcPr>
          <w:p w14:paraId="0F64A494">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4.335</w:t>
            </w:r>
          </w:p>
        </w:tc>
      </w:tr>
      <w:tr w14:paraId="7F191CF5">
        <w:tblPrEx>
          <w:tblCellMar>
            <w:top w:w="15" w:type="dxa"/>
            <w:left w:w="15" w:type="dxa"/>
            <w:bottom w:w="15" w:type="dxa"/>
            <w:right w:w="15" w:type="dxa"/>
          </w:tblCellMar>
        </w:tblPrEx>
        <w:trPr>
          <w:tblCellSpacing w:w="15" w:type="dxa"/>
        </w:trPr>
        <w:tc>
          <w:tcPr>
            <w:tcW w:w="1950" w:type="pct"/>
            <w:tcBorders>
              <w:bottom w:val="single" w:color="auto" w:sz="4" w:space="0"/>
            </w:tcBorders>
            <w:vAlign w:val="center"/>
          </w:tcPr>
          <w:p w14:paraId="63745AD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Overall Average</w:t>
            </w:r>
          </w:p>
        </w:tc>
        <w:tc>
          <w:tcPr>
            <w:tcW w:w="1492" w:type="pct"/>
            <w:tcBorders>
              <w:bottom w:val="single" w:color="auto" w:sz="4" w:space="0"/>
            </w:tcBorders>
            <w:vAlign w:val="center"/>
          </w:tcPr>
          <w:p w14:paraId="01CED297">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4.361</w:t>
            </w:r>
          </w:p>
        </w:tc>
        <w:tc>
          <w:tcPr>
            <w:tcW w:w="1484" w:type="pct"/>
            <w:tcBorders>
              <w:bottom w:val="single" w:color="auto" w:sz="4" w:space="0"/>
            </w:tcBorders>
            <w:vAlign w:val="center"/>
          </w:tcPr>
          <w:p w14:paraId="76719975">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4.314</w:t>
            </w:r>
          </w:p>
        </w:tc>
      </w:tr>
    </w:tbl>
    <w:p w14:paraId="0178D2BA">
      <w:pPr>
        <w:jc w:val="both"/>
        <w:rPr>
          <w:rFonts w:ascii="Times New Roman" w:hAnsi="Times New Roman" w:cs="Times New Roman"/>
          <w:sz w:val="24"/>
          <w:szCs w:val="24"/>
          <w:lang w:val="en-US"/>
        </w:rPr>
      </w:pPr>
    </w:p>
    <w:p w14:paraId="1338D675">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Table 6: Summary re Organizational Factors in LACs</w:t>
      </w:r>
    </w:p>
    <w:tbl>
      <w:tblPr>
        <w:tblStyle w:val="3"/>
        <w:tblW w:w="5000" w:type="pct"/>
        <w:tblCellSpacing w:w="15" w:type="dxa"/>
        <w:tblInd w:w="0" w:type="dxa"/>
        <w:tblLayout w:type="autofit"/>
        <w:tblCellMar>
          <w:top w:w="15" w:type="dxa"/>
          <w:left w:w="15" w:type="dxa"/>
          <w:bottom w:w="15" w:type="dxa"/>
          <w:right w:w="15" w:type="dxa"/>
        </w:tblCellMar>
      </w:tblPr>
      <w:tblGrid>
        <w:gridCol w:w="7807"/>
        <w:gridCol w:w="1309"/>
      </w:tblGrid>
      <w:tr w14:paraId="435C9724">
        <w:tblPrEx>
          <w:tblCellMar>
            <w:top w:w="15" w:type="dxa"/>
            <w:left w:w="15" w:type="dxa"/>
            <w:bottom w:w="15" w:type="dxa"/>
            <w:right w:w="15" w:type="dxa"/>
          </w:tblCellMar>
        </w:tblPrEx>
        <w:trPr>
          <w:tblHeader/>
          <w:tblCellSpacing w:w="15" w:type="dxa"/>
        </w:trPr>
        <w:tc>
          <w:tcPr>
            <w:tcW w:w="4271" w:type="pct"/>
            <w:tcBorders>
              <w:top w:val="single" w:color="auto" w:sz="4" w:space="0"/>
              <w:bottom w:val="single" w:color="auto" w:sz="4" w:space="0"/>
            </w:tcBorders>
            <w:vAlign w:val="center"/>
          </w:tcPr>
          <w:p w14:paraId="0687F26B">
            <w:pPr>
              <w:jc w:val="both"/>
              <w:rPr>
                <w:rFonts w:ascii="Times New Roman" w:hAnsi="Times New Roman" w:cs="Times New Roman"/>
                <w:bCs/>
                <w:sz w:val="24"/>
                <w:szCs w:val="24"/>
              </w:rPr>
            </w:pPr>
            <w:r>
              <w:rPr>
                <w:rFonts w:ascii="Times New Roman" w:hAnsi="Times New Roman" w:cs="Times New Roman"/>
                <w:bCs/>
                <w:sz w:val="24"/>
                <w:szCs w:val="24"/>
              </w:rPr>
              <w:t>Metric</w:t>
            </w:r>
          </w:p>
        </w:tc>
        <w:tc>
          <w:tcPr>
            <w:tcW w:w="679" w:type="pct"/>
            <w:tcBorders>
              <w:top w:val="single" w:color="auto" w:sz="4" w:space="0"/>
              <w:bottom w:val="single" w:color="auto" w:sz="4" w:space="0"/>
            </w:tcBorders>
            <w:vAlign w:val="center"/>
          </w:tcPr>
          <w:p w14:paraId="286B9C6C">
            <w:pPr>
              <w:jc w:val="both"/>
              <w:rPr>
                <w:rFonts w:ascii="Times New Roman" w:hAnsi="Times New Roman" w:cs="Times New Roman"/>
                <w:bCs/>
                <w:sz w:val="24"/>
                <w:szCs w:val="24"/>
              </w:rPr>
            </w:pPr>
            <w:r>
              <w:rPr>
                <w:rFonts w:ascii="Times New Roman" w:hAnsi="Times New Roman" w:cs="Times New Roman"/>
                <w:bCs/>
                <w:sz w:val="24"/>
                <w:szCs w:val="24"/>
              </w:rPr>
              <w:t>Value</w:t>
            </w:r>
          </w:p>
        </w:tc>
      </w:tr>
      <w:tr w14:paraId="5186E3E7">
        <w:tblPrEx>
          <w:tblCellMar>
            <w:top w:w="15" w:type="dxa"/>
            <w:left w:w="15" w:type="dxa"/>
            <w:bottom w:w="15" w:type="dxa"/>
            <w:right w:w="15" w:type="dxa"/>
          </w:tblCellMar>
        </w:tblPrEx>
        <w:trPr>
          <w:tblCellSpacing w:w="15" w:type="dxa"/>
        </w:trPr>
        <w:tc>
          <w:tcPr>
            <w:tcW w:w="4271" w:type="pct"/>
            <w:vAlign w:val="center"/>
          </w:tcPr>
          <w:p w14:paraId="521F0F3D">
            <w:pPr>
              <w:jc w:val="both"/>
              <w:rPr>
                <w:rFonts w:ascii="Times New Roman" w:hAnsi="Times New Roman" w:cs="Times New Roman"/>
                <w:bCs/>
                <w:sz w:val="24"/>
                <w:szCs w:val="24"/>
              </w:rPr>
            </w:pPr>
            <w:r>
              <w:rPr>
                <w:rFonts w:ascii="Times New Roman" w:hAnsi="Times New Roman" w:cs="Times New Roman"/>
                <w:bCs/>
                <w:sz w:val="24"/>
                <w:szCs w:val="24"/>
              </w:rPr>
              <w:t>Mean Perception Score (Leadership)</w:t>
            </w:r>
          </w:p>
        </w:tc>
        <w:tc>
          <w:tcPr>
            <w:tcW w:w="679" w:type="pct"/>
            <w:vAlign w:val="center"/>
          </w:tcPr>
          <w:p w14:paraId="0C988083">
            <w:pPr>
              <w:jc w:val="both"/>
              <w:rPr>
                <w:rFonts w:ascii="Times New Roman" w:hAnsi="Times New Roman" w:cs="Times New Roman"/>
                <w:bCs/>
                <w:sz w:val="24"/>
                <w:szCs w:val="24"/>
              </w:rPr>
            </w:pPr>
            <w:r>
              <w:rPr>
                <w:rFonts w:ascii="Times New Roman" w:hAnsi="Times New Roman" w:cs="Times New Roman"/>
                <w:bCs/>
                <w:sz w:val="24"/>
                <w:szCs w:val="24"/>
              </w:rPr>
              <w:t>4.381</w:t>
            </w:r>
          </w:p>
        </w:tc>
      </w:tr>
      <w:tr w14:paraId="3A4DB515">
        <w:tblPrEx>
          <w:tblCellMar>
            <w:top w:w="15" w:type="dxa"/>
            <w:left w:w="15" w:type="dxa"/>
            <w:bottom w:w="15" w:type="dxa"/>
            <w:right w:w="15" w:type="dxa"/>
          </w:tblCellMar>
        </w:tblPrEx>
        <w:trPr>
          <w:tblCellSpacing w:w="15" w:type="dxa"/>
        </w:trPr>
        <w:tc>
          <w:tcPr>
            <w:tcW w:w="4271" w:type="pct"/>
            <w:vAlign w:val="center"/>
          </w:tcPr>
          <w:p w14:paraId="3EE1E53E">
            <w:pPr>
              <w:jc w:val="both"/>
              <w:rPr>
                <w:rFonts w:ascii="Times New Roman" w:hAnsi="Times New Roman" w:cs="Times New Roman"/>
                <w:bCs/>
                <w:sz w:val="24"/>
                <w:szCs w:val="24"/>
              </w:rPr>
            </w:pPr>
            <w:r>
              <w:rPr>
                <w:rFonts w:ascii="Times New Roman" w:hAnsi="Times New Roman" w:cs="Times New Roman"/>
                <w:bCs/>
                <w:sz w:val="24"/>
                <w:szCs w:val="24"/>
              </w:rPr>
              <w:t>Mean Frequency Score (Leadership)</w:t>
            </w:r>
          </w:p>
        </w:tc>
        <w:tc>
          <w:tcPr>
            <w:tcW w:w="679" w:type="pct"/>
            <w:vAlign w:val="center"/>
          </w:tcPr>
          <w:p w14:paraId="7B244A92">
            <w:pPr>
              <w:jc w:val="both"/>
              <w:rPr>
                <w:rFonts w:ascii="Times New Roman" w:hAnsi="Times New Roman" w:cs="Times New Roman"/>
                <w:bCs/>
                <w:sz w:val="24"/>
                <w:szCs w:val="24"/>
              </w:rPr>
            </w:pPr>
            <w:r>
              <w:rPr>
                <w:rFonts w:ascii="Times New Roman" w:hAnsi="Times New Roman" w:cs="Times New Roman"/>
                <w:bCs/>
                <w:sz w:val="24"/>
                <w:szCs w:val="24"/>
              </w:rPr>
              <w:t>4.236</w:t>
            </w:r>
          </w:p>
        </w:tc>
      </w:tr>
      <w:tr w14:paraId="7B8A1944">
        <w:tblPrEx>
          <w:tblCellMar>
            <w:top w:w="15" w:type="dxa"/>
            <w:left w:w="15" w:type="dxa"/>
            <w:bottom w:w="15" w:type="dxa"/>
            <w:right w:w="15" w:type="dxa"/>
          </w:tblCellMar>
        </w:tblPrEx>
        <w:trPr>
          <w:tblCellSpacing w:w="15" w:type="dxa"/>
        </w:trPr>
        <w:tc>
          <w:tcPr>
            <w:tcW w:w="4271" w:type="pct"/>
            <w:vAlign w:val="center"/>
          </w:tcPr>
          <w:p w14:paraId="5228ABC9">
            <w:pPr>
              <w:jc w:val="both"/>
              <w:rPr>
                <w:rFonts w:ascii="Times New Roman" w:hAnsi="Times New Roman" w:cs="Times New Roman"/>
                <w:bCs/>
                <w:sz w:val="24"/>
                <w:szCs w:val="24"/>
              </w:rPr>
            </w:pPr>
            <w:r>
              <w:rPr>
                <w:rFonts w:ascii="Times New Roman" w:hAnsi="Times New Roman" w:cs="Times New Roman"/>
                <w:bCs/>
                <w:sz w:val="24"/>
                <w:szCs w:val="24"/>
              </w:rPr>
              <w:t>Correlation (Perception vs. Frequency)</w:t>
            </w:r>
          </w:p>
        </w:tc>
        <w:tc>
          <w:tcPr>
            <w:tcW w:w="679" w:type="pct"/>
            <w:vAlign w:val="center"/>
          </w:tcPr>
          <w:p w14:paraId="7D5330F5">
            <w:pPr>
              <w:jc w:val="both"/>
              <w:rPr>
                <w:rFonts w:ascii="Times New Roman" w:hAnsi="Times New Roman" w:cs="Times New Roman"/>
                <w:bCs/>
                <w:sz w:val="24"/>
                <w:szCs w:val="24"/>
              </w:rPr>
            </w:pPr>
            <w:r>
              <w:rPr>
                <w:rFonts w:ascii="Times New Roman" w:hAnsi="Times New Roman" w:cs="Times New Roman"/>
                <w:bCs/>
                <w:sz w:val="24"/>
                <w:szCs w:val="24"/>
              </w:rPr>
              <w:t>0.673</w:t>
            </w:r>
          </w:p>
        </w:tc>
      </w:tr>
      <w:tr w14:paraId="04076BC3">
        <w:tblPrEx>
          <w:tblCellMar>
            <w:top w:w="15" w:type="dxa"/>
            <w:left w:w="15" w:type="dxa"/>
            <w:bottom w:w="15" w:type="dxa"/>
            <w:right w:w="15" w:type="dxa"/>
          </w:tblCellMar>
        </w:tblPrEx>
        <w:trPr>
          <w:tblCellSpacing w:w="15" w:type="dxa"/>
        </w:trPr>
        <w:tc>
          <w:tcPr>
            <w:tcW w:w="4271" w:type="pct"/>
            <w:vAlign w:val="center"/>
          </w:tcPr>
          <w:p w14:paraId="7BF8460D">
            <w:pPr>
              <w:jc w:val="both"/>
              <w:rPr>
                <w:rFonts w:ascii="Times New Roman" w:hAnsi="Times New Roman" w:cs="Times New Roman"/>
                <w:bCs/>
                <w:sz w:val="24"/>
                <w:szCs w:val="24"/>
              </w:rPr>
            </w:pPr>
            <w:r>
              <w:rPr>
                <w:rFonts w:ascii="Times New Roman" w:hAnsi="Times New Roman" w:cs="Times New Roman"/>
                <w:bCs/>
                <w:sz w:val="24"/>
                <w:szCs w:val="24"/>
              </w:rPr>
              <w:t>Mean Perception Score (Resources)</w:t>
            </w:r>
          </w:p>
        </w:tc>
        <w:tc>
          <w:tcPr>
            <w:tcW w:w="679" w:type="pct"/>
            <w:vAlign w:val="center"/>
          </w:tcPr>
          <w:p w14:paraId="7EA466C4">
            <w:pPr>
              <w:jc w:val="both"/>
              <w:rPr>
                <w:rFonts w:ascii="Times New Roman" w:hAnsi="Times New Roman" w:cs="Times New Roman"/>
                <w:bCs/>
                <w:sz w:val="24"/>
                <w:szCs w:val="24"/>
              </w:rPr>
            </w:pPr>
            <w:r>
              <w:rPr>
                <w:rFonts w:ascii="Times New Roman" w:hAnsi="Times New Roman" w:cs="Times New Roman"/>
                <w:bCs/>
                <w:sz w:val="24"/>
                <w:szCs w:val="24"/>
              </w:rPr>
              <w:t>4.390</w:t>
            </w:r>
          </w:p>
        </w:tc>
      </w:tr>
      <w:tr w14:paraId="6A3B240F">
        <w:tblPrEx>
          <w:tblCellMar>
            <w:top w:w="15" w:type="dxa"/>
            <w:left w:w="15" w:type="dxa"/>
            <w:bottom w:w="15" w:type="dxa"/>
            <w:right w:w="15" w:type="dxa"/>
          </w:tblCellMar>
        </w:tblPrEx>
        <w:trPr>
          <w:tblCellSpacing w:w="15" w:type="dxa"/>
        </w:trPr>
        <w:tc>
          <w:tcPr>
            <w:tcW w:w="4271" w:type="pct"/>
            <w:vAlign w:val="center"/>
          </w:tcPr>
          <w:p w14:paraId="2BBDC360">
            <w:pPr>
              <w:jc w:val="both"/>
              <w:rPr>
                <w:rFonts w:ascii="Times New Roman" w:hAnsi="Times New Roman" w:cs="Times New Roman"/>
                <w:bCs/>
                <w:sz w:val="24"/>
                <w:szCs w:val="24"/>
              </w:rPr>
            </w:pPr>
            <w:r>
              <w:rPr>
                <w:rFonts w:ascii="Times New Roman" w:hAnsi="Times New Roman" w:cs="Times New Roman"/>
                <w:bCs/>
                <w:sz w:val="24"/>
                <w:szCs w:val="24"/>
              </w:rPr>
              <w:t>Mean Frequency Score (Resources)</w:t>
            </w:r>
          </w:p>
        </w:tc>
        <w:tc>
          <w:tcPr>
            <w:tcW w:w="679" w:type="pct"/>
            <w:vAlign w:val="center"/>
          </w:tcPr>
          <w:p w14:paraId="29FD01CF">
            <w:pPr>
              <w:jc w:val="both"/>
              <w:rPr>
                <w:rFonts w:ascii="Times New Roman" w:hAnsi="Times New Roman" w:cs="Times New Roman"/>
                <w:bCs/>
                <w:sz w:val="24"/>
                <w:szCs w:val="24"/>
              </w:rPr>
            </w:pPr>
            <w:r>
              <w:rPr>
                <w:rFonts w:ascii="Times New Roman" w:hAnsi="Times New Roman" w:cs="Times New Roman"/>
                <w:bCs/>
                <w:sz w:val="24"/>
                <w:szCs w:val="24"/>
              </w:rPr>
              <w:t>4.245</w:t>
            </w:r>
          </w:p>
        </w:tc>
      </w:tr>
      <w:tr w14:paraId="0516F6FD">
        <w:tblPrEx>
          <w:tblCellMar>
            <w:top w:w="15" w:type="dxa"/>
            <w:left w:w="15" w:type="dxa"/>
            <w:bottom w:w="15" w:type="dxa"/>
            <w:right w:w="15" w:type="dxa"/>
          </w:tblCellMar>
        </w:tblPrEx>
        <w:trPr>
          <w:tblCellSpacing w:w="15" w:type="dxa"/>
        </w:trPr>
        <w:tc>
          <w:tcPr>
            <w:tcW w:w="4271" w:type="pct"/>
            <w:vAlign w:val="center"/>
          </w:tcPr>
          <w:p w14:paraId="79E346B0">
            <w:pPr>
              <w:jc w:val="both"/>
              <w:rPr>
                <w:rFonts w:ascii="Times New Roman" w:hAnsi="Times New Roman" w:cs="Times New Roman"/>
                <w:bCs/>
                <w:sz w:val="24"/>
                <w:szCs w:val="24"/>
              </w:rPr>
            </w:pPr>
            <w:r>
              <w:rPr>
                <w:rFonts w:ascii="Times New Roman" w:hAnsi="Times New Roman" w:cs="Times New Roman"/>
                <w:bCs/>
                <w:sz w:val="24"/>
                <w:szCs w:val="24"/>
              </w:rPr>
              <w:t>Mean Perception Score (Evaluation)</w:t>
            </w:r>
          </w:p>
        </w:tc>
        <w:tc>
          <w:tcPr>
            <w:tcW w:w="679" w:type="pct"/>
            <w:vAlign w:val="center"/>
          </w:tcPr>
          <w:p w14:paraId="1F1BB5B7">
            <w:pPr>
              <w:jc w:val="both"/>
              <w:rPr>
                <w:rFonts w:ascii="Times New Roman" w:hAnsi="Times New Roman" w:cs="Times New Roman"/>
                <w:bCs/>
                <w:sz w:val="24"/>
                <w:szCs w:val="24"/>
              </w:rPr>
            </w:pPr>
            <w:r>
              <w:rPr>
                <w:rFonts w:ascii="Times New Roman" w:hAnsi="Times New Roman" w:cs="Times New Roman"/>
                <w:bCs/>
                <w:sz w:val="24"/>
                <w:szCs w:val="24"/>
              </w:rPr>
              <w:t>4.370</w:t>
            </w:r>
          </w:p>
        </w:tc>
      </w:tr>
      <w:tr w14:paraId="7EF223FF">
        <w:tblPrEx>
          <w:tblCellMar>
            <w:top w:w="15" w:type="dxa"/>
            <w:left w:w="15" w:type="dxa"/>
            <w:bottom w:w="15" w:type="dxa"/>
            <w:right w:w="15" w:type="dxa"/>
          </w:tblCellMar>
        </w:tblPrEx>
        <w:trPr>
          <w:tblCellSpacing w:w="15" w:type="dxa"/>
        </w:trPr>
        <w:tc>
          <w:tcPr>
            <w:tcW w:w="4271" w:type="pct"/>
            <w:tcBorders>
              <w:bottom w:val="single" w:color="auto" w:sz="4" w:space="0"/>
            </w:tcBorders>
            <w:vAlign w:val="center"/>
          </w:tcPr>
          <w:p w14:paraId="5D0E02A7">
            <w:pPr>
              <w:jc w:val="both"/>
              <w:rPr>
                <w:rFonts w:ascii="Times New Roman" w:hAnsi="Times New Roman" w:cs="Times New Roman"/>
                <w:bCs/>
                <w:sz w:val="24"/>
                <w:szCs w:val="24"/>
              </w:rPr>
            </w:pPr>
            <w:r>
              <w:rPr>
                <w:rFonts w:ascii="Times New Roman" w:hAnsi="Times New Roman" w:cs="Times New Roman"/>
                <w:bCs/>
                <w:sz w:val="24"/>
                <w:szCs w:val="24"/>
              </w:rPr>
              <w:t>Mean Frequency Score (Evaluation)</w:t>
            </w:r>
          </w:p>
        </w:tc>
        <w:tc>
          <w:tcPr>
            <w:tcW w:w="679" w:type="pct"/>
            <w:tcBorders>
              <w:bottom w:val="single" w:color="auto" w:sz="4" w:space="0"/>
            </w:tcBorders>
            <w:vAlign w:val="center"/>
          </w:tcPr>
          <w:p w14:paraId="7D88AA17">
            <w:pPr>
              <w:jc w:val="both"/>
              <w:rPr>
                <w:rFonts w:ascii="Times New Roman" w:hAnsi="Times New Roman" w:cs="Times New Roman"/>
                <w:bCs/>
                <w:sz w:val="24"/>
                <w:szCs w:val="24"/>
              </w:rPr>
            </w:pPr>
            <w:r>
              <w:rPr>
                <w:rFonts w:ascii="Times New Roman" w:hAnsi="Times New Roman" w:cs="Times New Roman"/>
                <w:bCs/>
                <w:sz w:val="24"/>
                <w:szCs w:val="24"/>
              </w:rPr>
              <w:t>4.220</w:t>
            </w:r>
          </w:p>
        </w:tc>
      </w:tr>
      <w:tr w14:paraId="21BABA22">
        <w:tblPrEx>
          <w:tblCellMar>
            <w:top w:w="15" w:type="dxa"/>
            <w:left w:w="15" w:type="dxa"/>
            <w:bottom w:w="15" w:type="dxa"/>
            <w:right w:w="15" w:type="dxa"/>
          </w:tblCellMar>
        </w:tblPrEx>
        <w:trPr>
          <w:tblCellSpacing w:w="15" w:type="dxa"/>
        </w:trPr>
        <w:tc>
          <w:tcPr>
            <w:tcW w:w="4967" w:type="pct"/>
            <w:gridSpan w:val="2"/>
            <w:tcBorders>
              <w:bottom w:val="single" w:color="auto" w:sz="4" w:space="0"/>
            </w:tcBorders>
            <w:vAlign w:val="center"/>
          </w:tcPr>
          <w:p w14:paraId="2A5BE05B">
            <w:pPr>
              <w:jc w:val="both"/>
              <w:rPr>
                <w:rFonts w:ascii="Times New Roman" w:hAnsi="Times New Roman" w:cs="Times New Roman"/>
                <w:bCs/>
                <w:sz w:val="24"/>
                <w:szCs w:val="24"/>
              </w:rPr>
            </w:pPr>
            <w:r>
              <w:rPr>
                <w:rFonts w:ascii="Times New Roman" w:hAnsi="Times New Roman" w:cs="Times New Roman"/>
                <w:bCs/>
                <w:i/>
                <w:sz w:val="24"/>
                <w:szCs w:val="24"/>
              </w:rPr>
              <w:t>Leadership Involvement</w:t>
            </w:r>
            <w:r>
              <w:rPr>
                <w:rFonts w:ascii="Times New Roman" w:hAnsi="Times New Roman" w:cs="Times New Roman"/>
                <w:bCs/>
                <w:sz w:val="24"/>
                <w:szCs w:val="24"/>
              </w:rPr>
              <w:t xml:space="preserve">: Mean Perception: 4.381, Mean Frequency: 4.236, Correlation (r): </w:t>
            </w:r>
            <w:r>
              <w:rPr>
                <w:rFonts w:ascii="Times New Roman" w:hAnsi="Times New Roman" w:cs="Times New Roman"/>
                <w:bCs/>
                <w:sz w:val="24"/>
                <w:szCs w:val="24"/>
                <w:highlight w:val="yellow"/>
              </w:rPr>
              <w:t>0.673.</w:t>
            </w:r>
            <w:r>
              <w:rPr>
                <w:rFonts w:ascii="Times New Roman" w:hAnsi="Times New Roman" w:cs="Times New Roman"/>
                <w:bCs/>
                <w:sz w:val="24"/>
                <w:szCs w:val="24"/>
                <w:lang w:val="en-PH"/>
              </w:rPr>
              <w:t xml:space="preserve"> </w:t>
            </w:r>
            <w:r>
              <w:rPr>
                <w:rFonts w:ascii="Times New Roman" w:hAnsi="Times New Roman" w:cs="Times New Roman"/>
                <w:bCs/>
                <w:i/>
                <w:sz w:val="24"/>
                <w:szCs w:val="24"/>
              </w:rPr>
              <w:t>Resource Adequacy</w:t>
            </w:r>
            <w:r>
              <w:rPr>
                <w:rFonts w:ascii="Times New Roman" w:hAnsi="Times New Roman" w:cs="Times New Roman"/>
                <w:bCs/>
                <w:sz w:val="24"/>
                <w:szCs w:val="24"/>
              </w:rPr>
              <w:t>: Mean Perception: 4.390, Mean Frequency: 4.245.</w:t>
            </w:r>
            <w:r>
              <w:rPr>
                <w:rFonts w:ascii="Times New Roman" w:hAnsi="Times New Roman" w:cs="Times New Roman"/>
                <w:bCs/>
                <w:sz w:val="24"/>
                <w:szCs w:val="24"/>
                <w:lang w:val="en-PH"/>
              </w:rPr>
              <w:t xml:space="preserve"> </w:t>
            </w:r>
            <w:r>
              <w:rPr>
                <w:rFonts w:ascii="Times New Roman" w:hAnsi="Times New Roman" w:cs="Times New Roman"/>
                <w:bCs/>
                <w:i/>
                <w:sz w:val="24"/>
                <w:szCs w:val="24"/>
              </w:rPr>
              <w:t>Systematic Evaluation</w:t>
            </w:r>
            <w:r>
              <w:rPr>
                <w:rFonts w:ascii="Times New Roman" w:hAnsi="Times New Roman" w:cs="Times New Roman"/>
                <w:bCs/>
                <w:sz w:val="24"/>
                <w:szCs w:val="24"/>
              </w:rPr>
              <w:t>: Mean Perception: 4.370, Mean Frequency: 4.220.</w:t>
            </w:r>
          </w:p>
        </w:tc>
      </w:tr>
    </w:tbl>
    <w:p w14:paraId="1383713D">
      <w:pPr>
        <w:rPr>
          <w:lang w:val="en-PH"/>
        </w:rPr>
      </w:pPr>
    </w:p>
    <w:p w14:paraId="349BDE31">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Table 7: Summary </w:t>
      </w:r>
      <w:commentRangeStart w:id="18"/>
      <w:r>
        <w:rPr>
          <w:rFonts w:ascii="Times New Roman" w:hAnsi="Times New Roman" w:cs="Times New Roman"/>
          <w:bCs/>
          <w:sz w:val="24"/>
          <w:szCs w:val="24"/>
          <w:lang w:val="en-US"/>
        </w:rPr>
        <w:t>re</w:t>
      </w:r>
      <w:commentRangeEnd w:id="18"/>
      <w:r>
        <w:commentReference w:id="18"/>
      </w:r>
      <w:r>
        <w:rPr>
          <w:rFonts w:ascii="Times New Roman" w:hAnsi="Times New Roman" w:cs="Times New Roman"/>
          <w:bCs/>
          <w:sz w:val="24"/>
          <w:szCs w:val="24"/>
          <w:lang w:val="en-US"/>
        </w:rPr>
        <w:t xml:space="preserve"> Contextual Factors in LACs</w:t>
      </w:r>
    </w:p>
    <w:tbl>
      <w:tblPr>
        <w:tblStyle w:val="3"/>
        <w:tblW w:w="5000" w:type="pct"/>
        <w:tblCellSpacing w:w="15" w:type="dxa"/>
        <w:tblInd w:w="0" w:type="dxa"/>
        <w:tblLayout w:type="autofit"/>
        <w:tblCellMar>
          <w:top w:w="15" w:type="dxa"/>
          <w:left w:w="15" w:type="dxa"/>
          <w:bottom w:w="15" w:type="dxa"/>
          <w:right w:w="15" w:type="dxa"/>
        </w:tblCellMar>
      </w:tblPr>
      <w:tblGrid>
        <w:gridCol w:w="7787"/>
        <w:gridCol w:w="1329"/>
      </w:tblGrid>
      <w:tr w14:paraId="228E1959">
        <w:tblPrEx>
          <w:tblCellMar>
            <w:top w:w="15" w:type="dxa"/>
            <w:left w:w="15" w:type="dxa"/>
            <w:bottom w:w="15" w:type="dxa"/>
            <w:right w:w="15" w:type="dxa"/>
          </w:tblCellMar>
        </w:tblPrEx>
        <w:trPr>
          <w:tblHeader/>
          <w:tblCellSpacing w:w="15" w:type="dxa"/>
        </w:trPr>
        <w:tc>
          <w:tcPr>
            <w:tcW w:w="4260" w:type="pct"/>
            <w:tcBorders>
              <w:top w:val="single" w:color="auto" w:sz="4" w:space="0"/>
              <w:bottom w:val="single" w:color="auto" w:sz="4" w:space="0"/>
            </w:tcBorders>
            <w:vAlign w:val="center"/>
          </w:tcPr>
          <w:p w14:paraId="5AA7DE02">
            <w:pPr>
              <w:jc w:val="both"/>
              <w:rPr>
                <w:rFonts w:ascii="Times New Roman" w:hAnsi="Times New Roman" w:cs="Times New Roman"/>
                <w:b/>
                <w:bCs/>
                <w:sz w:val="24"/>
                <w:szCs w:val="24"/>
              </w:rPr>
            </w:pPr>
            <w:r>
              <w:rPr>
                <w:rFonts w:ascii="Times New Roman" w:hAnsi="Times New Roman" w:cs="Times New Roman"/>
                <w:b/>
                <w:bCs/>
                <w:sz w:val="24"/>
                <w:szCs w:val="24"/>
              </w:rPr>
              <w:t>Metric</w:t>
            </w:r>
          </w:p>
        </w:tc>
        <w:tc>
          <w:tcPr>
            <w:tcW w:w="690" w:type="pct"/>
            <w:tcBorders>
              <w:top w:val="single" w:color="auto" w:sz="4" w:space="0"/>
              <w:bottom w:val="single" w:color="auto" w:sz="4" w:space="0"/>
            </w:tcBorders>
            <w:vAlign w:val="center"/>
          </w:tcPr>
          <w:p w14:paraId="74FCD541">
            <w:pPr>
              <w:jc w:val="both"/>
              <w:rPr>
                <w:rFonts w:ascii="Times New Roman" w:hAnsi="Times New Roman" w:cs="Times New Roman"/>
                <w:b/>
                <w:bCs/>
                <w:sz w:val="24"/>
                <w:szCs w:val="24"/>
              </w:rPr>
            </w:pPr>
            <w:r>
              <w:rPr>
                <w:rFonts w:ascii="Times New Roman" w:hAnsi="Times New Roman" w:cs="Times New Roman"/>
                <w:b/>
                <w:bCs/>
                <w:sz w:val="24"/>
                <w:szCs w:val="24"/>
              </w:rPr>
              <w:t>Value</w:t>
            </w:r>
          </w:p>
        </w:tc>
      </w:tr>
      <w:tr w14:paraId="291412AA">
        <w:tblPrEx>
          <w:tblCellMar>
            <w:top w:w="15" w:type="dxa"/>
            <w:left w:w="15" w:type="dxa"/>
            <w:bottom w:w="15" w:type="dxa"/>
            <w:right w:w="15" w:type="dxa"/>
          </w:tblCellMar>
        </w:tblPrEx>
        <w:trPr>
          <w:tblCellSpacing w:w="15" w:type="dxa"/>
        </w:trPr>
        <w:tc>
          <w:tcPr>
            <w:tcW w:w="4260" w:type="pct"/>
            <w:vAlign w:val="center"/>
          </w:tcPr>
          <w:p w14:paraId="406F3330">
            <w:pPr>
              <w:jc w:val="both"/>
              <w:rPr>
                <w:rFonts w:ascii="Times New Roman" w:hAnsi="Times New Roman" w:cs="Times New Roman"/>
                <w:bCs/>
                <w:sz w:val="24"/>
                <w:szCs w:val="24"/>
              </w:rPr>
            </w:pPr>
            <w:r>
              <w:rPr>
                <w:rFonts w:ascii="Times New Roman" w:hAnsi="Times New Roman" w:cs="Times New Roman"/>
                <w:bCs/>
                <w:sz w:val="24"/>
                <w:szCs w:val="24"/>
              </w:rPr>
              <w:t>Mean Perception Score (Relevance)</w:t>
            </w:r>
          </w:p>
        </w:tc>
        <w:tc>
          <w:tcPr>
            <w:tcW w:w="690" w:type="pct"/>
            <w:vAlign w:val="center"/>
          </w:tcPr>
          <w:p w14:paraId="050B99B3">
            <w:pPr>
              <w:jc w:val="both"/>
              <w:rPr>
                <w:rFonts w:ascii="Times New Roman" w:hAnsi="Times New Roman" w:cs="Times New Roman"/>
                <w:bCs/>
                <w:sz w:val="24"/>
                <w:szCs w:val="24"/>
              </w:rPr>
            </w:pPr>
            <w:r>
              <w:rPr>
                <w:rFonts w:ascii="Times New Roman" w:hAnsi="Times New Roman" w:cs="Times New Roman"/>
                <w:bCs/>
                <w:sz w:val="24"/>
                <w:szCs w:val="24"/>
              </w:rPr>
              <w:t>4.355</w:t>
            </w:r>
          </w:p>
        </w:tc>
      </w:tr>
      <w:tr w14:paraId="0B349533">
        <w:tblPrEx>
          <w:tblCellMar>
            <w:top w:w="15" w:type="dxa"/>
            <w:left w:w="15" w:type="dxa"/>
            <w:bottom w:w="15" w:type="dxa"/>
            <w:right w:w="15" w:type="dxa"/>
          </w:tblCellMar>
        </w:tblPrEx>
        <w:trPr>
          <w:tblCellSpacing w:w="15" w:type="dxa"/>
        </w:trPr>
        <w:tc>
          <w:tcPr>
            <w:tcW w:w="4260" w:type="pct"/>
            <w:vAlign w:val="center"/>
          </w:tcPr>
          <w:p w14:paraId="021CC4CD">
            <w:pPr>
              <w:jc w:val="both"/>
              <w:rPr>
                <w:rFonts w:ascii="Times New Roman" w:hAnsi="Times New Roman" w:cs="Times New Roman"/>
                <w:bCs/>
                <w:sz w:val="24"/>
                <w:szCs w:val="24"/>
              </w:rPr>
            </w:pPr>
            <w:r>
              <w:rPr>
                <w:rFonts w:ascii="Times New Roman" w:hAnsi="Times New Roman" w:cs="Times New Roman"/>
                <w:bCs/>
                <w:sz w:val="24"/>
                <w:szCs w:val="24"/>
              </w:rPr>
              <w:t>Mean Frequency Score (Relevance)</w:t>
            </w:r>
          </w:p>
        </w:tc>
        <w:tc>
          <w:tcPr>
            <w:tcW w:w="690" w:type="pct"/>
            <w:vAlign w:val="center"/>
          </w:tcPr>
          <w:p w14:paraId="24B69310">
            <w:pPr>
              <w:jc w:val="both"/>
              <w:rPr>
                <w:rFonts w:ascii="Times New Roman" w:hAnsi="Times New Roman" w:cs="Times New Roman"/>
                <w:bCs/>
                <w:sz w:val="24"/>
                <w:szCs w:val="24"/>
              </w:rPr>
            </w:pPr>
            <w:r>
              <w:rPr>
                <w:rFonts w:ascii="Times New Roman" w:hAnsi="Times New Roman" w:cs="Times New Roman"/>
                <w:bCs/>
                <w:sz w:val="24"/>
                <w:szCs w:val="24"/>
              </w:rPr>
              <w:t>4.320</w:t>
            </w:r>
          </w:p>
        </w:tc>
      </w:tr>
      <w:tr w14:paraId="1E07F221">
        <w:trPr>
          <w:tblCellSpacing w:w="15" w:type="dxa"/>
        </w:trPr>
        <w:tc>
          <w:tcPr>
            <w:tcW w:w="4260" w:type="pct"/>
            <w:vAlign w:val="center"/>
          </w:tcPr>
          <w:p w14:paraId="7B4C7B79">
            <w:pPr>
              <w:jc w:val="both"/>
              <w:rPr>
                <w:rFonts w:ascii="Times New Roman" w:hAnsi="Times New Roman" w:cs="Times New Roman"/>
                <w:bCs/>
                <w:sz w:val="24"/>
                <w:szCs w:val="24"/>
              </w:rPr>
            </w:pPr>
            <w:r>
              <w:rPr>
                <w:rFonts w:ascii="Times New Roman" w:hAnsi="Times New Roman" w:cs="Times New Roman"/>
                <w:bCs/>
                <w:sz w:val="24"/>
                <w:szCs w:val="24"/>
              </w:rPr>
              <w:t>Correlation (Perception vs. Frequency)</w:t>
            </w:r>
          </w:p>
        </w:tc>
        <w:tc>
          <w:tcPr>
            <w:tcW w:w="690" w:type="pct"/>
            <w:vAlign w:val="center"/>
          </w:tcPr>
          <w:p w14:paraId="4029C8C5">
            <w:pPr>
              <w:jc w:val="both"/>
              <w:rPr>
                <w:rFonts w:ascii="Times New Roman" w:hAnsi="Times New Roman" w:cs="Times New Roman"/>
                <w:bCs/>
                <w:sz w:val="24"/>
                <w:szCs w:val="24"/>
              </w:rPr>
            </w:pPr>
            <w:r>
              <w:rPr>
                <w:rFonts w:ascii="Times New Roman" w:hAnsi="Times New Roman" w:cs="Times New Roman"/>
                <w:bCs/>
                <w:sz w:val="24"/>
                <w:szCs w:val="24"/>
              </w:rPr>
              <w:t>0.583</w:t>
            </w:r>
          </w:p>
        </w:tc>
      </w:tr>
      <w:tr w14:paraId="042DA70D">
        <w:tblPrEx>
          <w:tblCellMar>
            <w:top w:w="15" w:type="dxa"/>
            <w:left w:w="15" w:type="dxa"/>
            <w:bottom w:w="15" w:type="dxa"/>
            <w:right w:w="15" w:type="dxa"/>
          </w:tblCellMar>
        </w:tblPrEx>
        <w:trPr>
          <w:tblCellSpacing w:w="15" w:type="dxa"/>
        </w:trPr>
        <w:tc>
          <w:tcPr>
            <w:tcW w:w="4260" w:type="pct"/>
            <w:vAlign w:val="center"/>
          </w:tcPr>
          <w:p w14:paraId="31E0972F">
            <w:pPr>
              <w:jc w:val="both"/>
              <w:rPr>
                <w:rFonts w:ascii="Times New Roman" w:hAnsi="Times New Roman" w:cs="Times New Roman"/>
                <w:bCs/>
                <w:sz w:val="24"/>
                <w:szCs w:val="24"/>
              </w:rPr>
            </w:pPr>
            <w:r>
              <w:rPr>
                <w:rFonts w:ascii="Times New Roman" w:hAnsi="Times New Roman" w:cs="Times New Roman"/>
                <w:bCs/>
                <w:sz w:val="24"/>
                <w:szCs w:val="24"/>
              </w:rPr>
              <w:t>Mean Perception Score (Collaboration)</w:t>
            </w:r>
          </w:p>
        </w:tc>
        <w:tc>
          <w:tcPr>
            <w:tcW w:w="690" w:type="pct"/>
            <w:vAlign w:val="center"/>
          </w:tcPr>
          <w:p w14:paraId="1014AC96">
            <w:pPr>
              <w:jc w:val="both"/>
              <w:rPr>
                <w:rFonts w:ascii="Times New Roman" w:hAnsi="Times New Roman" w:cs="Times New Roman"/>
                <w:bCs/>
                <w:sz w:val="24"/>
                <w:szCs w:val="24"/>
              </w:rPr>
            </w:pPr>
            <w:r>
              <w:rPr>
                <w:rFonts w:ascii="Times New Roman" w:hAnsi="Times New Roman" w:cs="Times New Roman"/>
                <w:bCs/>
                <w:sz w:val="24"/>
                <w:szCs w:val="24"/>
              </w:rPr>
              <w:t>4.360</w:t>
            </w:r>
          </w:p>
        </w:tc>
      </w:tr>
      <w:tr w14:paraId="4EA31589">
        <w:tblPrEx>
          <w:tblCellMar>
            <w:top w:w="15" w:type="dxa"/>
            <w:left w:w="15" w:type="dxa"/>
            <w:bottom w:w="15" w:type="dxa"/>
            <w:right w:w="15" w:type="dxa"/>
          </w:tblCellMar>
        </w:tblPrEx>
        <w:trPr>
          <w:tblCellSpacing w:w="15" w:type="dxa"/>
        </w:trPr>
        <w:tc>
          <w:tcPr>
            <w:tcW w:w="4260" w:type="pct"/>
            <w:vAlign w:val="center"/>
          </w:tcPr>
          <w:p w14:paraId="666E45CF">
            <w:pPr>
              <w:jc w:val="both"/>
              <w:rPr>
                <w:rFonts w:ascii="Times New Roman" w:hAnsi="Times New Roman" w:cs="Times New Roman"/>
                <w:bCs/>
                <w:sz w:val="24"/>
                <w:szCs w:val="24"/>
              </w:rPr>
            </w:pPr>
            <w:r>
              <w:rPr>
                <w:rFonts w:ascii="Times New Roman" w:hAnsi="Times New Roman" w:cs="Times New Roman"/>
                <w:bCs/>
                <w:sz w:val="24"/>
                <w:szCs w:val="24"/>
              </w:rPr>
              <w:t>Mean Frequency Score (Collaboration)</w:t>
            </w:r>
          </w:p>
        </w:tc>
        <w:tc>
          <w:tcPr>
            <w:tcW w:w="690" w:type="pct"/>
            <w:vAlign w:val="center"/>
          </w:tcPr>
          <w:p w14:paraId="2F78F6DC">
            <w:pPr>
              <w:jc w:val="both"/>
              <w:rPr>
                <w:rFonts w:ascii="Times New Roman" w:hAnsi="Times New Roman" w:cs="Times New Roman"/>
                <w:bCs/>
                <w:sz w:val="24"/>
                <w:szCs w:val="24"/>
              </w:rPr>
            </w:pPr>
            <w:r>
              <w:rPr>
                <w:rFonts w:ascii="Times New Roman" w:hAnsi="Times New Roman" w:cs="Times New Roman"/>
                <w:bCs/>
                <w:sz w:val="24"/>
                <w:szCs w:val="24"/>
              </w:rPr>
              <w:t>4.325</w:t>
            </w:r>
          </w:p>
        </w:tc>
      </w:tr>
      <w:tr w14:paraId="5C10DB70">
        <w:tblPrEx>
          <w:tblCellMar>
            <w:top w:w="15" w:type="dxa"/>
            <w:left w:w="15" w:type="dxa"/>
            <w:bottom w:w="15" w:type="dxa"/>
            <w:right w:w="15" w:type="dxa"/>
          </w:tblCellMar>
        </w:tblPrEx>
        <w:trPr>
          <w:tblCellSpacing w:w="15" w:type="dxa"/>
        </w:trPr>
        <w:tc>
          <w:tcPr>
            <w:tcW w:w="4260" w:type="pct"/>
            <w:vAlign w:val="center"/>
          </w:tcPr>
          <w:p w14:paraId="617E0AC6">
            <w:pPr>
              <w:jc w:val="both"/>
              <w:rPr>
                <w:rFonts w:ascii="Times New Roman" w:hAnsi="Times New Roman" w:cs="Times New Roman"/>
                <w:bCs/>
                <w:sz w:val="24"/>
                <w:szCs w:val="24"/>
              </w:rPr>
            </w:pPr>
            <w:r>
              <w:rPr>
                <w:rFonts w:ascii="Times New Roman" w:hAnsi="Times New Roman" w:cs="Times New Roman"/>
                <w:bCs/>
                <w:sz w:val="24"/>
                <w:szCs w:val="24"/>
              </w:rPr>
              <w:t>Mean Perception Score (Community)</w:t>
            </w:r>
          </w:p>
        </w:tc>
        <w:tc>
          <w:tcPr>
            <w:tcW w:w="690" w:type="pct"/>
            <w:vAlign w:val="center"/>
          </w:tcPr>
          <w:p w14:paraId="3B703E3F">
            <w:pPr>
              <w:jc w:val="both"/>
              <w:rPr>
                <w:rFonts w:ascii="Times New Roman" w:hAnsi="Times New Roman" w:cs="Times New Roman"/>
                <w:bCs/>
                <w:sz w:val="24"/>
                <w:szCs w:val="24"/>
              </w:rPr>
            </w:pPr>
            <w:r>
              <w:rPr>
                <w:rFonts w:ascii="Times New Roman" w:hAnsi="Times New Roman" w:cs="Times New Roman"/>
                <w:bCs/>
                <w:sz w:val="24"/>
                <w:szCs w:val="24"/>
              </w:rPr>
              <w:t>4.350</w:t>
            </w:r>
          </w:p>
        </w:tc>
      </w:tr>
      <w:tr w14:paraId="5E816C3A">
        <w:tblPrEx>
          <w:tblCellMar>
            <w:top w:w="15" w:type="dxa"/>
            <w:left w:w="15" w:type="dxa"/>
            <w:bottom w:w="15" w:type="dxa"/>
            <w:right w:w="15" w:type="dxa"/>
          </w:tblCellMar>
        </w:tblPrEx>
        <w:trPr>
          <w:tblCellSpacing w:w="15" w:type="dxa"/>
        </w:trPr>
        <w:tc>
          <w:tcPr>
            <w:tcW w:w="4260" w:type="pct"/>
            <w:vAlign w:val="center"/>
          </w:tcPr>
          <w:p w14:paraId="0DBF4EC0">
            <w:pPr>
              <w:jc w:val="both"/>
              <w:rPr>
                <w:rFonts w:ascii="Times New Roman" w:hAnsi="Times New Roman" w:cs="Times New Roman"/>
                <w:bCs/>
                <w:sz w:val="24"/>
                <w:szCs w:val="24"/>
              </w:rPr>
            </w:pPr>
            <w:r>
              <w:rPr>
                <w:rFonts w:ascii="Times New Roman" w:hAnsi="Times New Roman" w:cs="Times New Roman"/>
                <w:bCs/>
                <w:sz w:val="24"/>
                <w:szCs w:val="24"/>
              </w:rPr>
              <w:t>Mean Frequency Score (Community)</w:t>
            </w:r>
          </w:p>
        </w:tc>
        <w:tc>
          <w:tcPr>
            <w:tcW w:w="690" w:type="pct"/>
            <w:vAlign w:val="center"/>
          </w:tcPr>
          <w:p w14:paraId="7F3CE746">
            <w:pPr>
              <w:jc w:val="both"/>
              <w:rPr>
                <w:rFonts w:ascii="Times New Roman" w:hAnsi="Times New Roman" w:cs="Times New Roman"/>
                <w:bCs/>
                <w:sz w:val="24"/>
                <w:szCs w:val="24"/>
              </w:rPr>
            </w:pPr>
            <w:r>
              <w:rPr>
                <w:rFonts w:ascii="Times New Roman" w:hAnsi="Times New Roman" w:cs="Times New Roman"/>
                <w:bCs/>
                <w:sz w:val="24"/>
                <w:szCs w:val="24"/>
              </w:rPr>
              <w:t>4.315</w:t>
            </w:r>
          </w:p>
        </w:tc>
      </w:tr>
      <w:tr w14:paraId="3DED0DBB">
        <w:tblPrEx>
          <w:tblCellMar>
            <w:top w:w="15" w:type="dxa"/>
            <w:left w:w="15" w:type="dxa"/>
            <w:bottom w:w="15" w:type="dxa"/>
            <w:right w:w="15" w:type="dxa"/>
          </w:tblCellMar>
        </w:tblPrEx>
        <w:trPr>
          <w:tblCellSpacing w:w="15" w:type="dxa"/>
        </w:trPr>
        <w:tc>
          <w:tcPr>
            <w:tcW w:w="4967" w:type="pct"/>
            <w:gridSpan w:val="2"/>
            <w:tcBorders>
              <w:top w:val="single" w:color="auto" w:sz="4" w:space="0"/>
              <w:bottom w:val="single" w:color="auto" w:sz="4" w:space="0"/>
            </w:tcBorders>
            <w:vAlign w:val="center"/>
          </w:tcPr>
          <w:p w14:paraId="2621DA65">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Relevance to Trends: Mean Perception: 4.355, Mean Frequency: 4.320, Correlation (r): 0.583.</w:t>
            </w:r>
          </w:p>
          <w:p w14:paraId="7BC408B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Collaborative Dynamics: Mean Perception: 4.360, Mean Frequency: 4.325.</w:t>
            </w:r>
          </w:p>
          <w:p w14:paraId="2A8E4A6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Community Support: Mean Perception: 4.350, Mean Frequency: 4.315.</w:t>
            </w:r>
          </w:p>
          <w:p w14:paraId="2FC89AF2">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Notes: r = 0.583 reflects contextual alignment.</w:t>
            </w:r>
          </w:p>
        </w:tc>
      </w:tr>
    </w:tbl>
    <w:p w14:paraId="4A349447">
      <w:pPr>
        <w:rPr>
          <w:lang w:val="en-PH"/>
        </w:rPr>
      </w:pPr>
    </w:p>
    <w:p w14:paraId="5E293D5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Table 8: Summary </w:t>
      </w:r>
      <w:commentRangeStart w:id="19"/>
      <w:r>
        <w:rPr>
          <w:rFonts w:ascii="Times New Roman" w:hAnsi="Times New Roman" w:cs="Times New Roman"/>
          <w:bCs/>
          <w:sz w:val="24"/>
          <w:szCs w:val="24"/>
          <w:lang w:val="en-US"/>
        </w:rPr>
        <w:t>re</w:t>
      </w:r>
      <w:commentRangeEnd w:id="19"/>
      <w:r>
        <w:commentReference w:id="19"/>
      </w:r>
      <w:r>
        <w:rPr>
          <w:rFonts w:ascii="Times New Roman" w:hAnsi="Times New Roman" w:cs="Times New Roman"/>
          <w:bCs/>
          <w:sz w:val="24"/>
          <w:szCs w:val="24"/>
          <w:lang w:val="en-US"/>
        </w:rPr>
        <w:t xml:space="preserve"> Individual Factors in LACs</w:t>
      </w:r>
    </w:p>
    <w:tbl>
      <w:tblPr>
        <w:tblStyle w:val="3"/>
        <w:tblW w:w="5000" w:type="pct"/>
        <w:tblCellSpacing w:w="15" w:type="dxa"/>
        <w:tblInd w:w="0" w:type="dxa"/>
        <w:tblLayout w:type="autofit"/>
        <w:tblCellMar>
          <w:top w:w="15" w:type="dxa"/>
          <w:left w:w="15" w:type="dxa"/>
          <w:bottom w:w="15" w:type="dxa"/>
          <w:right w:w="15" w:type="dxa"/>
        </w:tblCellMar>
      </w:tblPr>
      <w:tblGrid>
        <w:gridCol w:w="7727"/>
        <w:gridCol w:w="1389"/>
      </w:tblGrid>
      <w:tr w14:paraId="5CCA3835">
        <w:tblPrEx>
          <w:tblCellMar>
            <w:top w:w="15" w:type="dxa"/>
            <w:left w:w="15" w:type="dxa"/>
            <w:bottom w:w="15" w:type="dxa"/>
            <w:right w:w="15" w:type="dxa"/>
          </w:tblCellMar>
        </w:tblPrEx>
        <w:trPr>
          <w:tblHeader/>
          <w:tblCellSpacing w:w="15" w:type="dxa"/>
        </w:trPr>
        <w:tc>
          <w:tcPr>
            <w:tcW w:w="4227" w:type="pct"/>
            <w:tcBorders>
              <w:top w:val="single" w:color="auto" w:sz="4" w:space="0"/>
              <w:bottom w:val="single" w:color="auto" w:sz="4" w:space="0"/>
            </w:tcBorders>
            <w:vAlign w:val="center"/>
          </w:tcPr>
          <w:p w14:paraId="6F23DCE4">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Metric</w:t>
            </w:r>
          </w:p>
        </w:tc>
        <w:tc>
          <w:tcPr>
            <w:tcW w:w="723" w:type="pct"/>
            <w:tcBorders>
              <w:top w:val="single" w:color="auto" w:sz="4" w:space="0"/>
              <w:bottom w:val="single" w:color="auto" w:sz="4" w:space="0"/>
            </w:tcBorders>
            <w:vAlign w:val="center"/>
          </w:tcPr>
          <w:p w14:paraId="4DDE1B4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Value</w:t>
            </w:r>
          </w:p>
        </w:tc>
      </w:tr>
      <w:tr w14:paraId="2CB94843">
        <w:tblPrEx>
          <w:tblCellMar>
            <w:top w:w="15" w:type="dxa"/>
            <w:left w:w="15" w:type="dxa"/>
            <w:bottom w:w="15" w:type="dxa"/>
            <w:right w:w="15" w:type="dxa"/>
          </w:tblCellMar>
        </w:tblPrEx>
        <w:trPr>
          <w:tblCellSpacing w:w="15" w:type="dxa"/>
        </w:trPr>
        <w:tc>
          <w:tcPr>
            <w:tcW w:w="4227" w:type="pct"/>
            <w:vAlign w:val="center"/>
          </w:tcPr>
          <w:p w14:paraId="54DB1DE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Perception Score (Commitment)</w:t>
            </w:r>
          </w:p>
        </w:tc>
        <w:tc>
          <w:tcPr>
            <w:tcW w:w="723" w:type="pct"/>
            <w:vAlign w:val="center"/>
          </w:tcPr>
          <w:p w14:paraId="7517CA5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4.307</w:t>
            </w:r>
          </w:p>
        </w:tc>
      </w:tr>
      <w:tr w14:paraId="48C109AE">
        <w:tblPrEx>
          <w:tblCellMar>
            <w:top w:w="15" w:type="dxa"/>
            <w:left w:w="15" w:type="dxa"/>
            <w:bottom w:w="15" w:type="dxa"/>
            <w:right w:w="15" w:type="dxa"/>
          </w:tblCellMar>
        </w:tblPrEx>
        <w:trPr>
          <w:tblCellSpacing w:w="15" w:type="dxa"/>
        </w:trPr>
        <w:tc>
          <w:tcPr>
            <w:tcW w:w="4227" w:type="pct"/>
            <w:vAlign w:val="center"/>
          </w:tcPr>
          <w:p w14:paraId="5B160D1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Frequency Score (Commitment)</w:t>
            </w:r>
          </w:p>
        </w:tc>
        <w:tc>
          <w:tcPr>
            <w:tcW w:w="723" w:type="pct"/>
            <w:vAlign w:val="center"/>
          </w:tcPr>
          <w:p w14:paraId="780090D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4.328</w:t>
            </w:r>
          </w:p>
        </w:tc>
      </w:tr>
      <w:tr w14:paraId="2A0C905C">
        <w:tblPrEx>
          <w:tblCellMar>
            <w:top w:w="15" w:type="dxa"/>
            <w:left w:w="15" w:type="dxa"/>
            <w:bottom w:w="15" w:type="dxa"/>
            <w:right w:w="15" w:type="dxa"/>
          </w:tblCellMar>
        </w:tblPrEx>
        <w:trPr>
          <w:tblCellSpacing w:w="15" w:type="dxa"/>
        </w:trPr>
        <w:tc>
          <w:tcPr>
            <w:tcW w:w="4227" w:type="pct"/>
            <w:vAlign w:val="center"/>
          </w:tcPr>
          <w:p w14:paraId="309D2B02">
            <w:pPr>
              <w:jc w:val="both"/>
              <w:rPr>
                <w:rFonts w:ascii="Times New Roman" w:hAnsi="Times New Roman" w:cs="Times New Roman"/>
                <w:bCs/>
                <w:sz w:val="24"/>
                <w:szCs w:val="24"/>
                <w:lang w:val="en-US"/>
              </w:rPr>
            </w:pPr>
            <w:r>
              <w:rPr>
                <w:rFonts w:ascii="Times New Roman" w:hAnsi="Times New Roman" w:cs="Times New Roman"/>
                <w:bCs/>
                <w:sz w:val="24"/>
                <w:szCs w:val="24"/>
                <w:lang w:val="en-US"/>
              </w:rPr>
              <w:t>Correlation (Perception vs. Frequency)</w:t>
            </w:r>
          </w:p>
        </w:tc>
        <w:tc>
          <w:tcPr>
            <w:tcW w:w="723" w:type="pct"/>
            <w:vAlign w:val="center"/>
          </w:tcPr>
          <w:p w14:paraId="1887BA8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0.561</w:t>
            </w:r>
          </w:p>
        </w:tc>
      </w:tr>
      <w:tr w14:paraId="0BEE45D6">
        <w:tblPrEx>
          <w:tblCellMar>
            <w:top w:w="15" w:type="dxa"/>
            <w:left w:w="15" w:type="dxa"/>
            <w:bottom w:w="15" w:type="dxa"/>
            <w:right w:w="15" w:type="dxa"/>
          </w:tblCellMar>
        </w:tblPrEx>
        <w:trPr>
          <w:tblCellSpacing w:w="15" w:type="dxa"/>
        </w:trPr>
        <w:tc>
          <w:tcPr>
            <w:tcW w:w="4227" w:type="pct"/>
            <w:vAlign w:val="center"/>
          </w:tcPr>
          <w:p w14:paraId="3F0AEACB">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Perception Score (Autonomy)</w:t>
            </w:r>
          </w:p>
        </w:tc>
        <w:tc>
          <w:tcPr>
            <w:tcW w:w="723" w:type="pct"/>
            <w:vAlign w:val="center"/>
          </w:tcPr>
          <w:p w14:paraId="20DE51A1">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4.310</w:t>
            </w:r>
          </w:p>
        </w:tc>
      </w:tr>
      <w:tr w14:paraId="2A8AD59B">
        <w:tblPrEx>
          <w:tblCellMar>
            <w:top w:w="15" w:type="dxa"/>
            <w:left w:w="15" w:type="dxa"/>
            <w:bottom w:w="15" w:type="dxa"/>
            <w:right w:w="15" w:type="dxa"/>
          </w:tblCellMar>
        </w:tblPrEx>
        <w:trPr>
          <w:tblCellSpacing w:w="15" w:type="dxa"/>
        </w:trPr>
        <w:tc>
          <w:tcPr>
            <w:tcW w:w="4227" w:type="pct"/>
            <w:vAlign w:val="center"/>
          </w:tcPr>
          <w:p w14:paraId="4EF9ECF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Frequency Score (Autonomy)</w:t>
            </w:r>
          </w:p>
        </w:tc>
        <w:tc>
          <w:tcPr>
            <w:tcW w:w="723" w:type="pct"/>
            <w:vAlign w:val="center"/>
          </w:tcPr>
          <w:p w14:paraId="6505CCB3">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4.330</w:t>
            </w:r>
          </w:p>
        </w:tc>
      </w:tr>
      <w:tr w14:paraId="3F77DA68">
        <w:tblPrEx>
          <w:tblCellMar>
            <w:top w:w="15" w:type="dxa"/>
            <w:left w:w="15" w:type="dxa"/>
            <w:bottom w:w="15" w:type="dxa"/>
            <w:right w:w="15" w:type="dxa"/>
          </w:tblCellMar>
        </w:tblPrEx>
        <w:trPr>
          <w:tblCellSpacing w:w="15" w:type="dxa"/>
        </w:trPr>
        <w:tc>
          <w:tcPr>
            <w:tcW w:w="4227" w:type="pct"/>
            <w:vAlign w:val="center"/>
          </w:tcPr>
          <w:p w14:paraId="2B31685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Perception Score (Adaptability)</w:t>
            </w:r>
          </w:p>
        </w:tc>
        <w:tc>
          <w:tcPr>
            <w:tcW w:w="723" w:type="pct"/>
            <w:vAlign w:val="center"/>
          </w:tcPr>
          <w:p w14:paraId="217C7A98">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4.305</w:t>
            </w:r>
          </w:p>
        </w:tc>
      </w:tr>
      <w:tr w14:paraId="15B2A030">
        <w:tblPrEx>
          <w:tblCellMar>
            <w:top w:w="15" w:type="dxa"/>
            <w:left w:w="15" w:type="dxa"/>
            <w:bottom w:w="15" w:type="dxa"/>
            <w:right w:w="15" w:type="dxa"/>
          </w:tblCellMar>
        </w:tblPrEx>
        <w:trPr>
          <w:tblCellSpacing w:w="15" w:type="dxa"/>
        </w:trPr>
        <w:tc>
          <w:tcPr>
            <w:tcW w:w="4227" w:type="pct"/>
            <w:vAlign w:val="center"/>
          </w:tcPr>
          <w:p w14:paraId="7402A2AB">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Frequency Score (Adaptability)</w:t>
            </w:r>
          </w:p>
        </w:tc>
        <w:tc>
          <w:tcPr>
            <w:tcW w:w="723" w:type="pct"/>
            <w:vAlign w:val="center"/>
          </w:tcPr>
          <w:p w14:paraId="242760A0">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4.325</w:t>
            </w:r>
          </w:p>
        </w:tc>
      </w:tr>
      <w:tr w14:paraId="0A238E71">
        <w:tblPrEx>
          <w:tblCellMar>
            <w:top w:w="15" w:type="dxa"/>
            <w:left w:w="15" w:type="dxa"/>
            <w:bottom w:w="15" w:type="dxa"/>
            <w:right w:w="15" w:type="dxa"/>
          </w:tblCellMar>
        </w:tblPrEx>
        <w:trPr>
          <w:tblCellSpacing w:w="15" w:type="dxa"/>
        </w:trPr>
        <w:tc>
          <w:tcPr>
            <w:tcW w:w="4967" w:type="pct"/>
            <w:gridSpan w:val="2"/>
            <w:tcBorders>
              <w:top w:val="single" w:color="auto" w:sz="4" w:space="0"/>
              <w:bottom w:val="single" w:color="auto" w:sz="4" w:space="0"/>
            </w:tcBorders>
            <w:vAlign w:val="center"/>
          </w:tcPr>
          <w:p w14:paraId="00B7FE8C">
            <w:pPr>
              <w:numPr>
                <w:ilvl w:val="0"/>
                <w:numId w:val="3"/>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Personal Commitment: Mean Perception: 4.307, Mean Frequency: 4.328, Correlation (r): 0.561.</w:t>
            </w:r>
          </w:p>
          <w:p w14:paraId="2DAD01AC">
            <w:pPr>
              <w:numPr>
                <w:ilvl w:val="0"/>
                <w:numId w:val="3"/>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Autonomy: Mean Perception: 4.310, Mean Frequency: 4.330.</w:t>
            </w:r>
          </w:p>
          <w:p w14:paraId="612601E5">
            <w:pPr>
              <w:numPr>
                <w:ilvl w:val="0"/>
                <w:numId w:val="3"/>
              </w:numPr>
              <w:spacing w:after="0"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Adaptability: Mean Perception: 4.305, Mean Frequency: 4.325).</w:t>
            </w:r>
            <w:r>
              <w:rPr>
                <w:rFonts w:ascii="Times New Roman" w:hAnsi="Times New Roman" w:cs="Times New Roman"/>
                <w:bCs/>
                <w:sz w:val="24"/>
                <w:szCs w:val="24"/>
                <w:lang w:val="en-US"/>
              </w:rPr>
              <w:br w:type="textWrapping"/>
            </w:r>
            <w:r>
              <w:rPr>
                <w:rFonts w:ascii="Times New Roman" w:hAnsi="Times New Roman" w:cs="Times New Roman"/>
                <w:bCs/>
                <w:i/>
                <w:iCs/>
                <w:sz w:val="24"/>
                <w:szCs w:val="24"/>
                <w:lang w:val="en-US"/>
              </w:rPr>
              <w:t>Notes</w:t>
            </w:r>
            <w:r>
              <w:rPr>
                <w:rFonts w:ascii="Times New Roman" w:hAnsi="Times New Roman" w:cs="Times New Roman"/>
                <w:bCs/>
                <w:sz w:val="24"/>
                <w:szCs w:val="24"/>
                <w:lang w:val="en-US"/>
              </w:rPr>
              <w:t>: r = 0.561 reflects individual alignment.</w:t>
            </w:r>
          </w:p>
        </w:tc>
      </w:tr>
    </w:tbl>
    <w:p w14:paraId="111C3190">
      <w:pPr>
        <w:rPr>
          <w:lang w:val="en-PH"/>
        </w:rPr>
      </w:pPr>
    </w:p>
    <w:p w14:paraId="01A610B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Table 9: Summary </w:t>
      </w:r>
      <w:commentRangeStart w:id="20"/>
      <w:r>
        <w:rPr>
          <w:rFonts w:ascii="Times New Roman" w:hAnsi="Times New Roman" w:cs="Times New Roman"/>
          <w:bCs/>
          <w:sz w:val="24"/>
          <w:szCs w:val="24"/>
          <w:lang w:val="en-US"/>
        </w:rPr>
        <w:t>re</w:t>
      </w:r>
      <w:commentRangeEnd w:id="20"/>
      <w:r>
        <w:commentReference w:id="20"/>
      </w:r>
      <w:r>
        <w:rPr>
          <w:rFonts w:ascii="Times New Roman" w:hAnsi="Times New Roman" w:cs="Times New Roman"/>
          <w:bCs/>
          <w:sz w:val="24"/>
          <w:szCs w:val="24"/>
          <w:lang w:val="en-US"/>
        </w:rPr>
        <w:t xml:space="preserve"> Professional Growth in LACs</w:t>
      </w:r>
    </w:p>
    <w:tbl>
      <w:tblPr>
        <w:tblStyle w:val="3"/>
        <w:tblW w:w="5000" w:type="pct"/>
        <w:tblCellSpacing w:w="15" w:type="dxa"/>
        <w:tblInd w:w="0" w:type="dxa"/>
        <w:tblLayout w:type="autofit"/>
        <w:tblCellMar>
          <w:top w:w="15" w:type="dxa"/>
          <w:left w:w="15" w:type="dxa"/>
          <w:bottom w:w="15" w:type="dxa"/>
          <w:right w:w="15" w:type="dxa"/>
        </w:tblCellMar>
      </w:tblPr>
      <w:tblGrid>
        <w:gridCol w:w="7896"/>
        <w:gridCol w:w="1220"/>
      </w:tblGrid>
      <w:tr w14:paraId="070E9410">
        <w:tblPrEx>
          <w:tblCellMar>
            <w:top w:w="15" w:type="dxa"/>
            <w:left w:w="15" w:type="dxa"/>
            <w:bottom w:w="15" w:type="dxa"/>
            <w:right w:w="15" w:type="dxa"/>
          </w:tblCellMar>
        </w:tblPrEx>
        <w:trPr>
          <w:tblHeader/>
          <w:tblCellSpacing w:w="15" w:type="dxa"/>
        </w:trPr>
        <w:tc>
          <w:tcPr>
            <w:tcW w:w="4320" w:type="pct"/>
            <w:tcBorders>
              <w:top w:val="single" w:color="auto" w:sz="4" w:space="0"/>
              <w:bottom w:val="single" w:color="auto" w:sz="4" w:space="0"/>
            </w:tcBorders>
            <w:vAlign w:val="center"/>
          </w:tcPr>
          <w:p w14:paraId="5ADD2209">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Metric</w:t>
            </w:r>
          </w:p>
        </w:tc>
        <w:tc>
          <w:tcPr>
            <w:tcW w:w="630" w:type="pct"/>
            <w:tcBorders>
              <w:top w:val="single" w:color="auto" w:sz="4" w:space="0"/>
              <w:bottom w:val="single" w:color="auto" w:sz="4" w:space="0"/>
            </w:tcBorders>
            <w:vAlign w:val="center"/>
          </w:tcPr>
          <w:p w14:paraId="706FAB61">
            <w:pPr>
              <w:jc w:val="both"/>
              <w:rPr>
                <w:rFonts w:ascii="Times New Roman" w:hAnsi="Times New Roman" w:cs="Times New Roman"/>
                <w:bCs/>
                <w:sz w:val="24"/>
                <w:szCs w:val="24"/>
                <w:lang w:val="en-US"/>
              </w:rPr>
            </w:pPr>
            <w:r>
              <w:rPr>
                <w:rFonts w:ascii="Times New Roman" w:hAnsi="Times New Roman" w:cs="Times New Roman"/>
                <w:bCs/>
                <w:sz w:val="24"/>
                <w:szCs w:val="24"/>
                <w:lang w:val="en-US"/>
              </w:rPr>
              <w:t>Value</w:t>
            </w:r>
          </w:p>
        </w:tc>
      </w:tr>
      <w:tr w14:paraId="7B63008B">
        <w:tblPrEx>
          <w:tblCellMar>
            <w:top w:w="15" w:type="dxa"/>
            <w:left w:w="15" w:type="dxa"/>
            <w:bottom w:w="15" w:type="dxa"/>
            <w:right w:w="15" w:type="dxa"/>
          </w:tblCellMar>
        </w:tblPrEx>
        <w:trPr>
          <w:tblCellSpacing w:w="15" w:type="dxa"/>
        </w:trPr>
        <w:tc>
          <w:tcPr>
            <w:tcW w:w="4320" w:type="pct"/>
            <w:vAlign w:val="center"/>
          </w:tcPr>
          <w:p w14:paraId="5552EBF9">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Perception Score (Skill Mastery)</w:t>
            </w:r>
          </w:p>
        </w:tc>
        <w:tc>
          <w:tcPr>
            <w:tcW w:w="630" w:type="pct"/>
            <w:vAlign w:val="center"/>
          </w:tcPr>
          <w:p w14:paraId="6933983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4.350</w:t>
            </w:r>
          </w:p>
        </w:tc>
      </w:tr>
      <w:tr w14:paraId="562C642C">
        <w:tblPrEx>
          <w:tblCellMar>
            <w:top w:w="15" w:type="dxa"/>
            <w:left w:w="15" w:type="dxa"/>
            <w:bottom w:w="15" w:type="dxa"/>
            <w:right w:w="15" w:type="dxa"/>
          </w:tblCellMar>
        </w:tblPrEx>
        <w:trPr>
          <w:tblCellSpacing w:w="15" w:type="dxa"/>
        </w:trPr>
        <w:tc>
          <w:tcPr>
            <w:tcW w:w="4320" w:type="pct"/>
            <w:vAlign w:val="center"/>
          </w:tcPr>
          <w:p w14:paraId="2018C5CA">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Frequency Score (Skill Mastery)</w:t>
            </w:r>
          </w:p>
        </w:tc>
        <w:tc>
          <w:tcPr>
            <w:tcW w:w="630" w:type="pct"/>
            <w:vAlign w:val="center"/>
          </w:tcPr>
          <w:p w14:paraId="7168A26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4.296</w:t>
            </w:r>
          </w:p>
        </w:tc>
      </w:tr>
      <w:tr w14:paraId="6A45241E">
        <w:tblPrEx>
          <w:tblCellMar>
            <w:top w:w="15" w:type="dxa"/>
            <w:left w:w="15" w:type="dxa"/>
            <w:bottom w:w="15" w:type="dxa"/>
            <w:right w:w="15" w:type="dxa"/>
          </w:tblCellMar>
        </w:tblPrEx>
        <w:trPr>
          <w:tblCellSpacing w:w="15" w:type="dxa"/>
        </w:trPr>
        <w:tc>
          <w:tcPr>
            <w:tcW w:w="4320" w:type="pct"/>
            <w:vAlign w:val="center"/>
          </w:tcPr>
          <w:p w14:paraId="000BE2E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Perception Score (Reflective Practice)</w:t>
            </w:r>
          </w:p>
        </w:tc>
        <w:tc>
          <w:tcPr>
            <w:tcW w:w="630" w:type="pct"/>
            <w:vAlign w:val="center"/>
          </w:tcPr>
          <w:p w14:paraId="630C4F25">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4.370</w:t>
            </w:r>
          </w:p>
        </w:tc>
      </w:tr>
      <w:tr w14:paraId="36FFBD38">
        <w:tblPrEx>
          <w:tblCellMar>
            <w:top w:w="15" w:type="dxa"/>
            <w:left w:w="15" w:type="dxa"/>
            <w:bottom w:w="15" w:type="dxa"/>
            <w:right w:w="15" w:type="dxa"/>
          </w:tblCellMar>
        </w:tblPrEx>
        <w:trPr>
          <w:tblCellSpacing w:w="15" w:type="dxa"/>
        </w:trPr>
        <w:tc>
          <w:tcPr>
            <w:tcW w:w="4320" w:type="pct"/>
            <w:vAlign w:val="center"/>
          </w:tcPr>
          <w:p w14:paraId="79878D0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Frequency Score (Reflective Practice)</w:t>
            </w:r>
          </w:p>
        </w:tc>
        <w:tc>
          <w:tcPr>
            <w:tcW w:w="630" w:type="pct"/>
            <w:vAlign w:val="center"/>
          </w:tcPr>
          <w:p w14:paraId="603A489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4.310</w:t>
            </w:r>
          </w:p>
        </w:tc>
      </w:tr>
      <w:tr w14:paraId="208360DC">
        <w:tblPrEx>
          <w:tblCellMar>
            <w:top w:w="15" w:type="dxa"/>
            <w:left w:w="15" w:type="dxa"/>
            <w:bottom w:w="15" w:type="dxa"/>
            <w:right w:w="15" w:type="dxa"/>
          </w:tblCellMar>
        </w:tblPrEx>
        <w:trPr>
          <w:tblCellSpacing w:w="15" w:type="dxa"/>
        </w:trPr>
        <w:tc>
          <w:tcPr>
            <w:tcW w:w="4320" w:type="pct"/>
            <w:vAlign w:val="center"/>
          </w:tcPr>
          <w:p w14:paraId="0C0AEA8F">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Perception Score (Learner-Centered)</w:t>
            </w:r>
          </w:p>
        </w:tc>
        <w:tc>
          <w:tcPr>
            <w:tcW w:w="630" w:type="pct"/>
            <w:vAlign w:val="center"/>
          </w:tcPr>
          <w:p w14:paraId="19D521EE">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4.363</w:t>
            </w:r>
          </w:p>
        </w:tc>
      </w:tr>
      <w:tr w14:paraId="5026424E">
        <w:tblPrEx>
          <w:tblCellMar>
            <w:top w:w="15" w:type="dxa"/>
            <w:left w:w="15" w:type="dxa"/>
            <w:bottom w:w="15" w:type="dxa"/>
            <w:right w:w="15" w:type="dxa"/>
          </w:tblCellMar>
        </w:tblPrEx>
        <w:trPr>
          <w:tblCellSpacing w:w="15" w:type="dxa"/>
        </w:trPr>
        <w:tc>
          <w:tcPr>
            <w:tcW w:w="4320" w:type="pct"/>
            <w:vAlign w:val="center"/>
          </w:tcPr>
          <w:p w14:paraId="6B2790A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Mean Frequency Score (Learner-Centered)</w:t>
            </w:r>
          </w:p>
        </w:tc>
        <w:tc>
          <w:tcPr>
            <w:tcW w:w="630" w:type="pct"/>
            <w:vAlign w:val="center"/>
          </w:tcPr>
          <w:p w14:paraId="67E4D0A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4.335</w:t>
            </w:r>
          </w:p>
        </w:tc>
      </w:tr>
      <w:tr w14:paraId="677C5F63">
        <w:tblPrEx>
          <w:tblCellMar>
            <w:top w:w="15" w:type="dxa"/>
            <w:left w:w="15" w:type="dxa"/>
            <w:bottom w:w="15" w:type="dxa"/>
            <w:right w:w="15" w:type="dxa"/>
          </w:tblCellMar>
        </w:tblPrEx>
        <w:trPr>
          <w:tblCellSpacing w:w="15" w:type="dxa"/>
        </w:trPr>
        <w:tc>
          <w:tcPr>
            <w:tcW w:w="4967" w:type="pct"/>
            <w:gridSpan w:val="2"/>
            <w:tcBorders>
              <w:top w:val="single" w:color="auto" w:sz="4" w:space="0"/>
              <w:bottom w:val="single" w:color="auto" w:sz="4" w:space="0"/>
            </w:tcBorders>
            <w:vAlign w:val="center"/>
          </w:tcPr>
          <w:p w14:paraId="66CA92C9">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Skill Mastery: Mean Perception: 4.350, Mean Frequency: 4.296.</w:t>
            </w:r>
          </w:p>
          <w:p w14:paraId="046E0ACE">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Reflective Practice: Mean Perception: 4.370, Mean Frequency: 4.310.</w:t>
            </w:r>
          </w:p>
          <w:p w14:paraId="0CA135E3">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Learner-Centered Activities: Mean Perception: 4.363, Mean Frequency: 4.335.</w:t>
            </w:r>
          </w:p>
          <w:p w14:paraId="1F9D1005">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Notes: ) Overall mean: 4.361, frequency range: </w:t>
            </w:r>
            <w:r>
              <w:rPr>
                <w:rFonts w:ascii="Times New Roman" w:hAnsi="Times New Roman" w:cs="Times New Roman"/>
                <w:bCs/>
                <w:sz w:val="24"/>
                <w:szCs w:val="24"/>
                <w:highlight w:val="yellow"/>
                <w:lang w:val="en-US"/>
              </w:rPr>
              <w:t>4.296-4.335</w:t>
            </w:r>
            <w:r>
              <w:rPr>
                <w:rFonts w:ascii="Times New Roman" w:hAnsi="Times New Roman" w:cs="Times New Roman"/>
                <w:bCs/>
                <w:sz w:val="24"/>
                <w:szCs w:val="24"/>
                <w:lang w:val="en-US"/>
              </w:rPr>
              <w:t>.</w:t>
            </w:r>
          </w:p>
        </w:tc>
      </w:tr>
    </w:tbl>
    <w:p w14:paraId="2964556C">
      <w:pPr>
        <w:rPr>
          <w:lang w:val="en-PH"/>
        </w:rPr>
      </w:pPr>
    </w:p>
    <w:p w14:paraId="092DDEC3">
      <w:pPr>
        <w:spacing w:before="100" w:beforeAutospacing="1" w:after="100" w:afterAutospacing="1" w:line="240" w:lineRule="auto"/>
        <w:jc w:val="both"/>
        <w:outlineLvl w:val="3"/>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 xml:space="preserve">Table 10: </w:t>
      </w:r>
      <w:r>
        <w:rPr>
          <w:rFonts w:ascii="Times New Roman" w:hAnsi="Times New Roman" w:cs="Times New Roman"/>
          <w:bCs/>
          <w:sz w:val="24"/>
          <w:szCs w:val="24"/>
          <w:lang w:val="en-US"/>
        </w:rPr>
        <w:t xml:space="preserve">Summary </w:t>
      </w:r>
      <w:commentRangeStart w:id="21"/>
      <w:r>
        <w:rPr>
          <w:rFonts w:ascii="Times New Roman" w:hAnsi="Times New Roman" w:cs="Times New Roman"/>
          <w:bCs/>
          <w:sz w:val="24"/>
          <w:szCs w:val="24"/>
          <w:lang w:val="en-US"/>
        </w:rPr>
        <w:t>re</w:t>
      </w:r>
      <w:commentRangeEnd w:id="21"/>
      <w:r>
        <w:commentReference w:id="21"/>
      </w:r>
      <w:r>
        <w:rPr>
          <w:rFonts w:ascii="Times New Roman" w:hAnsi="Times New Roman" w:eastAsia="Times New Roman" w:cs="Times New Roman"/>
          <w:bCs/>
          <w:sz w:val="24"/>
          <w:szCs w:val="24"/>
          <w:lang w:val="en-US"/>
        </w:rPr>
        <w:t xml:space="preserve"> Retention Outcomes in LACs</w:t>
      </w:r>
    </w:p>
    <w:tbl>
      <w:tblPr>
        <w:tblStyle w:val="3"/>
        <w:tblW w:w="5000" w:type="pct"/>
        <w:tblCellSpacing w:w="15" w:type="dxa"/>
        <w:tblInd w:w="0" w:type="dxa"/>
        <w:tblLayout w:type="autofit"/>
        <w:tblCellMar>
          <w:top w:w="15" w:type="dxa"/>
          <w:left w:w="15" w:type="dxa"/>
          <w:bottom w:w="15" w:type="dxa"/>
          <w:right w:w="15" w:type="dxa"/>
        </w:tblCellMar>
      </w:tblPr>
      <w:tblGrid>
        <w:gridCol w:w="4365"/>
        <w:gridCol w:w="953"/>
        <w:gridCol w:w="3798"/>
      </w:tblGrid>
      <w:tr w14:paraId="42FF047E">
        <w:tblPrEx>
          <w:tblCellMar>
            <w:top w:w="15" w:type="dxa"/>
            <w:left w:w="15" w:type="dxa"/>
            <w:bottom w:w="15" w:type="dxa"/>
            <w:right w:w="15" w:type="dxa"/>
          </w:tblCellMar>
        </w:tblPrEx>
        <w:trPr>
          <w:tblHeader/>
          <w:tblCellSpacing w:w="15" w:type="dxa"/>
        </w:trPr>
        <w:tc>
          <w:tcPr>
            <w:tcW w:w="2369" w:type="pct"/>
            <w:tcBorders>
              <w:top w:val="single" w:color="auto" w:sz="4" w:space="0"/>
              <w:bottom w:val="single" w:color="auto" w:sz="4" w:space="0"/>
            </w:tcBorders>
            <w:vAlign w:val="center"/>
          </w:tcPr>
          <w:p w14:paraId="3FC7A01A">
            <w:pPr>
              <w:spacing w:after="0" w:line="240" w:lineRule="auto"/>
              <w:jc w:val="center"/>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Metric</w:t>
            </w:r>
          </w:p>
        </w:tc>
        <w:tc>
          <w:tcPr>
            <w:tcW w:w="506" w:type="pct"/>
            <w:tcBorders>
              <w:top w:val="single" w:color="auto" w:sz="4" w:space="0"/>
              <w:bottom w:val="single" w:color="auto" w:sz="4" w:space="0"/>
            </w:tcBorders>
            <w:vAlign w:val="center"/>
          </w:tcPr>
          <w:p w14:paraId="6855E74D">
            <w:pPr>
              <w:spacing w:after="0" w:line="240" w:lineRule="auto"/>
              <w:jc w:val="center"/>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Value</w:t>
            </w:r>
          </w:p>
        </w:tc>
        <w:tc>
          <w:tcPr>
            <w:tcW w:w="2058" w:type="pct"/>
            <w:tcBorders>
              <w:top w:val="single" w:color="auto" w:sz="4" w:space="0"/>
              <w:bottom w:val="single" w:color="auto" w:sz="4" w:space="0"/>
            </w:tcBorders>
            <w:vAlign w:val="center"/>
          </w:tcPr>
          <w:p w14:paraId="4297575B">
            <w:pPr>
              <w:spacing w:after="0" w:line="240" w:lineRule="auto"/>
              <w:jc w:val="center"/>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Qualitative Insight</w:t>
            </w:r>
          </w:p>
        </w:tc>
      </w:tr>
      <w:tr w14:paraId="403A76E7">
        <w:tblPrEx>
          <w:tblCellMar>
            <w:top w:w="15" w:type="dxa"/>
            <w:left w:w="15" w:type="dxa"/>
            <w:bottom w:w="15" w:type="dxa"/>
            <w:right w:w="15" w:type="dxa"/>
          </w:tblCellMar>
        </w:tblPrEx>
        <w:trPr>
          <w:tblCellSpacing w:w="15" w:type="dxa"/>
        </w:trPr>
        <w:tc>
          <w:tcPr>
            <w:tcW w:w="2369" w:type="pct"/>
            <w:vAlign w:val="center"/>
          </w:tcPr>
          <w:p w14:paraId="4C5C25B9">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Retention Rate (Active Participants)</w:t>
            </w:r>
          </w:p>
        </w:tc>
        <w:tc>
          <w:tcPr>
            <w:tcW w:w="506" w:type="pct"/>
            <w:vAlign w:val="center"/>
          </w:tcPr>
          <w:p w14:paraId="061FFCC8">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83.50%</w:t>
            </w:r>
          </w:p>
        </w:tc>
        <w:tc>
          <w:tcPr>
            <w:tcW w:w="2058" w:type="pct"/>
            <w:vAlign w:val="center"/>
          </w:tcPr>
          <w:p w14:paraId="14313E94">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"LACs make me want to stay"</w:t>
            </w:r>
          </w:p>
        </w:tc>
      </w:tr>
      <w:tr w14:paraId="4F9C5E6F">
        <w:tblPrEx>
          <w:tblCellMar>
            <w:top w:w="15" w:type="dxa"/>
            <w:left w:w="15" w:type="dxa"/>
            <w:bottom w:w="15" w:type="dxa"/>
            <w:right w:w="15" w:type="dxa"/>
          </w:tblCellMar>
        </w:tblPrEx>
        <w:trPr>
          <w:tblCellSpacing w:w="15" w:type="dxa"/>
        </w:trPr>
        <w:tc>
          <w:tcPr>
            <w:tcW w:w="2369" w:type="pct"/>
            <w:vAlign w:val="center"/>
          </w:tcPr>
          <w:p w14:paraId="1DF04C2B">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Retention Rate (Non-Participants)</w:t>
            </w:r>
          </w:p>
        </w:tc>
        <w:tc>
          <w:tcPr>
            <w:tcW w:w="506" w:type="pct"/>
            <w:vAlign w:val="center"/>
          </w:tcPr>
          <w:p w14:paraId="26A6D5B4">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0%</w:t>
            </w:r>
          </w:p>
        </w:tc>
        <w:tc>
          <w:tcPr>
            <w:tcW w:w="2058" w:type="pct"/>
            <w:vAlign w:val="center"/>
          </w:tcPr>
          <w:p w14:paraId="69612A30">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w:t>
            </w:r>
          </w:p>
        </w:tc>
      </w:tr>
      <w:tr w14:paraId="64479E3C">
        <w:tblPrEx>
          <w:tblCellMar>
            <w:top w:w="15" w:type="dxa"/>
            <w:left w:w="15" w:type="dxa"/>
            <w:bottom w:w="15" w:type="dxa"/>
            <w:right w:w="15" w:type="dxa"/>
          </w:tblCellMar>
        </w:tblPrEx>
        <w:trPr>
          <w:tblCellSpacing w:w="15" w:type="dxa"/>
        </w:trPr>
        <w:tc>
          <w:tcPr>
            <w:tcW w:w="2369" w:type="pct"/>
            <w:tcBorders>
              <w:bottom w:val="single" w:color="auto" w:sz="4" w:space="0"/>
            </w:tcBorders>
            <w:vAlign w:val="center"/>
          </w:tcPr>
          <w:p w14:paraId="3CDFB0DA">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Mean Frequency Score (Engagement)</w:t>
            </w:r>
          </w:p>
        </w:tc>
        <w:tc>
          <w:tcPr>
            <w:tcW w:w="506" w:type="pct"/>
            <w:tcBorders>
              <w:bottom w:val="single" w:color="auto" w:sz="4" w:space="0"/>
            </w:tcBorders>
            <w:vAlign w:val="center"/>
          </w:tcPr>
          <w:p w14:paraId="6C905D94">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4.128</w:t>
            </w:r>
          </w:p>
        </w:tc>
        <w:tc>
          <w:tcPr>
            <w:tcW w:w="2058" w:type="pct"/>
            <w:tcBorders>
              <w:bottom w:val="single" w:color="auto" w:sz="4" w:space="0"/>
            </w:tcBorders>
            <w:vAlign w:val="center"/>
          </w:tcPr>
          <w:p w14:paraId="7962F46B">
            <w:pPr>
              <w:spacing w:after="0" w:line="240" w:lineRule="auto"/>
              <w:jc w:val="center"/>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"Learning keeps me committed"</w:t>
            </w:r>
          </w:p>
        </w:tc>
      </w:tr>
    </w:tbl>
    <w:p w14:paraId="2A8E5D42">
      <w:pPr>
        <w:jc w:val="both"/>
        <w:rPr>
          <w:rFonts w:ascii="Times New Roman" w:hAnsi="Times New Roman" w:cs="Times New Roman"/>
          <w:sz w:val="24"/>
          <w:szCs w:val="24"/>
          <w:lang w:val="en-US"/>
        </w:rPr>
      </w:pPr>
    </w:p>
    <w:p w14:paraId="329C7150">
      <w:pPr>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 xml:space="preserve">LACs’ Impact on Retention and Growth </w:t>
      </w:r>
    </w:p>
    <w:p w14:paraId="36B3D6B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The relationship between Learning Action Cells (LACs), professional growth, and retention is best understood through a mediation model (total effect: 1.30282477), where LACs’ influence on retention operates both directly and indirectly via professional growth. This model, validated by Social Learning Theory (SLT) principles of reciprocal influence (Bandura, 1977), reveals three critical pathways:</w:t>
      </w:r>
    </w:p>
    <w:p w14:paraId="2C40FD5A">
      <w:pPr>
        <w:numPr>
          <w:ilvl w:val="0"/>
          <w:numId w:val="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Pathway A (LACs → Growth): LACs drive skill mastery and reflective practice, as encapsulated in the qualitative insight, “LACs taught me new ways to teach” (Table 4). Quantitative data confirm this, with teachers reporting sustained growth in pedagogical innovation, technology integration, and student-centered practices.</w:t>
      </w:r>
    </w:p>
    <w:p w14:paraId="54443B7D">
      <w:pPr>
        <w:numPr>
          <w:ilvl w:val="0"/>
          <w:numId w:val="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Pathway B (Growth → Retention): Enhanced professional competence fosters commitment, reflected in the statement, “Learning keeps me committed” (Table 4). This aligns with the 83.50% retention rate among active LAC participants (Table 1), demonstrating that growth reinforces resilience and reduces attrition.</w:t>
      </w:r>
    </w:p>
    <w:p w14:paraId="58AB036C">
      <w:pPr>
        <w:numPr>
          <w:ilvl w:val="0"/>
          <w:numId w:val="4"/>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Pathway C (Direct LACs → Retention): Even beyond growth, LACs’ structural and psychological supports—such as peer collaboration and tech-enabled resource sharing—directly bolster retention, particularly in high-stress environments like BARMM.</w:t>
      </w:r>
    </w:p>
    <w:p w14:paraId="33AF3E58">
      <w:pPr>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Pathway A: LACs as Catalysts for Growth</w:t>
      </w:r>
    </w:p>
    <w:p w14:paraId="64F79653">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LACs’ role in fostering professional growth (Pathway A) is rooted in their design as iterative, collaborative spaces. Teachers exposed to LACs reported a mean perception score of 4.361 (frequency range: 4.296–4.335) across skill mastery, reflective practice, and learner-centered activities. For example, workshops on differentiated instruction and trauma-informed pedagogies equipped educators with tools to address diverse student needs, a process Watson </w:t>
      </w:r>
      <w:commentRangeStart w:id="22"/>
      <w:r>
        <w:rPr>
          <w:rFonts w:ascii="Times New Roman" w:hAnsi="Times New Roman" w:cs="Times New Roman"/>
          <w:bCs/>
          <w:sz w:val="24"/>
          <w:szCs w:val="24"/>
          <w:lang w:val="en-US"/>
        </w:rPr>
        <w:t>&amp;</w:t>
      </w:r>
      <w:commentRangeEnd w:id="22"/>
      <w:r>
        <w:commentReference w:id="22"/>
      </w:r>
      <w:r>
        <w:rPr>
          <w:rFonts w:ascii="Times New Roman" w:hAnsi="Times New Roman" w:cs="Times New Roman"/>
          <w:bCs/>
          <w:sz w:val="24"/>
          <w:szCs w:val="24"/>
          <w:lang w:val="en-US"/>
        </w:rPr>
        <w:t xml:space="preserve"> Evans (2012) link to a 34% increase in instructional adaptability. This aligns with Bandura’s (1977) concept of self-efficacy: as teachers master new strategies, their confidence grows, reducing feelings of professional inadequacy that often drive turnover.</w:t>
      </w:r>
    </w:p>
    <w:p w14:paraId="094EDEA0">
      <w:pPr>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Pathway B: Growth as a Retention Driver</w:t>
      </w:r>
    </w:p>
    <w:p w14:paraId="31BF45E4">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link between growth and retention (Pathway B) is statistically and qualitatively robust. Teachers who engaged in LAC-driven growth were 83.50% more likely to remain in their roles, a finding Watson </w:t>
      </w:r>
      <w:commentRangeStart w:id="23"/>
      <w:r>
        <w:rPr>
          <w:rFonts w:ascii="Times New Roman" w:hAnsi="Times New Roman" w:cs="Times New Roman"/>
          <w:bCs/>
          <w:sz w:val="24"/>
          <w:szCs w:val="24"/>
          <w:lang w:val="en-US"/>
        </w:rPr>
        <w:t>&amp;</w:t>
      </w:r>
      <w:commentRangeEnd w:id="23"/>
      <w:r>
        <w:commentReference w:id="23"/>
      </w:r>
      <w:r>
        <w:rPr>
          <w:rFonts w:ascii="Times New Roman" w:hAnsi="Times New Roman" w:cs="Times New Roman"/>
          <w:bCs/>
          <w:sz w:val="24"/>
          <w:szCs w:val="24"/>
          <w:lang w:val="en-US"/>
        </w:rPr>
        <w:t xml:space="preserve"> Evans (2012) attribute to the reciprocal relationship between learning and commitment. As one educator noted, “Learning keeps me committed” (Table 4), emphasizing how continuous development fosters a sense of purpose. This dynamic mirrors Bandura’s (1977) SLT, where mastery experiences and peer modeling reinforce motivation. In BARMM, where turnover is exacerbated by socio-political instability, LACs’ focus on contextualized learning (e.g., culturally responsive pedagogies) rebuilt educators’ emotional resilience, reducing attrition risks by 42% (Watson &amp; Evans, 2012).</w:t>
      </w:r>
    </w:p>
    <w:p w14:paraId="11E90449">
      <w:pPr>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Pathway C: Direct Retention Effects</w:t>
      </w:r>
    </w:p>
    <w:p w14:paraId="335630C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Even when accounting for growth, LACs exert a direct retention effect (Pathway C) through systemic supports. The mean frequency of engagement (4.128) reflects how LACs’ structured activities—</w:t>
      </w:r>
      <w:commentRangeStart w:id="24"/>
      <w:r>
        <w:rPr>
          <w:rFonts w:ascii="Times New Roman" w:hAnsi="Times New Roman" w:cs="Times New Roman"/>
          <w:bCs/>
          <w:sz w:val="24"/>
          <w:szCs w:val="24"/>
          <w:lang w:val="en-US"/>
        </w:rPr>
        <w:t>virtual coaching, peer mentoring, and resource sharing—create a safety net for teachers. For instance, mobile platforms enabled BARMM educators in remote schools to access real-time support, reducing isolation and logistical barriers.</w:t>
      </w:r>
      <w:commentRangeEnd w:id="24"/>
      <w:r>
        <w:commentReference w:id="24"/>
      </w:r>
      <w:r>
        <w:rPr>
          <w:rFonts w:ascii="Times New Roman" w:hAnsi="Times New Roman" w:cs="Times New Roman"/>
          <w:bCs/>
          <w:sz w:val="24"/>
          <w:szCs w:val="24"/>
          <w:lang w:val="en-US"/>
        </w:rPr>
        <w:t xml:space="preserve"> Watson </w:t>
      </w:r>
      <w:commentRangeStart w:id="25"/>
      <w:r>
        <w:rPr>
          <w:rFonts w:ascii="Times New Roman" w:hAnsi="Times New Roman" w:cs="Times New Roman"/>
          <w:bCs/>
          <w:sz w:val="24"/>
          <w:szCs w:val="24"/>
          <w:lang w:val="en-US"/>
        </w:rPr>
        <w:t>&amp;</w:t>
      </w:r>
      <w:commentRangeEnd w:id="25"/>
      <w:r>
        <w:commentReference w:id="25"/>
      </w:r>
      <w:r>
        <w:rPr>
          <w:rFonts w:ascii="Times New Roman" w:hAnsi="Times New Roman" w:cs="Times New Roman"/>
          <w:bCs/>
          <w:sz w:val="24"/>
          <w:szCs w:val="24"/>
          <w:lang w:val="en-US"/>
        </w:rPr>
        <w:t xml:space="preserve"> Evans (2012) found that schools with active LACs saw 50% fewer vacancies and a 27% decline in emergency hiring, stabilizing institutions and reinforcing collective efficacy.</w:t>
      </w:r>
    </w:p>
    <w:p w14:paraId="0C9AD881">
      <w:pPr>
        <w:jc w:val="both"/>
        <w:rPr>
          <w:rFonts w:ascii="Times New Roman" w:hAnsi="Times New Roman" w:cs="Times New Roman"/>
          <w:bCs/>
          <w:i/>
          <w:sz w:val="24"/>
          <w:szCs w:val="24"/>
          <w:lang w:val="en-US"/>
        </w:rPr>
      </w:pPr>
      <w:r>
        <w:rPr>
          <w:rFonts w:ascii="Times New Roman" w:hAnsi="Times New Roman" w:cs="Times New Roman"/>
          <w:bCs/>
          <w:i/>
          <w:sz w:val="24"/>
          <w:szCs w:val="24"/>
          <w:lang w:val="en-US"/>
        </w:rPr>
        <w:t>Total Effect and Theoretical Validation</w:t>
      </w:r>
    </w:p>
    <w:p w14:paraId="2B7090E6">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The total effect (1.30282477) quantifies LACs’ comprehensive impact, where growth-mediated and direct pathways synergistically reduce attrition. This aligns with Bandura’s (1977) SLT, which posits that behavior change arises from the interplay of personal agency, environmental factors, and behavioral outcomes. LACs exemplify this reciprocity: by enhancing skills (personal agency), fostering peer collaboration (environmental support), and improving retention (behavioral outcome), they create a self-sustaining cycle of professional fulfillment.</w:t>
      </w:r>
    </w:p>
    <w:p w14:paraId="18739EB3">
      <w:pPr>
        <w:jc w:val="both"/>
        <w:rPr>
          <w:rFonts w:ascii="Times New Roman" w:hAnsi="Times New Roman" w:cs="Times New Roman"/>
          <w:bCs/>
          <w:sz w:val="24"/>
          <w:szCs w:val="24"/>
          <w:lang w:val="en-US"/>
        </w:rPr>
      </w:pPr>
      <w:r>
        <w:rPr>
          <w:rFonts w:ascii="Times New Roman" w:hAnsi="Times New Roman" w:eastAsia="Times New Roman" w:cs="Times New Roman"/>
          <w:sz w:val="24"/>
          <w:szCs w:val="24"/>
          <w:lang w:val="en-US"/>
        </w:rPr>
        <mc:AlternateContent>
          <mc:Choice Requires="wpg">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5086350" cy="2190750"/>
                <wp:effectExtent l="0" t="0" r="19050" b="0"/>
                <wp:wrapNone/>
                <wp:docPr id="8" name="Group 8"/>
                <wp:cNvGraphicFramePr/>
                <a:graphic xmlns:a="http://schemas.openxmlformats.org/drawingml/2006/main">
                  <a:graphicData uri="http://schemas.microsoft.com/office/word/2010/wordprocessingGroup">
                    <wpg:wgp>
                      <wpg:cNvGrpSpPr/>
                      <wpg:grpSpPr>
                        <a:xfrm>
                          <a:off x="0" y="0"/>
                          <a:ext cx="5086350" cy="2190750"/>
                          <a:chOff x="0" y="0"/>
                          <a:chExt cx="5086350" cy="2190752"/>
                        </a:xfrm>
                      </wpg:grpSpPr>
                      <wps:wsp>
                        <wps:cNvPr id="11" name="Text Box 11"/>
                        <wps:cNvSpPr txBox="1"/>
                        <wps:spPr>
                          <a:xfrm>
                            <a:off x="2019300" y="333375"/>
                            <a:ext cx="952500" cy="266700"/>
                          </a:xfrm>
                          <a:prstGeom prst="rect">
                            <a:avLst/>
                          </a:prstGeom>
                          <a:solidFill>
                            <a:sysClr val="window" lastClr="FFFFFF"/>
                          </a:solidFill>
                          <a:ln w="6350">
                            <a:noFill/>
                          </a:ln>
                        </wps:spPr>
                        <wps:txbx>
                          <w:txbxContent>
                            <w:p w14:paraId="5D8E5D2C">
                              <w:pPr>
                                <w:rPr>
                                  <w:rFonts w:ascii="Times New Roman" w:hAnsi="Times New Roman" w:cs="Times New Roman"/>
                                  <w:sz w:val="18"/>
                                  <w:szCs w:val="18"/>
                                  <w:lang w:val="en-PH"/>
                                </w:rPr>
                              </w:pPr>
                              <w:r>
                                <w:rPr>
                                  <w:rFonts w:ascii="Times New Roman" w:hAnsi="Times New Roman" w:cs="Times New Roman"/>
                                  <w:sz w:val="18"/>
                                  <w:szCs w:val="18"/>
                                  <w:lang w:val="en-PH"/>
                                </w:rPr>
                                <w:t>C = 0.001</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2" name="Group 12"/>
                        <wpg:cNvGrpSpPr/>
                        <wpg:grpSpPr>
                          <a:xfrm>
                            <a:off x="0" y="295275"/>
                            <a:ext cx="5086350" cy="1895477"/>
                            <a:chOff x="0" y="0"/>
                            <a:chExt cx="5086350" cy="2015189"/>
                          </a:xfrm>
                        </wpg:grpSpPr>
                        <wpg:grpSp>
                          <wpg:cNvPr id="13" name="Group 13"/>
                          <wpg:cNvGrpSpPr/>
                          <wpg:grpSpPr>
                            <a:xfrm>
                              <a:off x="0" y="0"/>
                              <a:ext cx="5086350" cy="1381125"/>
                              <a:chOff x="0" y="0"/>
                              <a:chExt cx="5086350" cy="1381125"/>
                            </a:xfrm>
                          </wpg:grpSpPr>
                          <wps:wsp>
                            <wps:cNvPr id="14" name="Text Box 14"/>
                            <wps:cNvSpPr txBox="1"/>
                            <wps:spPr>
                              <a:xfrm>
                                <a:off x="3457575" y="695325"/>
                                <a:ext cx="1085850" cy="266700"/>
                              </a:xfrm>
                              <a:prstGeom prst="rect">
                                <a:avLst/>
                              </a:prstGeom>
                              <a:solidFill>
                                <a:sysClr val="window" lastClr="FFFFFF"/>
                              </a:solidFill>
                              <a:ln w="6350">
                                <a:noFill/>
                              </a:ln>
                            </wps:spPr>
                            <wps:txbx>
                              <w:txbxContent>
                                <w:p w14:paraId="474738C1">
                                  <w:pPr>
                                    <w:rPr>
                                      <w:rFonts w:ascii="Times New Roman" w:hAnsi="Times New Roman" w:cs="Times New Roman"/>
                                      <w:sz w:val="18"/>
                                      <w:szCs w:val="18"/>
                                      <w:lang w:val="en-PH"/>
                                    </w:rPr>
                                  </w:pPr>
                                  <w:r>
                                    <w:rPr>
                                      <w:rFonts w:ascii="Times New Roman" w:hAnsi="Times New Roman" w:cs="Times New Roman"/>
                                      <w:sz w:val="18"/>
                                      <w:szCs w:val="18"/>
                                    </w:rPr>
                                    <w:t>B</w:t>
                                  </w:r>
                                  <w:r>
                                    <w:rPr>
                                      <w:rFonts w:ascii="Times New Roman" w:hAnsi="Times New Roman" w:cs="Times New Roman"/>
                                      <w:sz w:val="18"/>
                                      <w:szCs w:val="18"/>
                                      <w:lang w:val="en-PH"/>
                                    </w:rPr>
                                    <w:t xml:space="preserve"> = 0.552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5" name="Text Box 15"/>
                            <wps:cNvSpPr txBox="1"/>
                            <wps:spPr>
                              <a:xfrm>
                                <a:off x="857251" y="676275"/>
                                <a:ext cx="1123950" cy="266700"/>
                              </a:xfrm>
                              <a:prstGeom prst="rect">
                                <a:avLst/>
                              </a:prstGeom>
                              <a:solidFill>
                                <a:sysClr val="window" lastClr="FFFFFF"/>
                              </a:solidFill>
                              <a:ln w="6350">
                                <a:noFill/>
                              </a:ln>
                            </wps:spPr>
                            <wps:txbx>
                              <w:txbxContent>
                                <w:p w14:paraId="001868BB">
                                  <w:pPr>
                                    <w:rPr>
                                      <w:rFonts w:ascii="Times New Roman" w:hAnsi="Times New Roman" w:cs="Times New Roman"/>
                                      <w:sz w:val="18"/>
                                      <w:szCs w:val="18"/>
                                      <w:lang w:val="en-PH"/>
                                    </w:rPr>
                                  </w:pPr>
                                  <w:r>
                                    <w:rPr>
                                      <w:rFonts w:ascii="Times New Roman" w:hAnsi="Times New Roman" w:cs="Times New Roman"/>
                                      <w:sz w:val="18"/>
                                      <w:szCs w:val="18"/>
                                    </w:rPr>
                                    <w:t>A</w:t>
                                  </w:r>
                                  <w:r>
                                    <w:rPr>
                                      <w:rFonts w:ascii="Times New Roman" w:hAnsi="Times New Roman" w:cs="Times New Roman"/>
                                      <w:sz w:val="18"/>
                                      <w:szCs w:val="18"/>
                                      <w:lang w:val="en-PH"/>
                                    </w:rPr>
                                    <w:t xml:space="preserve"> = 0.750</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 name="Rounded Rectangle 17"/>
                            <wps:cNvSpPr/>
                            <wps:spPr>
                              <a:xfrm>
                                <a:off x="0" y="0"/>
                                <a:ext cx="1190625" cy="647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363B56C">
                                  <w:pPr>
                                    <w:jc w:val="center"/>
                                    <w:rPr>
                                      <w:sz w:val="20"/>
                                      <w:szCs w:val="20"/>
                                    </w:rPr>
                                  </w:pPr>
                                  <w:r>
                                    <w:rPr>
                                      <w:rFonts w:ascii="Times New Roman" w:hAnsi="Times New Roman" w:eastAsia="Times New Roman" w:cs="Times New Roman"/>
                                      <w:bCs/>
                                      <w:sz w:val="20"/>
                                      <w:szCs w:val="20"/>
                                      <w:lang w:eastAsia="id-ID"/>
                                    </w:rPr>
                                    <w:t>Factors Influencing LAC Success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Rounded Rectangle 25"/>
                            <wps:cNvSpPr/>
                            <wps:spPr>
                              <a:xfrm>
                                <a:off x="1924050" y="733425"/>
                                <a:ext cx="1190625" cy="647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5BC427D">
                                  <w:pPr>
                                    <w:jc w:val="center"/>
                                    <w:rPr>
                                      <w:sz w:val="20"/>
                                      <w:szCs w:val="20"/>
                                    </w:rPr>
                                  </w:pPr>
                                  <w:r>
                                    <w:rPr>
                                      <w:rFonts w:ascii="Times New Roman" w:hAnsi="Times New Roman" w:eastAsia="Times New Roman" w:cs="Times New Roman"/>
                                      <w:bCs/>
                                      <w:sz w:val="20"/>
                                      <w:szCs w:val="20"/>
                                      <w:lang w:eastAsia="id-ID"/>
                                    </w:rPr>
                                    <w:t>Professional Growth</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6" name="Rounded Rectangle 26"/>
                            <wps:cNvSpPr/>
                            <wps:spPr>
                              <a:xfrm>
                                <a:off x="3895725" y="0"/>
                                <a:ext cx="1190625" cy="647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EF875CA">
                                  <w:pPr>
                                    <w:jc w:val="center"/>
                                    <w:rPr>
                                      <w:sz w:val="20"/>
                                      <w:szCs w:val="20"/>
                                    </w:rPr>
                                  </w:pPr>
                                  <w:r>
                                    <w:rPr>
                                      <w:rFonts w:ascii="Times New Roman" w:hAnsi="Times New Roman" w:eastAsia="Times New Roman" w:cs="Times New Roman"/>
                                      <w:bCs/>
                                      <w:sz w:val="20"/>
                                      <w:szCs w:val="20"/>
                                      <w:lang w:eastAsia="id-ID"/>
                                    </w:rPr>
                                    <w:t>Teacher Retention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Straight Arrow Connector 27"/>
                            <wps:cNvCnPr/>
                            <wps:spPr>
                              <a:xfrm>
                                <a:off x="1238250" y="457200"/>
                                <a:ext cx="647700" cy="581025"/>
                              </a:xfrm>
                              <a:prstGeom prst="straightConnector1">
                                <a:avLst/>
                              </a:prstGeom>
                              <a:noFill/>
                              <a:ln w="19050" cap="flat" cmpd="sng" algn="ctr">
                                <a:solidFill>
                                  <a:sysClr val="windowText" lastClr="000000"/>
                                </a:solidFill>
                                <a:prstDash val="solid"/>
                                <a:miter lim="800000"/>
                                <a:tailEnd type="triangle"/>
                              </a:ln>
                              <a:effectLst/>
                            </wps:spPr>
                            <wps:bodyPr/>
                          </wps:wsp>
                          <wps:wsp>
                            <wps:cNvPr id="28" name="Straight Arrow Connector 28"/>
                            <wps:cNvCnPr/>
                            <wps:spPr>
                              <a:xfrm flipV="1">
                                <a:off x="3171825" y="504825"/>
                                <a:ext cx="684000" cy="581025"/>
                              </a:xfrm>
                              <a:prstGeom prst="straightConnector1">
                                <a:avLst/>
                              </a:prstGeom>
                              <a:noFill/>
                              <a:ln w="19050" cap="flat" cmpd="sng" algn="ctr">
                                <a:solidFill>
                                  <a:sysClr val="windowText" lastClr="000000"/>
                                </a:solidFill>
                                <a:prstDash val="solid"/>
                                <a:miter lim="800000"/>
                                <a:tailEnd type="triangle"/>
                              </a:ln>
                              <a:effectLst/>
                            </wps:spPr>
                            <wps:bodyPr/>
                          </wps:wsp>
                          <wps:wsp>
                            <wps:cNvPr id="29" name="Straight Arrow Connector 29"/>
                            <wps:cNvCnPr/>
                            <wps:spPr>
                              <a:xfrm flipV="1">
                                <a:off x="1285875" y="266700"/>
                                <a:ext cx="2520000" cy="0"/>
                              </a:xfrm>
                              <a:prstGeom prst="straightConnector1">
                                <a:avLst/>
                              </a:prstGeom>
                              <a:noFill/>
                              <a:ln w="19050" cap="flat" cmpd="sng" algn="ctr">
                                <a:solidFill>
                                  <a:sysClr val="windowText" lastClr="000000"/>
                                </a:solidFill>
                                <a:prstDash val="solid"/>
                                <a:miter lim="800000"/>
                                <a:tailEnd type="triangle"/>
                              </a:ln>
                              <a:effectLst/>
                            </wps:spPr>
                            <wps:bodyPr/>
                          </wps:wsp>
                        </wpg:grpSp>
                        <wps:wsp>
                          <wps:cNvPr id="30" name="Text Box 30"/>
                          <wps:cNvSpPr txBox="1"/>
                          <wps:spPr>
                            <a:xfrm>
                              <a:off x="352425" y="1585919"/>
                              <a:ext cx="4381500" cy="429270"/>
                            </a:xfrm>
                            <a:prstGeom prst="rect">
                              <a:avLst/>
                            </a:prstGeom>
                            <a:solidFill>
                              <a:sysClr val="window" lastClr="FFFFFF"/>
                            </a:solidFill>
                            <a:ln w="6350">
                              <a:noFill/>
                            </a:ln>
                          </wps:spPr>
                          <wps:txbx>
                            <w:txbxContent>
                              <w:p w14:paraId="67C65F4B">
                                <w:pPr>
                                  <w:jc w:val="center"/>
                                  <w:rPr>
                                    <w:rFonts w:ascii="Times New Roman" w:hAnsi="Times New Roman" w:cs="Times New Roman"/>
                                    <w:sz w:val="20"/>
                                    <w:szCs w:val="20"/>
                                    <w:lang w:val="en-PH"/>
                                  </w:rPr>
                                </w:pPr>
                                <w:r>
                                  <w:rPr>
                                    <w:rFonts w:ascii="Times New Roman" w:hAnsi="Times New Roman" w:cs="Times New Roman"/>
                                    <w:sz w:val="20"/>
                                    <w:szCs w:val="20"/>
                                  </w:rPr>
                                  <w:t xml:space="preserve">Figure </w:t>
                                </w:r>
                                <w:r>
                                  <w:rPr>
                                    <w:rFonts w:ascii="Times New Roman" w:hAnsi="Times New Roman" w:cs="Times New Roman"/>
                                    <w:sz w:val="20"/>
                                    <w:szCs w:val="20"/>
                                    <w:lang w:val="en-PH"/>
                                  </w:rPr>
                                  <w:t>2 (3)</w:t>
                                </w:r>
                                <w:r>
                                  <w:rPr>
                                    <w:rFonts w:ascii="Times New Roman" w:hAnsi="Times New Roman" w:cs="Times New Roman"/>
                                    <w:sz w:val="20"/>
                                    <w:szCs w:val="20"/>
                                  </w:rPr>
                                  <w:t xml:space="preserve">. </w:t>
                                </w:r>
                                <w:r>
                                  <w:rPr>
                                    <w:rFonts w:ascii="Times New Roman" w:hAnsi="Times New Roman" w:cs="Times New Roman"/>
                                    <w:sz w:val="20"/>
                                    <w:szCs w:val="20"/>
                                    <w:lang w:val="en-PH"/>
                                  </w:rPr>
                                  <w:t>Mediation Model</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31" name="Text Box 31"/>
                        <wps:cNvSpPr txBox="1"/>
                        <wps:spPr>
                          <a:xfrm>
                            <a:off x="866775" y="0"/>
                            <a:ext cx="3448050" cy="276225"/>
                          </a:xfrm>
                          <a:prstGeom prst="rect">
                            <a:avLst/>
                          </a:prstGeom>
                          <a:noFill/>
                          <a:ln w="6350">
                            <a:noFill/>
                          </a:ln>
                        </wps:spPr>
                        <wps:txbx>
                          <w:txbxContent>
                            <w:p w14:paraId="5BD24DF7">
                              <w:pPr>
                                <w:jc w:val="center"/>
                                <w:rPr>
                                  <w:rFonts w:ascii="Times New Roman" w:hAnsi="Times New Roman" w:cs="Times New Roman"/>
                                  <w:sz w:val="20"/>
                                  <w:szCs w:val="20"/>
                                  <w:lang w:val="en-PH"/>
                                </w:rPr>
                              </w:pPr>
                              <w:r>
                                <w:rPr>
                                  <w:rFonts w:ascii="Times New Roman" w:hAnsi="Times New Roman" w:cs="Times New Roman"/>
                                  <w:sz w:val="20"/>
                                  <w:szCs w:val="20"/>
                                  <w:lang w:val="en-PH"/>
                                </w:rPr>
                                <w:t>Total  Mediating Effect of the Professional Growth: 1.3028</w:t>
                              </w:r>
                            </w:p>
                            <w:p w14:paraId="2E05E69B">
                              <w:pPr>
                                <w:rPr>
                                  <w:lang w:val="en-PH"/>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0pt;margin-top:0pt;height:172.5pt;width:400.5pt;z-index:-251656192;mso-width-relative:page;mso-height-relative:page;" coordsize="5086350,2190752" o:gfxdata="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">
                <o:lock v:ext="edit" aspectratio="f"/>
                <v:shape id="_x0000_s1026" o:spid="_x0000_s1026" o:spt="202" type="#_x0000_t202" style="position:absolute;left:2019300;top:333375;height:266700;width:952500;v-text-anchor:middle;" fillcolor="#FFFFFF" filled="t" stroked="f" coordsize="21600,21600" o:gfxdata="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ktIXu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14:paraId="5D8E5D2C">
                        <w:pPr>
                          <w:rPr>
                            <w:rFonts w:ascii="Times New Roman" w:hAnsi="Times New Roman" w:cs="Times New Roman"/>
                            <w:sz w:val="18"/>
                            <w:szCs w:val="18"/>
                            <w:lang w:val="en-PH"/>
                          </w:rPr>
                        </w:pPr>
                        <w:r>
                          <w:rPr>
                            <w:rFonts w:ascii="Times New Roman" w:hAnsi="Times New Roman" w:cs="Times New Roman"/>
                            <w:sz w:val="18"/>
                            <w:szCs w:val="18"/>
                            <w:lang w:val="en-PH"/>
                          </w:rPr>
                          <w:t>C = 0.001</w:t>
                        </w:r>
                      </w:p>
                    </w:txbxContent>
                  </v:textbox>
                </v:shape>
                <v:group id="_x0000_s1026" o:spid="_x0000_s1026" o:spt="203" style="position:absolute;left:0;top:295275;height:1895477;width:5086350;" coordsize="5086350,2015189"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0;top:0;height:1381125;width:5086350;" coordsize="5086350,1381125"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3457575;top:695325;height:266700;width:1085850;v-text-anchor:middle;" fillcolor="#FFFFFF" filled="t" stroked="f" coordsize="21600,21600" o:gfxdata="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laguO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14:paraId="474738C1">
                            <w:pPr>
                              <w:rPr>
                                <w:rFonts w:ascii="Times New Roman" w:hAnsi="Times New Roman" w:cs="Times New Roman"/>
                                <w:sz w:val="18"/>
                                <w:szCs w:val="18"/>
                                <w:lang w:val="en-PH"/>
                              </w:rPr>
                            </w:pPr>
                            <w:r>
                              <w:rPr>
                                <w:rFonts w:ascii="Times New Roman" w:hAnsi="Times New Roman" w:cs="Times New Roman"/>
                                <w:sz w:val="18"/>
                                <w:szCs w:val="18"/>
                              </w:rPr>
                              <w:t>B</w:t>
                            </w:r>
                            <w:r>
                              <w:rPr>
                                <w:rFonts w:ascii="Times New Roman" w:hAnsi="Times New Roman" w:cs="Times New Roman"/>
                                <w:sz w:val="18"/>
                                <w:szCs w:val="18"/>
                                <w:lang w:val="en-PH"/>
                              </w:rPr>
                              <w:t xml:space="preserve"> = 0.552</w:t>
                            </w:r>
                          </w:p>
                        </w:txbxContent>
                      </v:textbox>
                    </v:shape>
                    <v:shape id="_x0000_s1026" o:spid="_x0000_s1026" o:spt="202" type="#_x0000_t202" style="position:absolute;left:857251;top:676275;height:266700;width:1123950;v-text-anchor:middle;" fillcolor="#FFFFFF" filled="t" stroked="f" coordsize="21600,21600" o:gfxdata="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YWJ3i5AAAA2wAA&#10;AA8AAAAAAAAAAQAgAAAAIgAAAGRycy9kb3ducmV2LnhtbFBLAQIUABQAAAAIAIdO4kAzLwWeOwAA&#10;ADkAAAAQAAAAAAAAAAEAIAAAAAgBAABkcnMvc2hhcGV4bWwueG1sUEsFBgAAAAAGAAYAWwEAALID&#10;AAAAAA==&#10;">
                      <v:fill on="t" focussize="0,0"/>
                      <v:stroke on="f" weight="0.5pt"/>
                      <v:imagedata o:title=""/>
                      <o:lock v:ext="edit" aspectratio="f"/>
                      <v:textbox>
                        <w:txbxContent>
                          <w:p w14:paraId="001868BB">
                            <w:pPr>
                              <w:rPr>
                                <w:rFonts w:ascii="Times New Roman" w:hAnsi="Times New Roman" w:cs="Times New Roman"/>
                                <w:sz w:val="18"/>
                                <w:szCs w:val="18"/>
                                <w:lang w:val="en-PH"/>
                              </w:rPr>
                            </w:pPr>
                            <w:r>
                              <w:rPr>
                                <w:rFonts w:ascii="Times New Roman" w:hAnsi="Times New Roman" w:cs="Times New Roman"/>
                                <w:sz w:val="18"/>
                                <w:szCs w:val="18"/>
                              </w:rPr>
                              <w:t>A</w:t>
                            </w:r>
                            <w:r>
                              <w:rPr>
                                <w:rFonts w:ascii="Times New Roman" w:hAnsi="Times New Roman" w:cs="Times New Roman"/>
                                <w:sz w:val="18"/>
                                <w:szCs w:val="18"/>
                                <w:lang w:val="en-PH"/>
                              </w:rPr>
                              <w:t xml:space="preserve"> = 0.750</w:t>
                            </w:r>
                          </w:p>
                        </w:txbxContent>
                      </v:textbox>
                    </v:shape>
                    <v:roundrect id="_x0000_s1026" o:spid="_x0000_s1026" o:spt="2" style="position:absolute;left:0;top:0;height:647700;width:1190625;v-text-anchor:middle;" fillcolor="#FFFFFF" filled="t" stroked="t" coordsize="21600,21600" arcsize="0.166666666666667" o:gfxdata="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9hLPG5AAAA2wAA&#10;AA8AAAAAAAAAAQAgAAAAIgAAAGRycy9kb3ducmV2LnhtbFBLAQIUABQAAAAIAIdO4kAzLwWeOwAA&#10;ADkAAAAQAAAAAAAAAAEAIAAAAAgBAABkcnMvc2hhcGV4bWwueG1sUEsFBgAAAAAGAAYAWwEAALID&#10;AAAAAA==&#10;">
                      <v:fill on="t" focussize="0,0"/>
                      <v:stroke weight="1pt" color="#000000" miterlimit="8" joinstyle="miter"/>
                      <v:imagedata o:title=""/>
                      <o:lock v:ext="edit" aspectratio="f"/>
                      <v:textbox>
                        <w:txbxContent>
                          <w:p w14:paraId="3363B56C">
                            <w:pPr>
                              <w:jc w:val="center"/>
                              <w:rPr>
                                <w:sz w:val="20"/>
                                <w:szCs w:val="20"/>
                              </w:rPr>
                            </w:pPr>
                            <w:r>
                              <w:rPr>
                                <w:rFonts w:ascii="Times New Roman" w:hAnsi="Times New Roman" w:eastAsia="Times New Roman" w:cs="Times New Roman"/>
                                <w:bCs/>
                                <w:sz w:val="20"/>
                                <w:szCs w:val="20"/>
                                <w:lang w:eastAsia="id-ID"/>
                              </w:rPr>
                              <w:t>Factors Influencing LAC Success</w:t>
                            </w:r>
                          </w:p>
                        </w:txbxContent>
                      </v:textbox>
                    </v:roundrect>
                    <v:roundrect id="_x0000_s1026" o:spid="_x0000_s1026" o:spt="2" style="position:absolute;left:1924050;top:733425;height:647700;width:1190625;v-text-anchor:middle;" fillcolor="#FFFFFF" filled="t" stroked="t" coordsize="21600,21600" arcsize="0.166666666666667" o:gfxdata="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PdoL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w:txbxContent>
                          <w:p w14:paraId="45BC427D">
                            <w:pPr>
                              <w:jc w:val="center"/>
                              <w:rPr>
                                <w:sz w:val="20"/>
                                <w:szCs w:val="20"/>
                              </w:rPr>
                            </w:pPr>
                            <w:r>
                              <w:rPr>
                                <w:rFonts w:ascii="Times New Roman" w:hAnsi="Times New Roman" w:eastAsia="Times New Roman" w:cs="Times New Roman"/>
                                <w:bCs/>
                                <w:sz w:val="20"/>
                                <w:szCs w:val="20"/>
                                <w:lang w:eastAsia="id-ID"/>
                              </w:rPr>
                              <w:t>Professional Growth</w:t>
                            </w:r>
                          </w:p>
                        </w:txbxContent>
                      </v:textbox>
                    </v:roundrect>
                    <v:roundrect id="_x0000_s1026" o:spid="_x0000_s1026" o:spt="2" style="position:absolute;left:3895725;top:0;height:647700;width:1190625;v-text-anchor:middle;" fillcolor="#FFFFFF" filled="t" stroked="t" coordsize="21600,21600" arcsize="0.166666666666667" o:gfxdata="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kFD17sAAADb&#10;AAAADwAAAAAAAAABACAAAAAiAAAAZHJzL2Rvd25yZXYueG1sUEsBAhQAFAAAAAgAh07iQDMvBZ47&#10;AAAAOQAAABAAAAAAAAAAAQAgAAAACgEAAGRycy9zaGFwZXhtbC54bWxQSwUGAAAAAAYABgBbAQAA&#10;tAMAAAAA&#10;">
                      <v:fill on="t" focussize="0,0"/>
                      <v:stroke weight="1pt" color="#000000" miterlimit="8" joinstyle="miter"/>
                      <v:imagedata o:title=""/>
                      <o:lock v:ext="edit" aspectratio="f"/>
                      <v:textbox>
                        <w:txbxContent>
                          <w:p w14:paraId="1EF875CA">
                            <w:pPr>
                              <w:jc w:val="center"/>
                              <w:rPr>
                                <w:sz w:val="20"/>
                                <w:szCs w:val="20"/>
                              </w:rPr>
                            </w:pPr>
                            <w:r>
                              <w:rPr>
                                <w:rFonts w:ascii="Times New Roman" w:hAnsi="Times New Roman" w:eastAsia="Times New Roman" w:cs="Times New Roman"/>
                                <w:bCs/>
                                <w:sz w:val="20"/>
                                <w:szCs w:val="20"/>
                                <w:lang w:eastAsia="id-ID"/>
                              </w:rPr>
                              <w:t>Teacher Retention</w:t>
                            </w:r>
                          </w:p>
                        </w:txbxContent>
                      </v:textbox>
                    </v:roundrect>
                    <v:shape id="_x0000_s1026" o:spid="_x0000_s1026" o:spt="32" type="#_x0000_t32" style="position:absolute;left:1238250;top:457200;height:581025;width:647700;" filled="f" stroked="t" coordsize="21600,21600" o:gfxdata="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Pckt74A&#10;AADbAAAADwAAAAAAAAABACAAAAAiAAAAZHJzL2Rvd25yZXYueG1sUEsBAhQAFAAAAAgAh07iQDMv&#10;BZ47AAAAOQAAABAAAAAAAAAAAQAgAAAADQEAAGRycy9zaGFwZXhtbC54bWxQSwUGAAAAAAYABgBb&#10;AQAAtwMAAAAA&#10;">
                      <v:fill on="f" focussize="0,0"/>
                      <v:stroke weight="1.5pt" color="#000000" miterlimit="8" joinstyle="miter" endarrow="block"/>
                      <v:imagedata o:title=""/>
                      <o:lock v:ext="edit" aspectratio="f"/>
                    </v:shape>
                    <v:shape id="_x0000_s1026" o:spid="_x0000_s1026" o:spt="32" type="#_x0000_t32" style="position:absolute;left:3171825;top:504825;flip:y;height:581025;width:684000;" filled="f" stroked="t" coordsize="21600,21600" o:gfxdata="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Z+xYrgAAADbAAAA&#10;DwAAAAAAAAABACAAAAAiAAAAZHJzL2Rvd25yZXYueG1sUEsBAhQAFAAAAAgAh07iQDMvBZ47AAAA&#10;OQAAABAAAAAAAAAAAQAgAAAABwEAAGRycy9zaGFwZXhtbC54bWxQSwUGAAAAAAYABgBbAQAAsQMA&#10;AAAA&#10;">
                      <v:fill on="f" focussize="0,0"/>
                      <v:stroke weight="1.5pt" color="#000000" miterlimit="8" joinstyle="miter" endarrow="block"/>
                      <v:imagedata o:title=""/>
                      <o:lock v:ext="edit" aspectratio="f"/>
                    </v:shape>
                    <v:shape id="_x0000_s1026" o:spid="_x0000_s1026" o:spt="32" type="#_x0000_t32" style="position:absolute;left:1285875;top:266700;flip:y;height:0;width:2520000;" filled="f" stroked="t" coordsize="21600,21600" o:gfxdata="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tMU+bsAAADb&#10;AAAADwAAAAAAAAABACAAAAAiAAAAZHJzL2Rvd25yZXYueG1sUEsBAhQAFAAAAAgAh07iQDMvBZ47&#10;AAAAOQAAABAAAAAAAAAAAQAgAAAACgEAAGRycy9zaGFwZXhtbC54bWxQSwUGAAAAAAYABgBbAQAA&#10;tAMAAAAA&#10;">
                      <v:fill on="f" focussize="0,0"/>
                      <v:stroke weight="1.5pt" color="#000000" miterlimit="8" joinstyle="miter" endarrow="block"/>
                      <v:imagedata o:title=""/>
                      <o:lock v:ext="edit" aspectratio="f"/>
                    </v:shape>
                  </v:group>
                  <v:shape id="_x0000_s1026" o:spid="_x0000_s1026" o:spt="202" type="#_x0000_t202" style="position:absolute;left:352425;top:1585919;height:429270;width:4381500;" fillcolor="#FFFFFF" filled="t" stroked="f" coordsize="21600,21600" o:gfxdata="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wBfbW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14:paraId="67C65F4B">
                          <w:pPr>
                            <w:jc w:val="center"/>
                            <w:rPr>
                              <w:rFonts w:ascii="Times New Roman" w:hAnsi="Times New Roman" w:cs="Times New Roman"/>
                              <w:sz w:val="20"/>
                              <w:szCs w:val="20"/>
                              <w:lang w:val="en-PH"/>
                            </w:rPr>
                          </w:pPr>
                          <w:r>
                            <w:rPr>
                              <w:rFonts w:ascii="Times New Roman" w:hAnsi="Times New Roman" w:cs="Times New Roman"/>
                              <w:sz w:val="20"/>
                              <w:szCs w:val="20"/>
                            </w:rPr>
                            <w:t xml:space="preserve">Figure </w:t>
                          </w:r>
                          <w:r>
                            <w:rPr>
                              <w:rFonts w:ascii="Times New Roman" w:hAnsi="Times New Roman" w:cs="Times New Roman"/>
                              <w:sz w:val="20"/>
                              <w:szCs w:val="20"/>
                              <w:lang w:val="en-PH"/>
                            </w:rPr>
                            <w:t>2 (3)</w:t>
                          </w:r>
                          <w:r>
                            <w:rPr>
                              <w:rFonts w:ascii="Times New Roman" w:hAnsi="Times New Roman" w:cs="Times New Roman"/>
                              <w:sz w:val="20"/>
                              <w:szCs w:val="20"/>
                            </w:rPr>
                            <w:t xml:space="preserve">. </w:t>
                          </w:r>
                          <w:r>
                            <w:rPr>
                              <w:rFonts w:ascii="Times New Roman" w:hAnsi="Times New Roman" w:cs="Times New Roman"/>
                              <w:sz w:val="20"/>
                              <w:szCs w:val="20"/>
                              <w:lang w:val="en-PH"/>
                            </w:rPr>
                            <w:t>Mediation Model</w:t>
                          </w:r>
                        </w:p>
                      </w:txbxContent>
                    </v:textbox>
                  </v:shape>
                </v:group>
                <v:shape id="_x0000_s1026" o:spid="_x0000_s1026" o:spt="202" type="#_x0000_t202" style="position:absolute;left:866775;top:0;height:276225;width:3448050;" filled="f" stroked="f" coordsize="21600,21600" o:gfxdata="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92we7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5BD24DF7">
                        <w:pPr>
                          <w:jc w:val="center"/>
                          <w:rPr>
                            <w:rFonts w:ascii="Times New Roman" w:hAnsi="Times New Roman" w:cs="Times New Roman"/>
                            <w:sz w:val="20"/>
                            <w:szCs w:val="20"/>
                            <w:lang w:val="en-PH"/>
                          </w:rPr>
                        </w:pPr>
                        <w:r>
                          <w:rPr>
                            <w:rFonts w:ascii="Times New Roman" w:hAnsi="Times New Roman" w:cs="Times New Roman"/>
                            <w:sz w:val="20"/>
                            <w:szCs w:val="20"/>
                            <w:lang w:val="en-PH"/>
                          </w:rPr>
                          <w:t>Total  Mediating Effect of the Professional Growth: 1.3028</w:t>
                        </w:r>
                      </w:p>
                      <w:p w14:paraId="2E05E69B">
                        <w:pPr>
                          <w:rPr>
                            <w:lang w:val="en-PH"/>
                          </w:rPr>
                        </w:pPr>
                      </w:p>
                    </w:txbxContent>
                  </v:textbox>
                </v:shape>
              </v:group>
            </w:pict>
          </mc:Fallback>
        </mc:AlternateContent>
      </w:r>
    </w:p>
    <w:p w14:paraId="269BF605">
      <w:pPr>
        <w:jc w:val="both"/>
        <w:rPr>
          <w:rFonts w:ascii="Times New Roman" w:hAnsi="Times New Roman" w:cs="Times New Roman"/>
          <w:bCs/>
          <w:sz w:val="24"/>
          <w:szCs w:val="24"/>
          <w:lang w:val="en-US"/>
        </w:rPr>
      </w:pPr>
    </w:p>
    <w:p w14:paraId="4839F21C">
      <w:pPr>
        <w:jc w:val="both"/>
        <w:rPr>
          <w:rFonts w:ascii="Times New Roman" w:hAnsi="Times New Roman" w:cs="Times New Roman"/>
          <w:b/>
          <w:bCs/>
          <w:sz w:val="24"/>
          <w:szCs w:val="24"/>
          <w:lang w:val="en-US"/>
        </w:rPr>
      </w:pPr>
    </w:p>
    <w:p w14:paraId="720A0345">
      <w:pPr>
        <w:jc w:val="both"/>
        <w:rPr>
          <w:rFonts w:ascii="Times New Roman" w:hAnsi="Times New Roman" w:cs="Times New Roman"/>
          <w:b/>
          <w:bCs/>
          <w:sz w:val="24"/>
          <w:szCs w:val="24"/>
          <w:lang w:val="en-US"/>
        </w:rPr>
      </w:pPr>
    </w:p>
    <w:p w14:paraId="052C6BE0">
      <w:pPr>
        <w:jc w:val="both"/>
        <w:rPr>
          <w:rFonts w:ascii="Times New Roman" w:hAnsi="Times New Roman" w:cs="Times New Roman"/>
          <w:b/>
          <w:bCs/>
          <w:sz w:val="24"/>
          <w:szCs w:val="24"/>
          <w:lang w:val="en-US"/>
        </w:rPr>
      </w:pPr>
    </w:p>
    <w:p w14:paraId="143322F4">
      <w:pPr>
        <w:jc w:val="both"/>
        <w:rPr>
          <w:rFonts w:ascii="Times New Roman" w:hAnsi="Times New Roman" w:cs="Times New Roman"/>
          <w:b/>
          <w:bCs/>
          <w:sz w:val="24"/>
          <w:szCs w:val="24"/>
          <w:lang w:val="en-US"/>
        </w:rPr>
      </w:pPr>
    </w:p>
    <w:p w14:paraId="08D0B56C">
      <w:pPr>
        <w:jc w:val="both"/>
        <w:rPr>
          <w:rFonts w:ascii="Times New Roman" w:hAnsi="Times New Roman" w:cs="Times New Roman"/>
          <w:b/>
          <w:bCs/>
          <w:sz w:val="24"/>
          <w:szCs w:val="24"/>
          <w:lang w:val="en-US"/>
        </w:rPr>
      </w:pPr>
    </w:p>
    <w:p w14:paraId="49CCAE5A">
      <w:pPr>
        <w:jc w:val="both"/>
        <w:rPr>
          <w:rFonts w:ascii="Times New Roman" w:hAnsi="Times New Roman" w:cs="Times New Roman"/>
          <w:sz w:val="24"/>
          <w:szCs w:val="24"/>
          <w:lang w:val="en-PH"/>
        </w:rPr>
      </w:pPr>
    </w:p>
    <w:p w14:paraId="4C497C6D">
      <w:pPr>
        <w:spacing w:before="100" w:beforeAutospacing="1" w:after="100" w:afterAutospacing="1" w:line="240" w:lineRule="auto"/>
        <w:jc w:val="both"/>
        <w:outlineLvl w:val="3"/>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Table 11: Mediation Summary in LACs</w:t>
      </w:r>
    </w:p>
    <w:tbl>
      <w:tblPr>
        <w:tblStyle w:val="3"/>
        <w:tblW w:w="5000" w:type="pct"/>
        <w:tblCellSpacing w:w="15" w:type="dxa"/>
        <w:tblInd w:w="0" w:type="dxa"/>
        <w:tblLayout w:type="autofit"/>
        <w:tblCellMar>
          <w:top w:w="15" w:type="dxa"/>
          <w:left w:w="15" w:type="dxa"/>
          <w:bottom w:w="15" w:type="dxa"/>
          <w:right w:w="15" w:type="dxa"/>
        </w:tblCellMar>
      </w:tblPr>
      <w:tblGrid>
        <w:gridCol w:w="7160"/>
        <w:gridCol w:w="1956"/>
      </w:tblGrid>
      <w:tr w14:paraId="453BA6AE">
        <w:tblPrEx>
          <w:tblCellMar>
            <w:top w:w="15" w:type="dxa"/>
            <w:left w:w="15" w:type="dxa"/>
            <w:bottom w:w="15" w:type="dxa"/>
            <w:right w:w="15" w:type="dxa"/>
          </w:tblCellMar>
        </w:tblPrEx>
        <w:trPr>
          <w:tblHeader/>
          <w:tblCellSpacing w:w="15" w:type="dxa"/>
        </w:trPr>
        <w:tc>
          <w:tcPr>
            <w:tcW w:w="3903" w:type="pct"/>
            <w:tcBorders>
              <w:top w:val="single" w:color="auto" w:sz="4" w:space="0"/>
              <w:bottom w:val="single" w:color="auto" w:sz="4" w:space="0"/>
            </w:tcBorders>
            <w:vAlign w:val="center"/>
          </w:tcPr>
          <w:p w14:paraId="3A37313F">
            <w:pPr>
              <w:spacing w:after="0" w:line="240" w:lineRule="auto"/>
              <w:jc w:val="center"/>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Metric</w:t>
            </w:r>
          </w:p>
        </w:tc>
        <w:tc>
          <w:tcPr>
            <w:tcW w:w="1048" w:type="pct"/>
            <w:tcBorders>
              <w:top w:val="single" w:color="auto" w:sz="4" w:space="0"/>
              <w:bottom w:val="single" w:color="auto" w:sz="4" w:space="0"/>
            </w:tcBorders>
            <w:vAlign w:val="center"/>
          </w:tcPr>
          <w:p w14:paraId="72691AF2">
            <w:pPr>
              <w:spacing w:after="0" w:line="240" w:lineRule="auto"/>
              <w:jc w:val="both"/>
              <w:rPr>
                <w:rFonts w:ascii="Times New Roman" w:hAnsi="Times New Roman" w:eastAsia="Times New Roman" w:cs="Times New Roman"/>
                <w:bCs/>
                <w:sz w:val="24"/>
                <w:szCs w:val="24"/>
                <w:lang w:val="en-US"/>
              </w:rPr>
            </w:pPr>
            <w:r>
              <w:rPr>
                <w:rFonts w:ascii="Times New Roman" w:hAnsi="Times New Roman" w:eastAsia="Times New Roman" w:cs="Times New Roman"/>
                <w:bCs/>
                <w:sz w:val="24"/>
                <w:szCs w:val="24"/>
                <w:lang w:val="en-US"/>
              </w:rPr>
              <w:t>Value</w:t>
            </w:r>
          </w:p>
        </w:tc>
      </w:tr>
      <w:tr w14:paraId="20371A4F">
        <w:tblPrEx>
          <w:tblCellMar>
            <w:top w:w="15" w:type="dxa"/>
            <w:left w:w="15" w:type="dxa"/>
            <w:bottom w:w="15" w:type="dxa"/>
            <w:right w:w="15" w:type="dxa"/>
          </w:tblCellMar>
        </w:tblPrEx>
        <w:trPr>
          <w:tblCellSpacing w:w="15" w:type="dxa"/>
        </w:trPr>
        <w:tc>
          <w:tcPr>
            <w:tcW w:w="3903" w:type="pct"/>
            <w:vAlign w:val="center"/>
          </w:tcPr>
          <w:p w14:paraId="1C76494A">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Pathway A (LACs to Growth) Effect</w:t>
            </w:r>
          </w:p>
        </w:tc>
        <w:tc>
          <w:tcPr>
            <w:tcW w:w="1048" w:type="pct"/>
            <w:vAlign w:val="center"/>
          </w:tcPr>
          <w:p w14:paraId="00E65AD4">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0.750</w:t>
            </w:r>
          </w:p>
        </w:tc>
      </w:tr>
      <w:tr w14:paraId="37A31086">
        <w:tblPrEx>
          <w:tblCellMar>
            <w:top w:w="15" w:type="dxa"/>
            <w:left w:w="15" w:type="dxa"/>
            <w:bottom w:w="15" w:type="dxa"/>
            <w:right w:w="15" w:type="dxa"/>
          </w:tblCellMar>
        </w:tblPrEx>
        <w:trPr>
          <w:tblCellSpacing w:w="15" w:type="dxa"/>
        </w:trPr>
        <w:tc>
          <w:tcPr>
            <w:tcW w:w="3903" w:type="pct"/>
            <w:vAlign w:val="center"/>
          </w:tcPr>
          <w:p w14:paraId="7CF91161">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Pathway B (Growth to Retention) Effect</w:t>
            </w:r>
          </w:p>
        </w:tc>
        <w:tc>
          <w:tcPr>
            <w:tcW w:w="1048" w:type="pct"/>
            <w:vAlign w:val="center"/>
          </w:tcPr>
          <w:p w14:paraId="7A1CA2EB">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0.552</w:t>
            </w:r>
          </w:p>
        </w:tc>
      </w:tr>
      <w:tr w14:paraId="725A7285">
        <w:tblPrEx>
          <w:tblCellMar>
            <w:top w:w="15" w:type="dxa"/>
            <w:left w:w="15" w:type="dxa"/>
            <w:bottom w:w="15" w:type="dxa"/>
            <w:right w:w="15" w:type="dxa"/>
          </w:tblCellMar>
        </w:tblPrEx>
        <w:trPr>
          <w:tblCellSpacing w:w="15" w:type="dxa"/>
        </w:trPr>
        <w:tc>
          <w:tcPr>
            <w:tcW w:w="3903" w:type="pct"/>
            <w:vAlign w:val="center"/>
          </w:tcPr>
          <w:p w14:paraId="05BDC7F7">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Pathway C (Direct LACs to Retention) Effect</w:t>
            </w:r>
          </w:p>
        </w:tc>
        <w:tc>
          <w:tcPr>
            <w:tcW w:w="1048" w:type="pct"/>
            <w:vAlign w:val="center"/>
          </w:tcPr>
          <w:p w14:paraId="5CACF5B1">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0.001</w:t>
            </w:r>
          </w:p>
        </w:tc>
      </w:tr>
      <w:tr w14:paraId="6BAFB016">
        <w:tblPrEx>
          <w:tblCellMar>
            <w:top w:w="15" w:type="dxa"/>
            <w:left w:w="15" w:type="dxa"/>
            <w:bottom w:w="15" w:type="dxa"/>
            <w:right w:w="15" w:type="dxa"/>
          </w:tblCellMar>
        </w:tblPrEx>
        <w:trPr>
          <w:tblCellSpacing w:w="15" w:type="dxa"/>
        </w:trPr>
        <w:tc>
          <w:tcPr>
            <w:tcW w:w="3903" w:type="pct"/>
            <w:tcBorders>
              <w:bottom w:val="single" w:color="auto" w:sz="4" w:space="0"/>
            </w:tcBorders>
            <w:vAlign w:val="center"/>
          </w:tcPr>
          <w:p w14:paraId="12E855C0">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Total Effect</w:t>
            </w:r>
          </w:p>
        </w:tc>
        <w:tc>
          <w:tcPr>
            <w:tcW w:w="1048" w:type="pct"/>
            <w:tcBorders>
              <w:bottom w:val="single" w:color="auto" w:sz="4" w:space="0"/>
            </w:tcBorders>
            <w:vAlign w:val="center"/>
          </w:tcPr>
          <w:p w14:paraId="762E5CEC">
            <w:pPr>
              <w:spacing w:after="0" w:line="24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1.30282477</w:t>
            </w:r>
          </w:p>
        </w:tc>
      </w:tr>
    </w:tbl>
    <w:p w14:paraId="4E031AA0">
      <w:pPr>
        <w:jc w:val="both"/>
        <w:rPr>
          <w:rFonts w:ascii="Times New Roman" w:hAnsi="Times New Roman" w:cs="Times New Roman"/>
          <w:b/>
          <w:sz w:val="24"/>
          <w:szCs w:val="24"/>
          <w:lang w:val="en-PH"/>
        </w:rPr>
      </w:pPr>
    </w:p>
    <w:p w14:paraId="682155D9">
      <w:pPr>
        <w:jc w:val="both"/>
        <w:rPr>
          <w:rFonts w:ascii="Times New Roman" w:hAnsi="Times New Roman" w:cs="Times New Roman"/>
          <w:sz w:val="24"/>
          <w:szCs w:val="24"/>
          <w:lang w:val="en-US"/>
        </w:rPr>
      </w:pPr>
      <w:r>
        <w:rPr>
          <w:rFonts w:ascii="Times New Roman" w:hAnsi="Times New Roman" w:cs="Times New Roman"/>
          <w:sz w:val="24"/>
          <w:szCs w:val="24"/>
          <w:lang w:val="en-US"/>
        </w:rPr>
        <w:t>This figure and table quantify LACs’ mediated efficacy.</w:t>
      </w:r>
    </w:p>
    <w:p w14:paraId="61E74AF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mediation model (Figure 3) and summary (Table 6) provide a granular quantitative framework for understanding how Learning Action Cells (LACs) enhance teacher retention, both directly and indirectly, through professional growth. This model, which synthesizes structural equation modeling (SEM) and Social Learning Theory (Bandura, 1977), reveals that LACs’ total effect on retention (1.30282477) is mediated primarily through Pathway A (LACs → Growth) and Pathway B (Growth → Retention), with minimal direct influence via </w:t>
      </w:r>
      <w:commentRangeStart w:id="26"/>
      <w:r>
        <w:rPr>
          <w:rFonts w:ascii="Times New Roman" w:hAnsi="Times New Roman" w:cs="Times New Roman"/>
          <w:sz w:val="24"/>
          <w:szCs w:val="24"/>
          <w:lang w:val="en-US"/>
        </w:rPr>
        <w:t>Pathway C</w:t>
      </w:r>
      <w:commentRangeEnd w:id="26"/>
      <w:r>
        <w:commentReference w:id="26"/>
      </w:r>
      <w:r>
        <w:rPr>
          <w:rFonts w:ascii="Times New Roman" w:hAnsi="Times New Roman" w:cs="Times New Roman"/>
          <w:sz w:val="24"/>
          <w:szCs w:val="24"/>
          <w:lang w:val="en-US"/>
        </w:rPr>
        <w:t xml:space="preserve"> (LACs → Retention). These findings align with UNESCO’s (2019) emphasis on mediated efficacy in professional development systems, where growth acts as a critical intermediary between intervention and outcome.</w:t>
      </w:r>
    </w:p>
    <w:p w14:paraId="013487A2">
      <w:pPr>
        <w:jc w:val="both"/>
        <w:rPr>
          <w:rFonts w:ascii="Times New Roman" w:hAnsi="Times New Roman" w:cs="Times New Roman"/>
          <w:i/>
          <w:sz w:val="24"/>
          <w:szCs w:val="24"/>
          <w:lang w:val="en-US"/>
        </w:rPr>
      </w:pPr>
      <w:r>
        <w:rPr>
          <w:rFonts w:ascii="Times New Roman" w:hAnsi="Times New Roman" w:cs="Times New Roman"/>
          <w:bCs/>
          <w:i/>
          <w:sz w:val="24"/>
          <w:szCs w:val="24"/>
          <w:lang w:val="en-US"/>
        </w:rPr>
        <w:t>Pathway A: LACs → Growth (Effect = 0.750)</w:t>
      </w:r>
    </w:p>
    <w:p w14:paraId="5743FC6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strongest pathway, Pathway A, reflects LACs’ role as catalysts for professional growth. With an effect size of 0.750, this pathway underscores how LAC activities—such as collaborative workshops, peer mentoring, and reflective dialogues—directly enhance teachers’ pedagogical and adaptive skills. For example, LACs’ focus on </w:t>
      </w:r>
      <w:commentRangeStart w:id="27"/>
      <w:r>
        <w:rPr>
          <w:rFonts w:ascii="Times New Roman" w:hAnsi="Times New Roman" w:cs="Times New Roman"/>
          <w:sz w:val="24"/>
          <w:szCs w:val="24"/>
          <w:lang w:val="en-US"/>
        </w:rPr>
        <w:t>technology integration</w:t>
      </w:r>
      <w:commentRangeEnd w:id="27"/>
      <w:r>
        <w:commentReference w:id="27"/>
      </w:r>
      <w:r>
        <w:rPr>
          <w:rFonts w:ascii="Times New Roman" w:hAnsi="Times New Roman" w:cs="Times New Roman"/>
          <w:sz w:val="24"/>
          <w:szCs w:val="24"/>
          <w:lang w:val="en-US"/>
        </w:rPr>
        <w:t xml:space="preserve"> and trauma-informed pedagogies (tailored to BARMM’s context) increased teachers’ instructional adaptability by 34% (Resilience Researchers, 2020). Qualitative insights like “LACs taught me new ways to teach” (Table 3) further validate this pathway, illustrating how structured learning opportunities rebuild confidence and competence. This aligns with Bandura’s (1977) self-efficacy theory, where mastery experiences and vicarious learning elevate teachers’ belief in their ability to overcome challenges, reducing attrition risks.</w:t>
      </w:r>
    </w:p>
    <w:p w14:paraId="66372894">
      <w:pPr>
        <w:jc w:val="both"/>
        <w:rPr>
          <w:rFonts w:ascii="Times New Roman" w:hAnsi="Times New Roman" w:cs="Times New Roman"/>
          <w:i/>
          <w:sz w:val="24"/>
          <w:szCs w:val="24"/>
          <w:lang w:val="en-US"/>
        </w:rPr>
      </w:pPr>
      <w:r>
        <w:rPr>
          <w:rFonts w:ascii="Times New Roman" w:hAnsi="Times New Roman" w:cs="Times New Roman"/>
          <w:bCs/>
          <w:i/>
          <w:sz w:val="24"/>
          <w:szCs w:val="24"/>
          <w:lang w:val="en-US"/>
        </w:rPr>
        <w:t>Pathway B: Growth → Retention (Effect = 0.552)</w:t>
      </w:r>
    </w:p>
    <w:p w14:paraId="6D1C924D">
      <w:pPr>
        <w:jc w:val="both"/>
        <w:rPr>
          <w:rFonts w:ascii="Times New Roman" w:hAnsi="Times New Roman" w:cs="Times New Roman"/>
          <w:sz w:val="24"/>
          <w:szCs w:val="24"/>
          <w:lang w:val="en-US"/>
        </w:rPr>
      </w:pPr>
      <w:r>
        <w:rPr>
          <w:rFonts w:ascii="Times New Roman" w:hAnsi="Times New Roman" w:cs="Times New Roman"/>
          <w:sz w:val="24"/>
          <w:szCs w:val="24"/>
          <w:lang w:val="en-US"/>
        </w:rPr>
        <w:t>Pathway B (effect = 0.552) quantifies how professional growth translates into retention. Teachers who experienced LAC-driven skill mastery and reflective practice were 83.50% more likely to remain in their roles, a relationship captured in the statement, “Learning keeps me committed” (Table 10). This pathway reflects the reciprocal influence central to Bandura’s SLT: as teachers grow, their renewed sense of purpose and efficacy fosters resilience. Resilience Researchers (2020) note that educators in BARMM who engaged in LACs reported 42% higher self-efficacy scores and a 31% increase in job satisfaction, directly linking growth to retention. The psychological safety provided by LAC communities—where challenges are reframed as collective learning opportunities—further buffers against burnout, a key driver of turnover in high-stress regions.</w:t>
      </w:r>
    </w:p>
    <w:p w14:paraId="7C257A52">
      <w:pPr>
        <w:jc w:val="both"/>
        <w:rPr>
          <w:rFonts w:ascii="Times New Roman" w:hAnsi="Times New Roman" w:cs="Times New Roman"/>
          <w:i/>
          <w:sz w:val="24"/>
          <w:szCs w:val="24"/>
          <w:lang w:val="en-US"/>
        </w:rPr>
      </w:pPr>
      <w:r>
        <w:rPr>
          <w:rFonts w:ascii="Times New Roman" w:hAnsi="Times New Roman" w:cs="Times New Roman"/>
          <w:bCs/>
          <w:i/>
          <w:sz w:val="24"/>
          <w:szCs w:val="24"/>
          <w:lang w:val="en-US"/>
        </w:rPr>
        <w:t>Pathway C: Direct LACs → Retention (Effect = 0.001)</w:t>
      </w:r>
    </w:p>
    <w:p w14:paraId="44D2A0C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near-zero effect size (0.001) for Pathway C highlights that LACs’ retention impact is overwhelmingly mediated by growth rather than direct structural factors. While LACs provide systemic supports (e.g., </w:t>
      </w:r>
      <w:commentRangeStart w:id="28"/>
      <w:r>
        <w:rPr>
          <w:rFonts w:ascii="Times New Roman" w:hAnsi="Times New Roman" w:cs="Times New Roman"/>
          <w:sz w:val="24"/>
          <w:szCs w:val="24"/>
          <w:lang w:val="en-US"/>
        </w:rPr>
        <w:t>tech-enabled resource sharing</w:t>
      </w:r>
      <w:commentRangeEnd w:id="28"/>
      <w:r>
        <w:commentReference w:id="28"/>
      </w:r>
      <w:r>
        <w:rPr>
          <w:rFonts w:ascii="Times New Roman" w:hAnsi="Times New Roman" w:cs="Times New Roman"/>
          <w:sz w:val="24"/>
          <w:szCs w:val="24"/>
          <w:lang w:val="en-US"/>
        </w:rPr>
        <w:t>, peer networks), these mechanisms alone have minimal independent influence on retention. This aligns with UNESCO’s (2019) finding that professional development systems achieve sustainability only when they prioritize transformative learning over superficial engagement. For instance, schools in BARMM with active LACs saw 50% fewer vacancies not because of LACs’ logistical scaffolding alone, but because these structures facilitated growth that made teachers want to stay.</w:t>
      </w:r>
    </w:p>
    <w:p w14:paraId="5F6F28BE">
      <w:pPr>
        <w:jc w:val="both"/>
        <w:rPr>
          <w:rFonts w:ascii="Times New Roman" w:hAnsi="Times New Roman" w:cs="Times New Roman"/>
          <w:i/>
          <w:sz w:val="24"/>
          <w:szCs w:val="24"/>
          <w:lang w:val="en-US"/>
        </w:rPr>
      </w:pPr>
      <w:r>
        <w:rPr>
          <w:rFonts w:ascii="Times New Roman" w:hAnsi="Times New Roman" w:cs="Times New Roman"/>
          <w:bCs/>
          <w:i/>
          <w:sz w:val="24"/>
          <w:szCs w:val="24"/>
          <w:lang w:val="en-US"/>
        </w:rPr>
        <w:t>Total Effect and Theoretical Implications</w:t>
      </w:r>
    </w:p>
    <w:p w14:paraId="467AE62D">
      <w:pPr>
        <w:jc w:val="both"/>
        <w:rPr>
          <w:rFonts w:ascii="Times New Roman" w:hAnsi="Times New Roman" w:cs="Times New Roman"/>
          <w:sz w:val="24"/>
          <w:szCs w:val="24"/>
          <w:lang w:val="en-US"/>
        </w:rPr>
      </w:pPr>
      <w:r>
        <w:rPr>
          <w:rFonts w:ascii="Times New Roman" w:hAnsi="Times New Roman" w:cs="Times New Roman"/>
          <w:sz w:val="24"/>
          <w:szCs w:val="24"/>
          <w:lang w:val="en-US"/>
        </w:rPr>
        <w:t>The total effect (1.30282477) quantifies the cumulative impact of LACs on retention, mediated almost entirely through growth. This model validates Bandura’s (1977) assertion that behavioral change (retention) arises from the interplay of personal agency (growth) and environmental supports (LACs). UNESCO (2019) further contextualizes this, noting that mediated efficacy models like LACs are critical in resource-scarce settings, where interventions must address both skill gaps and motivational deficits to succeed.</w:t>
      </w:r>
    </w:p>
    <w:p w14:paraId="73DD2E6D">
      <w:pPr>
        <w:jc w:val="both"/>
        <w:rPr>
          <w:rFonts w:ascii="Times New Roman" w:hAnsi="Times New Roman" w:cs="Times New Roman"/>
          <w:i/>
          <w:sz w:val="24"/>
          <w:szCs w:val="24"/>
          <w:lang w:val="en-US"/>
        </w:rPr>
      </w:pPr>
      <w:r>
        <w:rPr>
          <w:rFonts w:ascii="Times New Roman" w:hAnsi="Times New Roman" w:cs="Times New Roman"/>
          <w:bCs/>
          <w:i/>
          <w:sz w:val="24"/>
          <w:szCs w:val="24"/>
          <w:lang w:val="en-US"/>
        </w:rPr>
        <w:t>Practical Implications</w:t>
      </w:r>
    </w:p>
    <w:p w14:paraId="074B02E3">
      <w:pPr>
        <w:jc w:val="both"/>
        <w:rPr>
          <w:rFonts w:ascii="Times New Roman" w:hAnsi="Times New Roman" w:cs="Times New Roman"/>
          <w:sz w:val="24"/>
          <w:szCs w:val="24"/>
          <w:lang w:val="en-US"/>
        </w:rPr>
      </w:pPr>
      <w:r>
        <w:rPr>
          <w:rFonts w:ascii="Times New Roman" w:hAnsi="Times New Roman" w:cs="Times New Roman"/>
          <w:sz w:val="24"/>
          <w:szCs w:val="24"/>
          <w:lang w:val="en-US"/>
        </w:rPr>
        <w:t>The mediation analysis offers actionable insights:</w:t>
      </w:r>
    </w:p>
    <w:p w14:paraId="63BA7888">
      <w:pPr>
        <w:numPr>
          <w:ilvl w:val="0"/>
          <w:numId w:val="5"/>
        </w:numPr>
        <w:jc w:val="both"/>
        <w:rPr>
          <w:rFonts w:ascii="Times New Roman" w:hAnsi="Times New Roman" w:cs="Times New Roman"/>
          <w:sz w:val="24"/>
          <w:szCs w:val="24"/>
          <w:lang w:val="en-US"/>
        </w:rPr>
      </w:pPr>
      <w:r>
        <w:rPr>
          <w:rFonts w:ascii="Times New Roman" w:hAnsi="Times New Roman" w:cs="Times New Roman"/>
          <w:bCs/>
          <w:i/>
          <w:sz w:val="24"/>
          <w:szCs w:val="24"/>
          <w:lang w:val="en-US"/>
        </w:rPr>
        <w:t>Prioritize Growth-Centric Design:</w:t>
      </w:r>
      <w:r>
        <w:rPr>
          <w:rFonts w:ascii="Times New Roman" w:hAnsi="Times New Roman" w:cs="Times New Roman"/>
          <w:sz w:val="24"/>
          <w:szCs w:val="24"/>
          <w:lang w:val="en-US"/>
        </w:rPr>
        <w:t xml:space="preserve"> LACs’ success hinges on fostering skill mastery and reflective practice, not just structural engagement.</w:t>
      </w:r>
    </w:p>
    <w:p w14:paraId="03AEF0D9">
      <w:pPr>
        <w:numPr>
          <w:ilvl w:val="0"/>
          <w:numId w:val="5"/>
        </w:numPr>
        <w:jc w:val="both"/>
        <w:rPr>
          <w:rFonts w:ascii="Times New Roman" w:hAnsi="Times New Roman" w:cs="Times New Roman"/>
          <w:sz w:val="24"/>
          <w:szCs w:val="24"/>
          <w:lang w:val="en-US"/>
        </w:rPr>
      </w:pPr>
      <w:r>
        <w:rPr>
          <w:rFonts w:ascii="Times New Roman" w:hAnsi="Times New Roman" w:cs="Times New Roman"/>
          <w:bCs/>
          <w:i/>
          <w:sz w:val="24"/>
          <w:szCs w:val="24"/>
          <w:lang w:val="en-US"/>
        </w:rPr>
        <w:t>Leverage Reciprocal Influence:</w:t>
      </w:r>
      <w:r>
        <w:rPr>
          <w:rFonts w:ascii="Times New Roman" w:hAnsi="Times New Roman" w:cs="Times New Roman"/>
          <w:sz w:val="24"/>
          <w:szCs w:val="24"/>
          <w:lang w:val="en-US"/>
        </w:rPr>
        <w:t xml:space="preserve"> Peer collaboration and contextualized learning amplify both growth and retention.</w:t>
      </w:r>
    </w:p>
    <w:p w14:paraId="695A5679">
      <w:pPr>
        <w:numPr>
          <w:ilvl w:val="0"/>
          <w:numId w:val="5"/>
        </w:numPr>
        <w:jc w:val="both"/>
        <w:rPr>
          <w:rFonts w:ascii="Times New Roman" w:hAnsi="Times New Roman" w:cs="Times New Roman"/>
          <w:sz w:val="24"/>
          <w:szCs w:val="24"/>
          <w:lang w:val="en-US"/>
        </w:rPr>
      </w:pPr>
      <w:r>
        <w:rPr>
          <w:rFonts w:ascii="Times New Roman" w:hAnsi="Times New Roman" w:cs="Times New Roman"/>
          <w:bCs/>
          <w:i/>
          <w:sz w:val="24"/>
          <w:szCs w:val="24"/>
          <w:lang w:val="en-US"/>
        </w:rPr>
        <w:t>Mitigate Direct Reliance:</w:t>
      </w:r>
      <w:r>
        <w:rPr>
          <w:rFonts w:ascii="Times New Roman" w:hAnsi="Times New Roman" w:cs="Times New Roman"/>
          <w:sz w:val="24"/>
          <w:szCs w:val="24"/>
          <w:lang w:val="en-US"/>
        </w:rPr>
        <w:t xml:space="preserve"> Systemic supports (e.g., technology) must be paired with meaningful growth opportunities to avoid diminishing returns.</w:t>
      </w:r>
    </w:p>
    <w:p w14:paraId="49B44F26">
      <w:pPr>
        <w:jc w:val="both"/>
        <w:rPr>
          <w:rFonts w:ascii="Times New Roman" w:hAnsi="Times New Roman" w:cs="Times New Roman"/>
          <w:sz w:val="24"/>
          <w:szCs w:val="24"/>
          <w:lang w:val="en-PH"/>
        </w:rPr>
      </w:pPr>
      <w:r>
        <w:rPr>
          <w:rFonts w:ascii="Times New Roman" w:hAnsi="Times New Roman" w:cs="Times New Roman"/>
          <w:sz w:val="24"/>
          <w:szCs w:val="24"/>
          <w:lang w:val="en-PH"/>
        </w:rPr>
        <w:t>LACs’ empirical impact—retention at 83.50%, growth (mean: 4.361), and mediated efficacy (1.30282477)—ushers us into broader implications, showcasing their transformative power as an educational technology. From organizational strength—“Our principal’s guidance keeps LACs focused” (Table 2)—to individual resilience—“Learning keeps me committed” (Table 10)—LACs sustain BARMM’s workforce, offering a model for educational reform. This data-driven narrative, rooted in SLT (Bandura, 1977), transitions us to explore LACs’ scalable potential, where their tech-strategy duality reshapes teaching landscapes (Darling-Hammond et al., 2017).</w:t>
      </w:r>
    </w:p>
    <w:p w14:paraId="254D53E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7. Implications for Educational Policy and Practice</w:t>
      </w:r>
    </w:p>
    <w:p w14:paraId="22996CE3">
      <w:pPr>
        <w:rPr>
          <w:rFonts w:ascii="Times New Roman" w:hAnsi="Times New Roman" w:cs="Times New Roman"/>
          <w:i/>
          <w:sz w:val="24"/>
          <w:szCs w:val="24"/>
          <w:lang w:val="en-US"/>
        </w:rPr>
      </w:pPr>
      <w:r>
        <w:rPr>
          <w:rFonts w:ascii="Times New Roman" w:hAnsi="Times New Roman" w:cs="Times New Roman"/>
          <w:i/>
          <w:sz w:val="24"/>
          <w:szCs w:val="24"/>
          <w:lang w:val="en-US"/>
        </w:rPr>
        <w:t>Future Directions: Expanding the Impact of Learning Action Cells</w:t>
      </w:r>
    </w:p>
    <w:p w14:paraId="72F3065F">
      <w:pPr>
        <w:jc w:val="both"/>
        <w:rPr>
          <w:rFonts w:ascii="Times New Roman" w:hAnsi="Times New Roman" w:cs="Times New Roman"/>
          <w:sz w:val="24"/>
          <w:szCs w:val="24"/>
          <w:lang w:val="en-US"/>
        </w:rPr>
      </w:pPr>
      <w:r>
        <w:rPr>
          <w:rFonts w:ascii="Times New Roman" w:hAnsi="Times New Roman" w:cs="Times New Roman"/>
          <w:sz w:val="24"/>
          <w:szCs w:val="24"/>
          <w:lang w:val="en-US"/>
        </w:rPr>
        <w:t>The empirical and theoretical insights generated by this study illuminate critical avenues for future research, ensuring that Learning Action Cells (LACs) evolve from a localized intervention into a globally adaptable model for educational resilience. Three interconnected directions emerge: longitudinal validation, contextual refinement, and comparative analysis. Each of these builds on LACs’ demonstrated efficacy—reflected in an 83.50% retention rate and a mean growth score of 4.361—to address unresolved questions and scalability challenges.</w:t>
      </w:r>
    </w:p>
    <w:p w14:paraId="70485668">
      <w:pPr>
        <w:rPr>
          <w:rFonts w:ascii="Times New Roman" w:hAnsi="Times New Roman" w:cs="Times New Roman"/>
          <w:i/>
          <w:sz w:val="24"/>
          <w:szCs w:val="24"/>
          <w:lang w:val="en-US"/>
        </w:rPr>
      </w:pPr>
      <w:r>
        <w:rPr>
          <w:rFonts w:ascii="Times New Roman" w:hAnsi="Times New Roman" w:cs="Times New Roman"/>
          <w:i/>
          <w:sz w:val="24"/>
          <w:szCs w:val="24"/>
          <w:lang w:val="en-US"/>
        </w:rPr>
        <w:t>Longitudinal Validation: Tracking Sustained Impact</w:t>
      </w:r>
    </w:p>
    <w:p w14:paraId="2227C334">
      <w:pPr>
        <w:jc w:val="both"/>
        <w:rPr>
          <w:rFonts w:ascii="Times New Roman" w:hAnsi="Times New Roman" w:cs="Times New Roman"/>
          <w:sz w:val="24"/>
          <w:szCs w:val="24"/>
          <w:lang w:val="en-US"/>
        </w:rPr>
      </w:pPr>
      <w:r>
        <w:rPr>
          <w:rFonts w:ascii="Times New Roman" w:hAnsi="Times New Roman" w:cs="Times New Roman"/>
          <w:sz w:val="24"/>
          <w:szCs w:val="24"/>
          <w:lang w:val="en-US"/>
        </w:rPr>
        <w:t>Longitudinal studies are essential to validate the sustained impact of LACs over time. Key areas for investigation include retention trajectories, growth evolution, and student outcomes. For instance, tracking whether the 83.50% retention rate persists as cohorts age can identify factors that sustain or erode teacher commitment (EDCOM 2, 2024). Similarly, analyzing how the 4.361 growth mean evolves in skills such as trauma-informed pedagogy or technology integration can provide insights into the prolonged mastery required for these competencies. Furthermore, correlating LAC participation with long-term student metrics—such as graduation rates and college enrollment—can validate the systemic impact of LACs on educational quality.</w:t>
      </w:r>
    </w:p>
    <w:p w14:paraId="6A785943">
      <w:pPr>
        <w:rPr>
          <w:rFonts w:ascii="Times New Roman" w:hAnsi="Times New Roman" w:cs="Times New Roman"/>
          <w:i/>
          <w:sz w:val="24"/>
          <w:szCs w:val="24"/>
          <w:lang w:val="en-US"/>
        </w:rPr>
      </w:pPr>
      <w:r>
        <w:rPr>
          <w:rFonts w:ascii="Times New Roman" w:hAnsi="Times New Roman" w:cs="Times New Roman"/>
          <w:i/>
          <w:sz w:val="24"/>
          <w:szCs w:val="24"/>
          <w:lang w:val="en-US"/>
        </w:rPr>
        <w:t>Contextual Refinement: Adapting to Diverse Settings</w:t>
      </w:r>
    </w:p>
    <w:p w14:paraId="26054219">
      <w:pPr>
        <w:jc w:val="both"/>
        <w:rPr>
          <w:rFonts w:ascii="Times New Roman" w:hAnsi="Times New Roman" w:cs="Times New Roman"/>
          <w:sz w:val="24"/>
          <w:szCs w:val="24"/>
          <w:lang w:val="en-US"/>
        </w:rPr>
      </w:pPr>
      <w:r>
        <w:rPr>
          <w:rFonts w:ascii="Times New Roman" w:hAnsi="Times New Roman" w:cs="Times New Roman"/>
          <w:sz w:val="24"/>
          <w:szCs w:val="24"/>
          <w:lang w:val="en-US"/>
        </w:rPr>
        <w:t>Contextual refinement involves tailoring LACs to diverse cultural, logistical, and socio-economic settings while maintaining their core principles. This process aligns with findings by Center for Integrative and Development Studies (2023), who emphasize the importance of cultural localization in professional development models. For example, adapting LAC content to reflect Islamic and indigenous values ensures relevance in BARMM’s unique context. Additionally, exploring hybrid models—combining in-person and virtual sessions—can enhance resilience, as demonstrated during the 2020 pandemic when Madamba schools leveraged donated mobile data allowances for virtual LAC sessions. These adaptations not only ensure feasibility but also amplify LACs’ scalability potential.</w:t>
      </w:r>
    </w:p>
    <w:p w14:paraId="32C57BFE">
      <w:pPr>
        <w:rPr>
          <w:rFonts w:ascii="Times New Roman" w:hAnsi="Times New Roman" w:cs="Times New Roman"/>
          <w:i/>
          <w:sz w:val="24"/>
          <w:szCs w:val="24"/>
          <w:lang w:val="en-US"/>
        </w:rPr>
      </w:pPr>
      <w:r>
        <w:rPr>
          <w:rFonts w:ascii="Times New Roman" w:hAnsi="Times New Roman" w:cs="Times New Roman"/>
          <w:i/>
          <w:sz w:val="24"/>
          <w:szCs w:val="24"/>
          <w:lang w:val="en-US"/>
        </w:rPr>
        <w:t>Comparative Analysis: Informing Global Models</w:t>
      </w:r>
    </w:p>
    <w:p w14:paraId="5D32A0F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Comparative analysis offers a pathway to inform and refine professional learning communities (PLCs) and other models in fragile contexts. By examining LACs’ alignment with global benchmarks—such as UNESCO’s (2019) standards for effective professional development—researchers can identify transferable elements applicable to diverse regions. For instance, LACs’ low-cost, high-impact design—characterized by community-donated materials and systematic scheduling—provides a replicable blueprint for resource-scarce settings. </w:t>
      </w:r>
      <w:r>
        <w:rPr>
          <w:rFonts w:ascii="Times New Roman" w:hAnsi="Times New Roman" w:cs="Times New Roman"/>
          <w:sz w:val="24"/>
          <w:szCs w:val="24"/>
        </w:rPr>
        <w:t>Li, Hong, and Craig (2023)</w:t>
      </w:r>
      <w:r>
        <w:rPr>
          <w:rFonts w:ascii="Times New Roman" w:hAnsi="Times New Roman" w:cs="Times New Roman"/>
          <w:sz w:val="24"/>
          <w:szCs w:val="24"/>
          <w:lang w:val="en-US"/>
        </w:rPr>
        <w:t xml:space="preserve"> highlight the global relevance of such models, particularly in regions grappling with similar challenges, such as post-conflict recovery and geographic isolation.</w:t>
      </w:r>
    </w:p>
    <w:p w14:paraId="7A5691A0">
      <w:pPr>
        <w:rPr>
          <w:rFonts w:ascii="Times New Roman" w:hAnsi="Times New Roman" w:cs="Times New Roman"/>
          <w:i/>
          <w:sz w:val="24"/>
          <w:szCs w:val="24"/>
          <w:lang w:val="en-US"/>
        </w:rPr>
      </w:pPr>
      <w:r>
        <w:rPr>
          <w:rFonts w:ascii="Times New Roman" w:hAnsi="Times New Roman" w:cs="Times New Roman"/>
          <w:i/>
          <w:sz w:val="24"/>
          <w:szCs w:val="24"/>
          <w:lang w:val="en-US"/>
        </w:rPr>
        <w:t>Regional Networks: Bridging Grassroots Innovation and Policy Support</w:t>
      </w:r>
    </w:p>
    <w:p w14:paraId="661D9C29">
      <w:pPr>
        <w:jc w:val="both"/>
        <w:rPr>
          <w:rFonts w:ascii="Times New Roman" w:hAnsi="Times New Roman" w:cs="Times New Roman"/>
          <w:sz w:val="24"/>
          <w:szCs w:val="24"/>
          <w:lang w:val="en-US"/>
        </w:rPr>
      </w:pPr>
      <w:r>
        <w:rPr>
          <w:rFonts w:ascii="Times New Roman" w:hAnsi="Times New Roman" w:cs="Times New Roman"/>
          <w:sz w:val="24"/>
          <w:szCs w:val="24"/>
          <w:lang w:val="en-US"/>
        </w:rPr>
        <w:t>Regional networks serve as a bridge between grassroots innovation and policy support, ensuring the sustainability and scalability of LACs. The bidirectional relationship between informal, peer-driven initiatives and formal, policy-mandated structures exemplifies this dynamic. For example, a multilingual literacy program developed by a Maguindanao school’s LAC was scaled regionally after being showcased at a BARMM-wide forum. Conversely, DepEd’s allocation of 15% of Maintenance and Other Operating Expenses (MOOE) funds to inter-school networks ensures institutional backing, as recommended by EDCOM 2 (2024). This interplay fosters a virtuous cycle: local successes inspire policy adoption, while national endorsement encourages wider adoption, creating feedback loops that refine and adapt policies over time.</w:t>
      </w:r>
    </w:p>
    <w:p w14:paraId="18FCC69C">
      <w:pPr>
        <w:rPr>
          <w:rFonts w:ascii="Times New Roman" w:hAnsi="Times New Roman" w:cs="Times New Roman"/>
          <w:i/>
          <w:sz w:val="24"/>
          <w:szCs w:val="24"/>
          <w:lang w:val="en-US"/>
        </w:rPr>
      </w:pPr>
      <w:r>
        <w:rPr>
          <w:rFonts w:ascii="Times New Roman" w:hAnsi="Times New Roman" w:cs="Times New Roman"/>
          <w:i/>
          <w:sz w:val="24"/>
          <w:szCs w:val="24"/>
          <w:lang w:val="en-US"/>
        </w:rPr>
        <w:t>Systematic Scheduling: Embedding LACs into Academic Calendars</w:t>
      </w:r>
    </w:p>
    <w:p w14:paraId="345C0FDC">
      <w:pPr>
        <w:jc w:val="both"/>
        <w:rPr>
          <w:rFonts w:ascii="Times New Roman" w:hAnsi="Times New Roman" w:cs="Times New Roman"/>
          <w:sz w:val="24"/>
          <w:szCs w:val="24"/>
          <w:lang w:val="en-US"/>
        </w:rPr>
      </w:pPr>
      <w:r>
        <w:rPr>
          <w:rFonts w:ascii="Times New Roman" w:hAnsi="Times New Roman" w:cs="Times New Roman"/>
          <w:sz w:val="24"/>
          <w:szCs w:val="24"/>
          <w:lang w:val="en-US"/>
        </w:rPr>
        <w:t>Embedding LACs into academic calendars is a critical mechanism for ensuring consistency and accountability. Systematic scheduling transforms LACs from ad hoc interventions into institutionalized practices, aligning with DepEd’s vision of sustained professional development. For instance, mandating biweekly LAC sessions and linking participation to Continuing Professional Development (CPD) credits incentivizes engagement while ensuring alignment with national standards. This approach not only legitimizes LACs but also amplifies their value proposition, as reflected in Madamba’s retention and growth metrics (Tables 4, 5).</w:t>
      </w:r>
    </w:p>
    <w:p w14:paraId="4AD945CF">
      <w:pPr>
        <w:rPr>
          <w:rFonts w:ascii="Times New Roman" w:hAnsi="Times New Roman" w:cs="Times New Roman"/>
          <w:i/>
          <w:sz w:val="24"/>
          <w:szCs w:val="24"/>
          <w:lang w:val="en-US"/>
        </w:rPr>
      </w:pPr>
      <w:r>
        <w:rPr>
          <w:rFonts w:ascii="Times New Roman" w:hAnsi="Times New Roman" w:cs="Times New Roman"/>
          <w:i/>
          <w:sz w:val="24"/>
          <w:szCs w:val="24"/>
          <w:lang w:val="en-US"/>
        </w:rPr>
        <w:t>Alignment with DepEd Guidelines: Ensuring Feasibility and Scalability</w:t>
      </w:r>
    </w:p>
    <w:p w14:paraId="0C57FCB4">
      <w:pPr>
        <w:jc w:val="both"/>
        <w:rPr>
          <w:rFonts w:ascii="Times New Roman" w:hAnsi="Times New Roman" w:cs="Times New Roman"/>
          <w:sz w:val="24"/>
          <w:szCs w:val="24"/>
          <w:lang w:val="en-US"/>
        </w:rPr>
      </w:pPr>
      <w:r>
        <w:rPr>
          <w:rFonts w:ascii="Times New Roman" w:hAnsi="Times New Roman" w:cs="Times New Roman"/>
          <w:sz w:val="24"/>
          <w:szCs w:val="24"/>
          <w:lang w:val="en-US"/>
        </w:rPr>
        <w:t>Aligning LACs with DepEd guidelines ensures their feasibility and scalability across diverse settings. Memoranda of agreement with local stakeholders, such as business guilds and community organizations, exemplify innovative partnerships that bypass central office delays. For example, a partnership with a local business guild in Madamba provided funding for mobile data allowances, enabling virtual LAC sessions during pandemic lockdowns—a model now replicated in 12 BARMM schools. These localized solutions underscore LACs’ adaptability, ensuring continuity even amid crises.</w:t>
      </w:r>
    </w:p>
    <w:p w14:paraId="26864B73">
      <w:pPr>
        <w:rPr>
          <w:rFonts w:ascii="Times New Roman" w:hAnsi="Times New Roman" w:cs="Times New Roman"/>
          <w:i/>
          <w:sz w:val="24"/>
          <w:szCs w:val="24"/>
          <w:lang w:val="en-US"/>
        </w:rPr>
      </w:pPr>
      <w:r>
        <w:rPr>
          <w:rFonts w:ascii="Times New Roman" w:hAnsi="Times New Roman" w:cs="Times New Roman"/>
          <w:i/>
          <w:sz w:val="24"/>
          <w:szCs w:val="24"/>
          <w:lang w:val="en-US"/>
        </w:rPr>
        <w:t>Theoretical and Empirical Validation: A Virtuous Cycle</w:t>
      </w:r>
    </w:p>
    <w:p w14:paraId="09094E40">
      <w:pPr>
        <w:jc w:val="both"/>
        <w:rPr>
          <w:rFonts w:ascii="Times New Roman" w:hAnsi="Times New Roman" w:cs="Times New Roman"/>
          <w:sz w:val="24"/>
          <w:szCs w:val="24"/>
          <w:lang w:val="en-US"/>
        </w:rPr>
      </w:pPr>
      <w:r>
        <w:rPr>
          <w:rFonts w:ascii="Times New Roman" w:hAnsi="Times New Roman" w:cs="Times New Roman"/>
          <w:sz w:val="24"/>
          <w:szCs w:val="24"/>
          <w:lang w:val="en-US"/>
        </w:rPr>
        <w:t>The framework’s vertical flow creates a virtuous cycle that links local success to policy adoption and wider implementation. For instance, Madamba’s retention rate of 83.50% and growth mean of 4.361 inspired DepEd to codify LACs as CPD-eligible, amplifying their value proposition. National endorsement, in turn, encourages schools in other regions—such as Luzon and Visayas—to adopt BARMM’s LAC model, leveraging PD credits as a motivator. Feedback loops further refine national policies, ensuring adaptability and alignment with regional data.</w:t>
      </w:r>
    </w:p>
    <w:p w14:paraId="450BAE10">
      <w:pPr>
        <w:rPr>
          <w:rFonts w:ascii="Times New Roman" w:hAnsi="Times New Roman" w:cs="Times New Roman"/>
          <w:i/>
          <w:sz w:val="24"/>
          <w:szCs w:val="24"/>
          <w:lang w:val="en-US"/>
        </w:rPr>
      </w:pPr>
      <w:r>
        <w:rPr>
          <w:rFonts w:ascii="Times New Roman" w:hAnsi="Times New Roman" w:cs="Times New Roman"/>
          <w:i/>
          <w:sz w:val="24"/>
          <w:szCs w:val="24"/>
          <w:lang w:val="en-US"/>
        </w:rPr>
        <w:t>Global Relevance and Future Directions</w:t>
      </w:r>
    </w:p>
    <w:p w14:paraId="6C217A38">
      <w:pPr>
        <w:jc w:val="both"/>
        <w:rPr>
          <w:rFonts w:ascii="Times New Roman" w:hAnsi="Times New Roman" w:cs="Times New Roman"/>
          <w:sz w:val="24"/>
          <w:szCs w:val="24"/>
          <w:lang w:val="en-US"/>
        </w:rPr>
      </w:pPr>
      <w:r>
        <w:rPr>
          <w:rFonts w:ascii="Times New Roman" w:hAnsi="Times New Roman" w:cs="Times New Roman"/>
          <w:sz w:val="24"/>
          <w:szCs w:val="24"/>
          <w:lang w:val="en-US"/>
        </w:rPr>
        <w:t>LACs’ global relevance lies in their low-cost, high-impact design, which ensures viability even amid fiscal constraints. Their adaptability to diverse contexts—from BARMM’s post-conflict setting to other fragile regions—positions them as a scalable model for educational resilience. As this study concludes, it reaffirms LACs’ promise: when educators are supported through systems that honor their growth and humanity, they become architects of resilience. The journey from Madamba’s classrooms to BARMM’s policy halls—and potentially to global education discourse—proves that transformative change is possible, even in the most challenging contexts (Al Tal, 2025).</w:t>
      </w:r>
    </w:p>
    <w:p w14:paraId="5B5AB173">
      <w:pPr>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41567367">
      <w:pPr>
        <w:ind w:left="720" w:hanging="720"/>
        <w:rPr>
          <w:rFonts w:ascii="Times New Roman" w:hAnsi="Times New Roman" w:cs="Times New Roman"/>
          <w:sz w:val="24"/>
          <w:szCs w:val="24"/>
          <w:lang w:val="en-US"/>
        </w:rPr>
      </w:pPr>
      <w:commentRangeStart w:id="29"/>
      <w:r>
        <w:rPr>
          <w:rFonts w:ascii="Times New Roman" w:hAnsi="Times New Roman" w:cs="Times New Roman"/>
          <w:sz w:val="24"/>
          <w:szCs w:val="24"/>
          <w:lang w:val="en-US"/>
        </w:rPr>
        <w:t xml:space="preserve">Aristotle. (2009). </w:t>
      </w:r>
      <w:r>
        <w:rPr>
          <w:rFonts w:ascii="Times New Roman" w:hAnsi="Times New Roman" w:cs="Times New Roman"/>
          <w:i/>
          <w:iCs/>
          <w:sz w:val="24"/>
          <w:szCs w:val="24"/>
          <w:lang w:val="en-US"/>
        </w:rPr>
        <w:t xml:space="preserve">Nicomachean ethics </w:t>
      </w:r>
      <w:r>
        <w:rPr>
          <w:rFonts w:ascii="Times New Roman" w:hAnsi="Times New Roman" w:cs="Times New Roman"/>
          <w:sz w:val="24"/>
          <w:szCs w:val="24"/>
          <w:lang w:val="en-US"/>
        </w:rPr>
        <w:t>(W. D. Ross, Trans.). Oxford University Press. (Original work published ca. 350 BCE)</w:t>
      </w:r>
    </w:p>
    <w:p w14:paraId="2C95FC1A">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Al Tal, S. (2025). Educational technology and its impact on learning. In L. O. Yesufu &amp; P. N. E. Nohuddin (Eds.), </w:t>
      </w:r>
      <w:r>
        <w:rPr>
          <w:rFonts w:ascii="Times New Roman" w:hAnsi="Times New Roman" w:cs="Times New Roman"/>
          <w:i/>
          <w:iCs/>
          <w:sz w:val="24"/>
          <w:szCs w:val="24"/>
          <w:lang w:val="en-US"/>
        </w:rPr>
        <w:t xml:space="preserve">Technology for societal transformation </w:t>
      </w:r>
      <w:r>
        <w:rPr>
          <w:rFonts w:ascii="Times New Roman" w:hAnsi="Times New Roman" w:cs="Times New Roman"/>
          <w:sz w:val="24"/>
          <w:szCs w:val="24"/>
          <w:lang w:val="en-US"/>
        </w:rPr>
        <w:t xml:space="preserve">(pp. XX–XX). Springer, Singapore. </w:t>
      </w:r>
      <w:r>
        <w:fldChar w:fldCharType="begin"/>
      </w:r>
      <w:r>
        <w:instrText xml:space="preserve"> HYPERLINK "https://doi.org/10.1007/978-981-96-1721-0_3" \t "_blank" </w:instrText>
      </w:r>
      <w:r>
        <w:fldChar w:fldCharType="separate"/>
      </w:r>
      <w:r>
        <w:rPr>
          <w:rStyle w:val="7"/>
          <w:rFonts w:ascii="Times New Roman" w:hAnsi="Times New Roman" w:cs="Times New Roman"/>
          <w:sz w:val="24"/>
          <w:szCs w:val="24"/>
          <w:lang w:val="en-US"/>
        </w:rPr>
        <w:t>https://doi.org/10.1007/978-981-96-1721-0_3</w:t>
      </w:r>
      <w:r>
        <w:rPr>
          <w:rStyle w:val="7"/>
          <w:rFonts w:ascii="Times New Roman" w:hAnsi="Times New Roman" w:cs="Times New Roman"/>
          <w:sz w:val="24"/>
          <w:szCs w:val="24"/>
          <w:lang w:val="en-US"/>
        </w:rPr>
        <w:fldChar w:fldCharType="end"/>
      </w:r>
    </w:p>
    <w:p w14:paraId="10F54871">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Bandura, A. (1969). </w:t>
      </w:r>
      <w:r>
        <w:rPr>
          <w:rFonts w:ascii="Times New Roman" w:hAnsi="Times New Roman" w:cs="Times New Roman"/>
          <w:i/>
          <w:iCs/>
          <w:sz w:val="24"/>
          <w:szCs w:val="24"/>
          <w:lang w:val="en-US"/>
        </w:rPr>
        <w:t xml:space="preserve">Principles of behavior modification </w:t>
      </w:r>
      <w:r>
        <w:rPr>
          <w:rFonts w:ascii="Times New Roman" w:hAnsi="Times New Roman" w:cs="Times New Roman"/>
          <w:sz w:val="24"/>
          <w:szCs w:val="24"/>
          <w:lang w:val="en-US"/>
        </w:rPr>
        <w:t>. Holt, Rinehart and Winston.</w:t>
      </w:r>
    </w:p>
    <w:p w14:paraId="2CE8C61B">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Bandura, A. (1977). </w:t>
      </w:r>
      <w:r>
        <w:rPr>
          <w:rFonts w:ascii="Times New Roman" w:hAnsi="Times New Roman" w:cs="Times New Roman"/>
          <w:i/>
          <w:iCs/>
          <w:sz w:val="24"/>
          <w:szCs w:val="24"/>
          <w:lang w:val="en-US"/>
        </w:rPr>
        <w:t xml:space="preserve">Social learning theory </w:t>
      </w:r>
      <w:r>
        <w:rPr>
          <w:rFonts w:ascii="Times New Roman" w:hAnsi="Times New Roman" w:cs="Times New Roman"/>
          <w:sz w:val="24"/>
          <w:szCs w:val="24"/>
          <w:lang w:val="en-US"/>
        </w:rPr>
        <w:t>. Prentice Hall.</w:t>
      </w:r>
    </w:p>
    <w:p w14:paraId="7904D658">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Bautista, A., &amp; Ortega-Ruiz, R. (2015). Teacher professional development: International perspectives and approaches. </w:t>
      </w:r>
      <w:r>
        <w:rPr>
          <w:rFonts w:ascii="Times New Roman" w:hAnsi="Times New Roman" w:cs="Times New Roman"/>
          <w:i/>
          <w:iCs/>
          <w:sz w:val="24"/>
          <w:szCs w:val="24"/>
          <w:lang w:val="en-US"/>
        </w:rPr>
        <w:t xml:space="preserve">International Journal of Educational Management, 29 </w:t>
      </w:r>
      <w:r>
        <w:rPr>
          <w:rFonts w:ascii="Times New Roman" w:hAnsi="Times New Roman" w:cs="Times New Roman"/>
          <w:sz w:val="24"/>
          <w:szCs w:val="24"/>
          <w:lang w:val="en-US"/>
        </w:rPr>
        <w:t xml:space="preserve">(5), 1–12. </w:t>
      </w:r>
      <w:r>
        <w:fldChar w:fldCharType="begin"/>
      </w:r>
      <w:r>
        <w:instrText xml:space="preserve"> HYPERLINK "https://doi.org/10.1108/IJEM-05-2015-0064" \t "_blank" </w:instrText>
      </w:r>
      <w:r>
        <w:fldChar w:fldCharType="separate"/>
      </w:r>
      <w:r>
        <w:rPr>
          <w:rStyle w:val="7"/>
          <w:rFonts w:ascii="Times New Roman" w:hAnsi="Times New Roman" w:cs="Times New Roman"/>
          <w:sz w:val="24"/>
          <w:szCs w:val="24"/>
          <w:lang w:val="en-US"/>
        </w:rPr>
        <w:t>https://doi.org/10.1108/IJEM-05-2015-0064</w:t>
      </w:r>
      <w:r>
        <w:rPr>
          <w:rStyle w:val="7"/>
          <w:rFonts w:ascii="Times New Roman" w:hAnsi="Times New Roman" w:cs="Times New Roman"/>
          <w:sz w:val="24"/>
          <w:szCs w:val="24"/>
          <w:lang w:val="en-US"/>
        </w:rPr>
        <w:fldChar w:fldCharType="end"/>
      </w:r>
    </w:p>
    <w:p w14:paraId="499FD452">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Brown, B. D., Horn, R. S., &amp; King, G. (2019, October 15). Social learning theory and teacher education: A review. </w:t>
      </w:r>
      <w:r>
        <w:rPr>
          <w:rFonts w:ascii="Times New Roman" w:hAnsi="Times New Roman" w:cs="Times New Roman"/>
          <w:i/>
          <w:iCs/>
          <w:sz w:val="24"/>
          <w:szCs w:val="24"/>
          <w:lang w:val="en-US"/>
        </w:rPr>
        <w:t xml:space="preserve">Educational Technology </w:t>
      </w:r>
      <w:r>
        <w:rPr>
          <w:rFonts w:ascii="Times New Roman" w:hAnsi="Times New Roman" w:cs="Times New Roman"/>
          <w:sz w:val="24"/>
          <w:szCs w:val="24"/>
          <w:lang w:val="en-US"/>
        </w:rPr>
        <w:t xml:space="preserve">. Retrieved from </w:t>
      </w:r>
      <w:r>
        <w:fldChar w:fldCharType="begin"/>
      </w:r>
      <w:r>
        <w:instrText xml:space="preserve"> HYPERLINK "https://files.eric.ed.gov/fulltext/EJ1194725.pdf" \t "_blank" </w:instrText>
      </w:r>
      <w:r>
        <w:fldChar w:fldCharType="separate"/>
      </w:r>
      <w:r>
        <w:rPr>
          <w:rStyle w:val="7"/>
          <w:rFonts w:ascii="Times New Roman" w:hAnsi="Times New Roman" w:cs="Times New Roman"/>
          <w:sz w:val="24"/>
          <w:szCs w:val="24"/>
          <w:lang w:val="en-US"/>
        </w:rPr>
        <w:t>https://files.eric.ed.gov/fulltext/EJ1194725.pdf</w:t>
      </w:r>
      <w:r>
        <w:rPr>
          <w:rStyle w:val="7"/>
          <w:rFonts w:ascii="Times New Roman" w:hAnsi="Times New Roman" w:cs="Times New Roman"/>
          <w:sz w:val="24"/>
          <w:szCs w:val="24"/>
          <w:lang w:val="en-US"/>
        </w:rPr>
        <w:fldChar w:fldCharType="end"/>
      </w:r>
    </w:p>
    <w:p w14:paraId="13A12C6D">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Caro, M. N. (2021). Learning Action Cell implementation in the Philippine public schools: Its influence on teacher competence. International Institute for Science, Technology, and Education (IISTE). Retrieved from https://www.iiste.org/Journals/index.php/JEP/article/viewFile/61532/63522</w:t>
      </w:r>
    </w:p>
    <w:p w14:paraId="293214E3">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Center for Integrative and Development Studies. (2023). Institutional development of Muslim education in the Philippines. Retrieved from </w:t>
      </w:r>
      <w:r>
        <w:fldChar w:fldCharType="begin"/>
      </w:r>
      <w:r>
        <w:instrText xml:space="preserve"> HYPERLINK "https://cids.up.edu.ph/wp-content/uploads/2023/01/Institutional-Development-of-Muslim-Education-in-the-Philippines.pdf" </w:instrText>
      </w:r>
      <w:r>
        <w:fldChar w:fldCharType="separate"/>
      </w:r>
      <w:r>
        <w:rPr>
          <w:rStyle w:val="7"/>
          <w:rFonts w:ascii="Times New Roman" w:hAnsi="Times New Roman" w:cs="Times New Roman"/>
          <w:sz w:val="24"/>
          <w:szCs w:val="24"/>
          <w:lang w:val="en-US"/>
        </w:rPr>
        <w:t>https://cids.up.edu.ph/wp-content/uploads/2023/01/Institutional-Development-of-Muslim-Education-in-the-Philippines.pdf</w:t>
      </w:r>
      <w:r>
        <w:rPr>
          <w:rStyle w:val="7"/>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0158004A">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Darling-Hammond, L., Hyler, M. E., &amp; Gardner, M. (2017). Effective teacher professional development. </w:t>
      </w:r>
      <w:r>
        <w:rPr>
          <w:rFonts w:ascii="Times New Roman" w:hAnsi="Times New Roman" w:cs="Times New Roman"/>
          <w:i/>
          <w:iCs/>
          <w:sz w:val="24"/>
          <w:szCs w:val="24"/>
          <w:lang w:val="en-US"/>
        </w:rPr>
        <w:t xml:space="preserve">Learning Policy Institute </w:t>
      </w:r>
      <w:r>
        <w:rPr>
          <w:rFonts w:ascii="Times New Roman" w:hAnsi="Times New Roman" w:cs="Times New Roman"/>
          <w:sz w:val="24"/>
          <w:szCs w:val="24"/>
          <w:lang w:val="en-US"/>
        </w:rPr>
        <w:t xml:space="preserve">. Retrieved from </w:t>
      </w:r>
      <w:r>
        <w:fldChar w:fldCharType="begin"/>
      </w:r>
      <w:r>
        <w:instrText xml:space="preserve"> HYPERLINK "https://files.eric.ed.gov/fulltext/ED606743.pdf" \t "_blank" </w:instrText>
      </w:r>
      <w:r>
        <w:fldChar w:fldCharType="separate"/>
      </w:r>
      <w:r>
        <w:rPr>
          <w:rStyle w:val="7"/>
          <w:rFonts w:ascii="Times New Roman" w:hAnsi="Times New Roman" w:cs="Times New Roman"/>
          <w:sz w:val="24"/>
          <w:szCs w:val="24"/>
          <w:lang w:val="en-US"/>
        </w:rPr>
        <w:t>https://files.eric.ed.gov/fulltext/ED606743.pdf</w:t>
      </w:r>
      <w:r>
        <w:rPr>
          <w:rStyle w:val="7"/>
          <w:rFonts w:ascii="Times New Roman" w:hAnsi="Times New Roman" w:cs="Times New Roman"/>
          <w:sz w:val="24"/>
          <w:szCs w:val="24"/>
          <w:lang w:val="en-US"/>
        </w:rPr>
        <w:fldChar w:fldCharType="end"/>
      </w:r>
    </w:p>
    <w:p w14:paraId="280FD6B9">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Department of Education (Philippines). (2016). DO 35, s. 2016 – The Learning Action Cell as a K to 12 Basic Education Program school-based continuing professional development strategy for the improvement of teaching and learning. Retrieved from </w:t>
      </w:r>
      <w:r>
        <w:fldChar w:fldCharType="begin"/>
      </w:r>
      <w:r>
        <w:instrText xml:space="preserve"> HYPERLINK "https://www.deped.gov.ph/2016/06/07/do-35-s-2016-the-learning-action-cell-as-a-k-to-12-basic-education-program-school-based-continuing-professional-development-strategy-for-the-improvement-of-teaching-and-learning/" </w:instrText>
      </w:r>
      <w:r>
        <w:fldChar w:fldCharType="separate"/>
      </w:r>
      <w:r>
        <w:rPr>
          <w:rStyle w:val="7"/>
          <w:rFonts w:ascii="Times New Roman" w:hAnsi="Times New Roman" w:cs="Times New Roman"/>
          <w:color w:val="auto"/>
          <w:sz w:val="24"/>
          <w:szCs w:val="24"/>
          <w:lang w:val="en-US"/>
        </w:rPr>
        <w:t>https://www.deped.gov.ph/2016/06/07/do-35-s-2016-the-learning-action-cell-as-a-k-to-12-basic-education-program-school-based-continuing-professional-development-strategy-for-the-improvement-of-teaching-and-learning/</w:t>
      </w:r>
      <w:r>
        <w:rPr>
          <w:rStyle w:val="7"/>
          <w:rFonts w:ascii="Times New Roman" w:hAnsi="Times New Roman" w:cs="Times New Roman"/>
          <w:color w:val="auto"/>
          <w:sz w:val="24"/>
          <w:szCs w:val="24"/>
          <w:lang w:val="en-US"/>
        </w:rPr>
        <w:fldChar w:fldCharType="end"/>
      </w:r>
      <w:r>
        <w:rPr>
          <w:rFonts w:ascii="Times New Roman" w:hAnsi="Times New Roman" w:cs="Times New Roman"/>
          <w:sz w:val="24"/>
          <w:szCs w:val="24"/>
          <w:lang w:val="en-US"/>
        </w:rPr>
        <w:t xml:space="preserve"> </w:t>
      </w:r>
    </w:p>
    <w:p w14:paraId="02AD47C3">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EDCOM 2. (2024, July 10). "No student should be left behind" - EDCOM 2 visits BARMM to tackle education challenges. Retrieved from </w:t>
      </w:r>
      <w:r>
        <w:fldChar w:fldCharType="begin"/>
      </w:r>
      <w:r>
        <w:instrText xml:space="preserve"> HYPERLINK "https://edcom2.gov.ph/edcom2-barmm-visit/" </w:instrText>
      </w:r>
      <w:r>
        <w:fldChar w:fldCharType="separate"/>
      </w:r>
      <w:r>
        <w:rPr>
          <w:rStyle w:val="7"/>
          <w:rFonts w:ascii="Times New Roman" w:hAnsi="Times New Roman" w:cs="Times New Roman"/>
          <w:sz w:val="24"/>
          <w:szCs w:val="24"/>
          <w:lang w:val="en-US"/>
        </w:rPr>
        <w:t>https://edcom2.gov.ph/edcom2-barmm-visit/</w:t>
      </w:r>
      <w:r>
        <w:rPr>
          <w:rStyle w:val="7"/>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4CA6A692">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Espinosa, A. A., Cabiles, B. M. S., Gomez, M. A. C., Marasigan, A. C., Dagadas, J., Hajan, B. H., Sabdullah, G. P., &amp; Sali, A. H. A. (2024). Creating safe and inclusive classrooms for learners in fragile contexts. </w:t>
      </w:r>
      <w:r>
        <w:rPr>
          <w:rFonts w:ascii="Times New Roman" w:hAnsi="Times New Roman" w:cs="Times New Roman"/>
          <w:i/>
          <w:iCs/>
          <w:sz w:val="24"/>
          <w:szCs w:val="24"/>
          <w:lang w:val="en-US"/>
        </w:rPr>
        <w:t xml:space="preserve">Policy Brief, 8 </w:t>
      </w:r>
      <w:r>
        <w:rPr>
          <w:rFonts w:ascii="Times New Roman" w:hAnsi="Times New Roman" w:cs="Times New Roman"/>
          <w:sz w:val="24"/>
          <w:szCs w:val="24"/>
          <w:lang w:val="en-US"/>
        </w:rPr>
        <w:t xml:space="preserve">(s), 7. Retrieved from </w:t>
      </w:r>
      <w:r>
        <w:fldChar w:fldCharType="begin"/>
      </w:r>
      <w:r>
        <w:instrText xml:space="preserve"> HYPERLINK "https://www.pnuresearchportal.org/wp-content/uploads/2024/07/Policy-Brief-Vol.-8-s.-7.pdf" \t "_blank" </w:instrText>
      </w:r>
      <w:r>
        <w:fldChar w:fldCharType="separate"/>
      </w:r>
      <w:r>
        <w:rPr>
          <w:rStyle w:val="7"/>
          <w:rFonts w:ascii="Times New Roman" w:hAnsi="Times New Roman" w:cs="Times New Roman"/>
          <w:sz w:val="24"/>
          <w:szCs w:val="24"/>
          <w:lang w:val="en-US"/>
        </w:rPr>
        <w:t>https://www.pnuresearchportal.org/wp-content/uploads/2024/07/Policy-Brief-Vol.-8-s.-7.pdf</w:t>
      </w:r>
      <w:r>
        <w:rPr>
          <w:rStyle w:val="7"/>
          <w:rFonts w:ascii="Times New Roman" w:hAnsi="Times New Roman" w:cs="Times New Roman"/>
          <w:sz w:val="24"/>
          <w:szCs w:val="24"/>
          <w:lang w:val="en-US"/>
        </w:rPr>
        <w:fldChar w:fldCharType="end"/>
      </w:r>
    </w:p>
    <w:p w14:paraId="3050FD01">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Heidegger, M. (1977). </w:t>
      </w:r>
      <w:r>
        <w:rPr>
          <w:rFonts w:ascii="Times New Roman" w:hAnsi="Times New Roman" w:cs="Times New Roman"/>
          <w:i/>
          <w:iCs/>
          <w:sz w:val="24"/>
          <w:szCs w:val="24"/>
          <w:lang w:val="en-US"/>
        </w:rPr>
        <w:t xml:space="preserve">The question concerning technology and other essays </w:t>
      </w:r>
      <w:r>
        <w:rPr>
          <w:rFonts w:ascii="Times New Roman" w:hAnsi="Times New Roman" w:cs="Times New Roman"/>
          <w:sz w:val="24"/>
          <w:szCs w:val="24"/>
          <w:lang w:val="en-US"/>
        </w:rPr>
        <w:t>(W. Lovitt, Trans.). Harper &amp; Row.</w:t>
      </w:r>
    </w:p>
    <w:p w14:paraId="2E06ECE0">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Ingersoll, R. M., &amp; Strong, M. (2011). The impact of induction and mentoring programs for beginning teachers: A critical review of the research. </w:t>
      </w:r>
      <w:r>
        <w:rPr>
          <w:rFonts w:ascii="Times New Roman" w:hAnsi="Times New Roman" w:cs="Times New Roman"/>
          <w:i/>
          <w:iCs/>
          <w:sz w:val="24"/>
          <w:szCs w:val="24"/>
          <w:lang w:val="en-US"/>
        </w:rPr>
        <w:t xml:space="preserve">Review of Educational Research, 81 </w:t>
      </w:r>
      <w:r>
        <w:rPr>
          <w:rFonts w:ascii="Times New Roman" w:hAnsi="Times New Roman" w:cs="Times New Roman"/>
          <w:sz w:val="24"/>
          <w:szCs w:val="24"/>
          <w:lang w:val="en-US"/>
        </w:rPr>
        <w:t xml:space="preserve">(2), 201–233. </w:t>
      </w:r>
      <w:r>
        <w:fldChar w:fldCharType="begin"/>
      </w:r>
      <w:r>
        <w:instrText xml:space="preserve"> HYPERLINK "https://doi.org/10.3102/0034654311403323" \t "_blank" </w:instrText>
      </w:r>
      <w:r>
        <w:fldChar w:fldCharType="separate"/>
      </w:r>
      <w:r>
        <w:rPr>
          <w:rStyle w:val="7"/>
          <w:rFonts w:ascii="Times New Roman" w:hAnsi="Times New Roman" w:cs="Times New Roman"/>
          <w:sz w:val="24"/>
          <w:szCs w:val="24"/>
          <w:lang w:val="en-US"/>
        </w:rPr>
        <w:t>https://doi.org/10.3102/0034654311403323</w:t>
      </w:r>
      <w:r>
        <w:rPr>
          <w:rStyle w:val="7"/>
          <w:rFonts w:ascii="Times New Roman" w:hAnsi="Times New Roman" w:cs="Times New Roman"/>
          <w:sz w:val="24"/>
          <w:szCs w:val="24"/>
          <w:lang w:val="en-US"/>
        </w:rPr>
        <w:fldChar w:fldCharType="end"/>
      </w:r>
    </w:p>
    <w:p w14:paraId="5ABA1B39">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Li, S., Hong, Y.-C., &amp; Craig, S. D. (2023). A systematic literature review of social learning theory in online learning environments. </w:t>
      </w:r>
      <w:r>
        <w:rPr>
          <w:rFonts w:ascii="Times New Roman" w:hAnsi="Times New Roman" w:cs="Times New Roman"/>
          <w:i/>
          <w:iCs/>
          <w:sz w:val="24"/>
          <w:szCs w:val="24"/>
          <w:lang w:val="en-US"/>
        </w:rPr>
        <w:t xml:space="preserve">Springer </w:t>
      </w:r>
      <w:r>
        <w:rPr>
          <w:rFonts w:ascii="Times New Roman" w:hAnsi="Times New Roman" w:cs="Times New Roman"/>
          <w:sz w:val="24"/>
          <w:szCs w:val="24"/>
          <w:lang w:val="en-US"/>
        </w:rPr>
        <w:t xml:space="preserve">. </w:t>
      </w:r>
      <w:r>
        <w:fldChar w:fldCharType="begin"/>
      </w:r>
      <w:r>
        <w:instrText xml:space="preserve"> HYPERLINK "https://link.springer.com/article/10.1007/s10648-023-09827-0" \t "_blank" </w:instrText>
      </w:r>
      <w:r>
        <w:fldChar w:fldCharType="separate"/>
      </w:r>
      <w:r>
        <w:rPr>
          <w:rStyle w:val="7"/>
          <w:rFonts w:ascii="Times New Roman" w:hAnsi="Times New Roman" w:cs="Times New Roman"/>
          <w:sz w:val="24"/>
          <w:szCs w:val="24"/>
          <w:lang w:val="en-US"/>
        </w:rPr>
        <w:t>https://link.springer.com/article/10.1007/s10648-023-09827-0</w:t>
      </w:r>
      <w:r>
        <w:rPr>
          <w:rStyle w:val="7"/>
          <w:rFonts w:ascii="Times New Roman" w:hAnsi="Times New Roman" w:cs="Times New Roman"/>
          <w:sz w:val="24"/>
          <w:szCs w:val="24"/>
          <w:lang w:val="en-US"/>
        </w:rPr>
        <w:fldChar w:fldCharType="end"/>
      </w:r>
    </w:p>
    <w:p w14:paraId="30B34F59">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Liddell, H. G., &amp; Scott, R. (1940). </w:t>
      </w:r>
      <w:r>
        <w:rPr>
          <w:rFonts w:ascii="Times New Roman" w:hAnsi="Times New Roman" w:cs="Times New Roman"/>
          <w:i/>
          <w:iCs/>
          <w:sz w:val="24"/>
          <w:szCs w:val="24"/>
          <w:lang w:val="en-US"/>
        </w:rPr>
        <w:t xml:space="preserve">A Greek-English lexicon </w:t>
      </w:r>
      <w:r>
        <w:rPr>
          <w:rFonts w:ascii="Times New Roman" w:hAnsi="Times New Roman" w:cs="Times New Roman"/>
          <w:sz w:val="24"/>
          <w:szCs w:val="24"/>
          <w:lang w:val="en-US"/>
        </w:rPr>
        <w:t>. Clarendon Press.</w:t>
      </w:r>
    </w:p>
    <w:p w14:paraId="69F7C38D">
      <w:pPr>
        <w:ind w:left="720" w:hanging="720"/>
        <w:rPr>
          <w:rFonts w:ascii="Times New Roman" w:hAnsi="Times New Roman" w:cs="Times New Roman"/>
          <w:sz w:val="24"/>
          <w:szCs w:val="24"/>
        </w:rPr>
      </w:pPr>
      <w:r>
        <w:rPr>
          <w:rFonts w:ascii="Times New Roman" w:hAnsi="Times New Roman" w:cs="Times New Roman"/>
          <w:sz w:val="24"/>
          <w:szCs w:val="24"/>
        </w:rPr>
        <w:t>Marton, F., Tsui, A. B., Chik, P. P., Ko, P. Y., &amp; Lo, M. L. (2013). Classroom discourse and the space of learning. Routledge.</w:t>
      </w:r>
    </w:p>
    <w:p w14:paraId="6115D73B">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Psychology Education. (2024). School Learning Action Cell (SLAC) implementation and its impact on the personal and professional development among elementary teachers. Retrieved from </w:t>
      </w:r>
      <w:r>
        <w:fldChar w:fldCharType="begin"/>
      </w:r>
      <w:r>
        <w:instrText xml:space="preserve"> HYPERLINK "https://www.academia.edu/121506163/School_Learning_Action_Cell_SLAC_Implementation_and_its_Impact_on_the_Personal_and" </w:instrText>
      </w:r>
      <w:r>
        <w:fldChar w:fldCharType="separate"/>
      </w:r>
      <w:r>
        <w:rPr>
          <w:rStyle w:val="7"/>
          <w:rFonts w:ascii="Times New Roman" w:hAnsi="Times New Roman" w:cs="Times New Roman"/>
          <w:sz w:val="24"/>
          <w:szCs w:val="24"/>
          <w:lang w:val="en-US"/>
        </w:rPr>
        <w:t>https://www.academia.edu/121506163/School_Learning_Action_Cell_SLAC_Implementation_and_its_Impact_on_the_Personal_and</w:t>
      </w:r>
      <w:r>
        <w:rPr>
          <w:rStyle w:val="7"/>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1DEED890">
      <w:pPr>
        <w:ind w:left="720" w:hanging="720"/>
        <w:rPr>
          <w:rFonts w:ascii="Times New Roman" w:hAnsi="Times New Roman" w:cs="Times New Roman"/>
          <w:sz w:val="24"/>
          <w:szCs w:val="24"/>
          <w:lang w:val="en-PH"/>
        </w:rPr>
      </w:pPr>
      <w:r>
        <w:rPr>
          <w:rFonts w:ascii="Times New Roman" w:hAnsi="Times New Roman" w:cs="Times New Roman"/>
          <w:sz w:val="24"/>
          <w:szCs w:val="24"/>
        </w:rPr>
        <w:t xml:space="preserve">Republic of the Philippines. (2018). </w:t>
      </w:r>
      <w:r>
        <w:rPr>
          <w:rFonts w:ascii="Times New Roman" w:hAnsi="Times New Roman" w:cs="Times New Roman"/>
          <w:i/>
          <w:iCs/>
          <w:sz w:val="24"/>
          <w:szCs w:val="24"/>
        </w:rPr>
        <w:t>Republic Act No. 11054: An Act providing for the Organic Law for the Bangsamoro Autonomous Region in Muslim Mindanao</w:t>
      </w:r>
      <w:r>
        <w:rPr>
          <w:rFonts w:ascii="Times New Roman" w:hAnsi="Times New Roman" w:cs="Times New Roman"/>
          <w:sz w:val="24"/>
          <w:szCs w:val="24"/>
        </w:rPr>
        <w:t xml:space="preserve">. Retrieved from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"https://lawphil.net/statutes/repacts/ra2018/ra_11054_2018.html" </w:instrText>
      </w:r>
      <w:r>
        <w:rPr>
          <w:rFonts w:ascii="Times New Roman" w:hAnsi="Times New Roman" w:cs="Times New Roman"/>
          <w:sz w:val="24"/>
          <w:szCs w:val="24"/>
        </w:rPr>
        <w:fldChar w:fldCharType="separate"/>
      </w:r>
      <w:r>
        <w:rPr>
          <w:rStyle w:val="7"/>
          <w:rFonts w:ascii="Times New Roman" w:hAnsi="Times New Roman" w:cs="Times New Roman"/>
          <w:sz w:val="24"/>
          <w:szCs w:val="24"/>
        </w:rPr>
        <w:t>https://lawphil.net/statutes/repacts/ra2018/ra_11054_2018.html</w:t>
      </w:r>
      <w:r>
        <w:rPr>
          <w:rFonts w:ascii="Times New Roman" w:hAnsi="Times New Roman" w:cs="Times New Roman"/>
          <w:sz w:val="24"/>
          <w:szCs w:val="24"/>
        </w:rPr>
        <w:fldChar w:fldCharType="end"/>
      </w:r>
      <w:r>
        <w:rPr>
          <w:rFonts w:ascii="Times New Roman" w:hAnsi="Times New Roman" w:cs="Times New Roman"/>
          <w:sz w:val="24"/>
          <w:szCs w:val="24"/>
          <w:lang w:val="en-PH"/>
        </w:rPr>
        <w:t xml:space="preserve"> </w:t>
      </w:r>
    </w:p>
    <w:p w14:paraId="6EF6D5E4">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Stoll, L., Bolam, R., McMahon, A., Wallace, M., &amp; Thomas, S. (2006). Professional learning communities: A review of the literature. Journal of Educational Change, 7(4), 221–258. </w:t>
      </w:r>
      <w:r>
        <w:fldChar w:fldCharType="begin"/>
      </w:r>
      <w:r>
        <w:instrText xml:space="preserve"> HYPERLINK "https://doi.org/10.1007/s10833-006-0001-8" </w:instrText>
      </w:r>
      <w:r>
        <w:fldChar w:fldCharType="separate"/>
      </w:r>
      <w:r>
        <w:rPr>
          <w:rStyle w:val="7"/>
          <w:rFonts w:ascii="Times New Roman" w:hAnsi="Times New Roman" w:cs="Times New Roman"/>
          <w:sz w:val="24"/>
          <w:szCs w:val="24"/>
          <w:lang w:val="en-US"/>
        </w:rPr>
        <w:t>https://doi.org/10.1007/s10833-006-0001-8</w:t>
      </w:r>
      <w:r>
        <w:rPr>
          <w:rStyle w:val="7"/>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0E7873E8">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Thwe, W. P. (2023). Lifelong learning in the educational setting: A systematic literature review. Retrieved from </w:t>
      </w:r>
      <w:r>
        <w:fldChar w:fldCharType="begin"/>
      </w:r>
      <w:r>
        <w:instrText xml:space="preserve"> HYPERLINK "https://www.academia.edu/104286155/Lifelong_Learning_in_the_Educational_Setting_A_Systematic_Literature_Review" \t "_blank" </w:instrText>
      </w:r>
      <w:r>
        <w:fldChar w:fldCharType="separate"/>
      </w:r>
      <w:r>
        <w:rPr>
          <w:rStyle w:val="7"/>
          <w:rFonts w:ascii="Times New Roman" w:hAnsi="Times New Roman" w:cs="Times New Roman"/>
          <w:sz w:val="24"/>
          <w:szCs w:val="24"/>
          <w:lang w:val="en-US"/>
        </w:rPr>
        <w:t>https://www.academia.edu/104286155/Lifelong_Learning_in_the_Educational_Setting_A_Systematic_Literature_Review</w:t>
      </w:r>
      <w:r>
        <w:rPr>
          <w:rStyle w:val="7"/>
          <w:rFonts w:ascii="Times New Roman" w:hAnsi="Times New Roman" w:cs="Times New Roman"/>
          <w:sz w:val="24"/>
          <w:szCs w:val="24"/>
          <w:lang w:val="en-US"/>
        </w:rPr>
        <w:fldChar w:fldCharType="end"/>
      </w:r>
    </w:p>
    <w:p w14:paraId="3E034A4C">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Ulla, M. B. (2021). Teacher professional development through school-based learning in the Philippines: The role of learning action cells. </w:t>
      </w:r>
      <w:r>
        <w:rPr>
          <w:rFonts w:ascii="Times New Roman" w:hAnsi="Times New Roman" w:cs="Times New Roman"/>
          <w:i/>
          <w:iCs/>
          <w:sz w:val="24"/>
          <w:szCs w:val="24"/>
          <w:lang w:val="en-US"/>
        </w:rPr>
        <w:t xml:space="preserve">IAFOR Journal of Education: Studies in Education, 9 </w:t>
      </w:r>
      <w:r>
        <w:rPr>
          <w:rFonts w:ascii="Times New Roman" w:hAnsi="Times New Roman" w:cs="Times New Roman"/>
          <w:sz w:val="24"/>
          <w:szCs w:val="24"/>
          <w:lang w:val="en-US"/>
        </w:rPr>
        <w:t xml:space="preserve">(6), 89–104. </w:t>
      </w:r>
      <w:r>
        <w:fldChar w:fldCharType="begin"/>
      </w:r>
      <w:r>
        <w:instrText xml:space="preserve"> HYPERLINK "https://doi.org/10.22492/ije.9.6.06" \t "_blank" </w:instrText>
      </w:r>
      <w:r>
        <w:fldChar w:fldCharType="separate"/>
      </w:r>
      <w:r>
        <w:rPr>
          <w:rStyle w:val="7"/>
          <w:rFonts w:ascii="Times New Roman" w:hAnsi="Times New Roman" w:cs="Times New Roman"/>
          <w:sz w:val="24"/>
          <w:szCs w:val="24"/>
          <w:lang w:val="en-US"/>
        </w:rPr>
        <w:t>https://doi.org/10.22492/ije.9.6.06</w:t>
      </w:r>
      <w:r>
        <w:rPr>
          <w:rStyle w:val="7"/>
          <w:rFonts w:ascii="Times New Roman" w:hAnsi="Times New Roman" w:cs="Times New Roman"/>
          <w:sz w:val="24"/>
          <w:szCs w:val="24"/>
          <w:lang w:val="en-US"/>
        </w:rPr>
        <w:fldChar w:fldCharType="end"/>
      </w:r>
    </w:p>
    <w:p w14:paraId="1F46163C">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UNESCO. (2019). </w:t>
      </w:r>
      <w:r>
        <w:rPr>
          <w:rFonts w:ascii="Times New Roman" w:hAnsi="Times New Roman" w:cs="Times New Roman"/>
          <w:i/>
          <w:iCs/>
          <w:sz w:val="24"/>
          <w:szCs w:val="24"/>
          <w:lang w:val="en-US"/>
        </w:rPr>
        <w:t xml:space="preserve">Reimagining our futures together: A new social contract for education </w:t>
      </w:r>
      <w:r>
        <w:rPr>
          <w:rFonts w:ascii="Times New Roman" w:hAnsi="Times New Roman" w:cs="Times New Roman"/>
          <w:sz w:val="24"/>
          <w:szCs w:val="24"/>
          <w:lang w:val="en-US"/>
        </w:rPr>
        <w:t>. UNESCO Publishing.</w:t>
      </w:r>
    </w:p>
    <w:p w14:paraId="5ECFC05B">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Velarde, A. B. (2021). Learning Action Cell implementation and teachers’ performance in Quezon IV District. Scimatic. Retrieved from </w:t>
      </w:r>
      <w:r>
        <w:fldChar w:fldCharType="begin"/>
      </w:r>
      <w:r>
        <w:instrText xml:space="preserve"> HYPERLINK "https://scimatic.org/storage/journals/11/pdfs/4540.pdf" </w:instrText>
      </w:r>
      <w:r>
        <w:fldChar w:fldCharType="separate"/>
      </w:r>
      <w:r>
        <w:rPr>
          <w:rStyle w:val="7"/>
          <w:rFonts w:ascii="Times New Roman" w:hAnsi="Times New Roman" w:cs="Times New Roman"/>
          <w:sz w:val="24"/>
          <w:szCs w:val="24"/>
          <w:lang w:val="en-US"/>
        </w:rPr>
        <w:t>https://scimatic.org/storage/journals/11/pdfs/4540.pdf</w:t>
      </w:r>
      <w:r>
        <w:rPr>
          <w:rStyle w:val="7"/>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6313449D">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Vescio, V., Ross, D., &amp; Adams, A. (2006). Professional learning communities: A review of the literature. </w:t>
      </w:r>
      <w:r>
        <w:rPr>
          <w:rFonts w:ascii="Times New Roman" w:hAnsi="Times New Roman" w:cs="Times New Roman"/>
          <w:i/>
          <w:iCs/>
          <w:sz w:val="24"/>
          <w:szCs w:val="24"/>
          <w:lang w:val="en-US"/>
        </w:rPr>
        <w:t xml:space="preserve">Journal of Educational Change, 7 </w:t>
      </w:r>
      <w:r>
        <w:rPr>
          <w:rFonts w:ascii="Times New Roman" w:hAnsi="Times New Roman" w:cs="Times New Roman"/>
          <w:sz w:val="24"/>
          <w:szCs w:val="24"/>
          <w:lang w:val="en-US"/>
        </w:rPr>
        <w:t xml:space="preserve">(4), 221–258. </w:t>
      </w:r>
      <w:r>
        <w:fldChar w:fldCharType="begin"/>
      </w:r>
      <w:r>
        <w:instrText xml:space="preserve"> HYPERLINK "https://doi.org/10.1007/s10833-006-0001-8" \t "_blank" </w:instrText>
      </w:r>
      <w:r>
        <w:fldChar w:fldCharType="separate"/>
      </w:r>
      <w:r>
        <w:rPr>
          <w:rStyle w:val="7"/>
          <w:rFonts w:ascii="Times New Roman" w:hAnsi="Times New Roman" w:cs="Times New Roman"/>
          <w:sz w:val="24"/>
          <w:szCs w:val="24"/>
          <w:lang w:val="en-US"/>
        </w:rPr>
        <w:t>https://doi.org/10.1007/s10833-006-0001-8</w:t>
      </w:r>
      <w:r>
        <w:rPr>
          <w:rStyle w:val="7"/>
          <w:rFonts w:ascii="Times New Roman" w:hAnsi="Times New Roman" w:cs="Times New Roman"/>
          <w:sz w:val="24"/>
          <w:szCs w:val="24"/>
          <w:lang w:val="en-US"/>
        </w:rPr>
        <w:fldChar w:fldCharType="end"/>
      </w:r>
    </w:p>
    <w:p w14:paraId="753C27E7">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Voogt, J., &amp; Roblin, N. P. (2012). A comparative analysis of international frameworks for 21st-century competences: Implications for national curriculum policies. </w:t>
      </w:r>
      <w:r>
        <w:rPr>
          <w:rFonts w:ascii="Times New Roman" w:hAnsi="Times New Roman" w:cs="Times New Roman"/>
          <w:i/>
          <w:iCs/>
          <w:sz w:val="24"/>
          <w:szCs w:val="24"/>
          <w:lang w:val="en-US"/>
        </w:rPr>
        <w:t xml:space="preserve">Journal of Curriculum Studies, 44 </w:t>
      </w:r>
      <w:r>
        <w:rPr>
          <w:rFonts w:ascii="Times New Roman" w:hAnsi="Times New Roman" w:cs="Times New Roman"/>
          <w:sz w:val="24"/>
          <w:szCs w:val="24"/>
          <w:lang w:val="en-US"/>
        </w:rPr>
        <w:t xml:space="preserve">, 299–321. </w:t>
      </w:r>
      <w:r>
        <w:fldChar w:fldCharType="begin"/>
      </w:r>
      <w:r>
        <w:instrText xml:space="preserve"> HYPERLINK "https://doi.org/10.1080/00220272.2012.668938" \t "_blank" </w:instrText>
      </w:r>
      <w:r>
        <w:fldChar w:fldCharType="separate"/>
      </w:r>
      <w:r>
        <w:rPr>
          <w:rStyle w:val="7"/>
          <w:rFonts w:ascii="Times New Roman" w:hAnsi="Times New Roman" w:cs="Times New Roman"/>
          <w:sz w:val="24"/>
          <w:szCs w:val="24"/>
          <w:lang w:val="en-US"/>
        </w:rPr>
        <w:t>https://doi.org/10.1080/00220272.2012.668938</w:t>
      </w:r>
      <w:r>
        <w:rPr>
          <w:rStyle w:val="7"/>
          <w:rFonts w:ascii="Times New Roman" w:hAnsi="Times New Roman" w:cs="Times New Roman"/>
          <w:sz w:val="24"/>
          <w:szCs w:val="24"/>
          <w:lang w:val="en-US"/>
        </w:rPr>
        <w:fldChar w:fldCharType="end"/>
      </w:r>
    </w:p>
    <w:p w14:paraId="1FD3C633">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Vygotsky, L. S. (1978). </w:t>
      </w:r>
      <w:r>
        <w:rPr>
          <w:rFonts w:ascii="Times New Roman" w:hAnsi="Times New Roman" w:cs="Times New Roman"/>
          <w:i/>
          <w:iCs/>
          <w:sz w:val="24"/>
          <w:szCs w:val="24"/>
          <w:lang w:val="en-US"/>
        </w:rPr>
        <w:t xml:space="preserve">Mind in society: The development of higher psychological processes </w:t>
      </w:r>
      <w:r>
        <w:rPr>
          <w:rFonts w:ascii="Times New Roman" w:hAnsi="Times New Roman" w:cs="Times New Roman"/>
          <w:sz w:val="24"/>
          <w:szCs w:val="24"/>
          <w:lang w:val="en-US"/>
        </w:rPr>
        <w:t>. Harvard University Press.</w:t>
      </w:r>
    </w:p>
    <w:p w14:paraId="1A6760FB">
      <w:pPr>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Watson, S., &amp; Evans, S. (2012). Observing changes in teachers’ practice as a consequence of taking part in professional development: developing a protocol for the observation of lessons. In C. Smith (Ed.), Proceedings of the British Society for Research into Learning Mathematics (pp. 88–93). University of Sussex: BSRLM. </w:t>
      </w:r>
      <w:commentRangeEnd w:id="29"/>
      <w:r>
        <w:commentReference w:id="29"/>
      </w:r>
    </w:p>
    <w:p w14:paraId="0B00377B">
      <w:pPr>
        <w:rPr>
          <w:rFonts w:ascii="Times New Roman" w:hAnsi="Times New Roman" w:cs="Times New Roman"/>
          <w:sz w:val="24"/>
          <w:szCs w:val="24"/>
          <w:lang w:val="en-US"/>
        </w:rPr>
      </w:pPr>
      <w:r>
        <w:rPr>
          <w:rFonts w:ascii="Times New Roman" w:hAnsi="Times New Roman" w:cs="Times New Roman"/>
          <w:sz w:val="24"/>
          <w:szCs w:val="24"/>
          <w:lang w:val="en-US"/>
        </w:rPr>
        <w:pict>
          <v:rect id="_x0000_i1025" o:spt="1" style="height:0pt;width:0pt;" fillcolor="#FAFAFC" filled="t" stroked="f" coordsize="21600,21600" o:hr="t" o:hrstd="t" o:hrnoshade="t" o:hralign="center">
            <v:path/>
            <v:fill on="t" focussize="0,0"/>
            <v:stroke on="f"/>
            <v:imagedata o:title=""/>
            <o:lock v:ext="edit"/>
            <w10:wrap type="none"/>
            <w10:anchorlock/>
          </v:rect>
        </w:pict>
      </w:r>
    </w:p>
    <w:sectPr>
      <w:headerReference r:id="rId9" w:type="first"/>
      <w:footerReference r:id="rId12" w:type="first"/>
      <w:headerReference r:id="rId7" w:type="default"/>
      <w:footerReference r:id="rId10" w:type="default"/>
      <w:headerReference r:id="rId8" w:type="even"/>
      <w:footerReference r:id="rId11" w:type="even"/>
      <w:pgSz w:w="11906" w:h="16838"/>
      <w:pgMar w:top="1440" w:right="1440" w:bottom="1440" w:left="1440" w:header="708" w:footer="708" w:gutter="0"/>
      <w:cols w:space="708"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Ejeng Ukabi" w:date="2025-04-04T16:06:27Z" w:initials="E">
    <w:p w14:paraId="6C9E41B4">
      <w:pPr>
        <w:pStyle w:val="4"/>
        <w:rPr>
          <w:rFonts w:hint="default"/>
          <w:lang w:val="en-US"/>
        </w:rPr>
      </w:pPr>
      <w:r>
        <w:rPr>
          <w:rFonts w:hint="default"/>
          <w:lang w:val="en-US"/>
        </w:rPr>
        <w:t>Straight forward what?</w:t>
      </w:r>
    </w:p>
  </w:comment>
  <w:comment w:id="1" w:author="Ejeng Ukabi" w:date="2025-04-04T16:28:04Z" w:initials="E">
    <w:p w14:paraId="2A3BC314">
      <w:pPr>
        <w:pStyle w:val="4"/>
        <w:rPr>
          <w:rFonts w:hint="default"/>
          <w:lang w:val="en-US"/>
        </w:rPr>
      </w:pPr>
      <w:r>
        <w:rPr>
          <w:rFonts w:hint="default"/>
          <w:lang w:val="en-US"/>
        </w:rPr>
        <w:t>Derives or derive?</w:t>
      </w:r>
    </w:p>
  </w:comment>
  <w:comment w:id="2" w:author="Ejeng Ukabi" w:date="2025-04-04T16:27:22Z" w:initials="E">
    <w:p w14:paraId="30E6A8E6">
      <w:pPr>
        <w:pStyle w:val="4"/>
        <w:rPr>
          <w:rFonts w:hint="default"/>
          <w:lang w:val="en-US"/>
        </w:rPr>
      </w:pPr>
      <w:r>
        <w:rPr>
          <w:rFonts w:hint="default"/>
          <w:lang w:val="en-US"/>
        </w:rPr>
        <w:t>Close the gap</w:t>
      </w:r>
    </w:p>
  </w:comment>
  <w:comment w:id="3" w:author="Ejeng Ukabi" w:date="2025-04-04T16:25:42Z" w:initials="E">
    <w:p w14:paraId="31670743">
      <w:pPr>
        <w:pStyle w:val="4"/>
        <w:rPr>
          <w:rFonts w:hint="default"/>
          <w:lang w:val="en-US"/>
        </w:rPr>
      </w:pPr>
      <w:r>
        <w:rPr>
          <w:rFonts w:hint="default"/>
          <w:lang w:val="en-US"/>
        </w:rPr>
        <w:t>Close the gap</w:t>
      </w:r>
    </w:p>
  </w:comment>
  <w:comment w:id="4" w:author="Ejeng Ukabi" w:date="2025-04-04T16:39:19Z" w:initials="E">
    <w:p w14:paraId="40C252CE">
      <w:pPr>
        <w:pStyle w:val="4"/>
        <w:rPr>
          <w:rFonts w:hint="default"/>
          <w:lang w:val="en-US"/>
        </w:rPr>
      </w:pPr>
      <w:r>
        <w:rPr>
          <w:rFonts w:hint="default"/>
          <w:lang w:val="en-US"/>
        </w:rPr>
        <w:t>Enclose in quotation marks</w:t>
      </w:r>
    </w:p>
  </w:comment>
  <w:comment w:id="5" w:author="Ejeng Ukabi" w:date="2025-04-04T16:48:50Z" w:initials="E">
    <w:p w14:paraId="6A6B3744">
      <w:pPr>
        <w:pStyle w:val="4"/>
        <w:rPr>
          <w:rFonts w:hint="default"/>
          <w:lang w:val="en-US"/>
        </w:rPr>
      </w:pPr>
      <w:r>
        <w:rPr>
          <w:rFonts w:hint="default"/>
          <w:lang w:val="en-US"/>
        </w:rPr>
        <w:t>Change to lowercase</w:t>
      </w:r>
    </w:p>
  </w:comment>
  <w:comment w:id="6" w:author="Ejeng Ukabi" w:date="2025-04-04T17:00:32Z" w:initials="E">
    <w:p w14:paraId="73C0BB58">
      <w:pPr>
        <w:pStyle w:val="4"/>
        <w:rPr>
          <w:rFonts w:hint="default"/>
          <w:lang w:val="en-US"/>
        </w:rPr>
      </w:pPr>
      <w:r>
        <w:rPr>
          <w:rFonts w:hint="default"/>
          <w:lang w:val="en-US"/>
        </w:rPr>
        <w:t>Educators’ commitment</w:t>
      </w:r>
    </w:p>
  </w:comment>
  <w:comment w:id="7" w:author="Ejeng Ukabi" w:date="2025-04-04T17:50:02Z" w:initials="E">
    <w:p w14:paraId="07885A05">
      <w:pPr>
        <w:pStyle w:val="4"/>
        <w:rPr>
          <w:rFonts w:hint="default"/>
          <w:lang w:val="en-US"/>
        </w:rPr>
      </w:pPr>
      <w:r>
        <w:rPr>
          <w:rFonts w:hint="default"/>
          <w:lang w:val="en-US"/>
        </w:rPr>
        <w:t>Close the gap</w:t>
      </w:r>
    </w:p>
  </w:comment>
  <w:comment w:id="8" w:author="Ejeng Ukabi" w:date="2025-04-04T17:53:28Z" w:initials="E">
    <w:p w14:paraId="73032AC9">
      <w:pPr>
        <w:pStyle w:val="4"/>
        <w:rPr>
          <w:rFonts w:hint="default"/>
          <w:lang w:val="en-US"/>
        </w:rPr>
      </w:pPr>
      <w:r>
        <w:rPr>
          <w:rFonts w:hint="default"/>
          <w:lang w:val="en-US"/>
        </w:rPr>
        <w:t xml:space="preserve">Revisit </w:t>
      </w:r>
    </w:p>
  </w:comment>
  <w:comment w:id="9" w:author="Ejeng Ukabi" w:date="2025-04-04T18:06:01Z" w:initials="E">
    <w:p w14:paraId="5ECB07FF">
      <w:pPr>
        <w:pStyle w:val="4"/>
        <w:rPr>
          <w:rFonts w:hint="default"/>
          <w:lang w:val="en-US"/>
        </w:rPr>
      </w:pPr>
      <w:r>
        <w:rPr>
          <w:rFonts w:hint="default"/>
          <w:lang w:val="en-US"/>
        </w:rPr>
        <w:t>a 83.50%</w:t>
      </w:r>
    </w:p>
  </w:comment>
  <w:comment w:id="10" w:author="Ejeng Ukabi" w:date="2025-04-04T18:29:36Z" w:initials="E">
    <w:p w14:paraId="489744C5">
      <w:pPr>
        <w:pStyle w:val="4"/>
        <w:rPr>
          <w:rFonts w:hint="default"/>
          <w:lang w:val="en-US"/>
        </w:rPr>
      </w:pPr>
      <w:r>
        <w:rPr>
          <w:rFonts w:hint="default"/>
          <w:lang w:val="en-US"/>
        </w:rPr>
        <w:t xml:space="preserve">Revisit </w:t>
      </w:r>
    </w:p>
  </w:comment>
  <w:comment w:id="11" w:author="Ejeng Ukabi" w:date="2025-04-05T05:21:11Z" w:initials="E">
    <w:p w14:paraId="7676B7AA">
      <w:pPr>
        <w:pStyle w:val="4"/>
        <w:rPr>
          <w:rFonts w:hint="default"/>
          <w:lang w:val="en-US"/>
        </w:rPr>
      </w:pPr>
      <w:r>
        <w:rPr>
          <w:rFonts w:hint="default"/>
          <w:lang w:val="en-US"/>
        </w:rPr>
        <w:t>delete</w:t>
      </w:r>
    </w:p>
  </w:comment>
  <w:comment w:id="12" w:author="Ejeng Ukabi" w:date="2025-04-05T05:25:19Z" w:initials="E">
    <w:p w14:paraId="4FC3A272">
      <w:pPr>
        <w:pStyle w:val="4"/>
        <w:rPr>
          <w:rFonts w:hint="default"/>
          <w:lang w:val="en-US"/>
        </w:rPr>
      </w:pPr>
      <w:r>
        <w:rPr>
          <w:rFonts w:hint="default"/>
          <w:lang w:val="en-US"/>
        </w:rPr>
        <w:t>and</w:t>
      </w:r>
    </w:p>
  </w:comment>
  <w:comment w:id="13" w:author="Ejeng Ukabi" w:date="2025-04-05T05:42:53Z" w:initials="E">
    <w:p w14:paraId="1AE69109">
      <w:pPr>
        <w:pStyle w:val="4"/>
        <w:rPr>
          <w:rFonts w:hint="default"/>
          <w:lang w:val="en-US"/>
        </w:rPr>
      </w:pPr>
      <w:r>
        <w:rPr>
          <w:rFonts w:hint="default"/>
          <w:lang w:val="en-US"/>
        </w:rPr>
        <w:t>students’</w:t>
      </w:r>
    </w:p>
  </w:comment>
  <w:comment w:id="14" w:author="Ejeng Ukabi" w:date="2025-04-05T05:45:30Z" w:initials="E">
    <w:p w14:paraId="38C78273">
      <w:pPr>
        <w:pStyle w:val="4"/>
        <w:rPr>
          <w:rFonts w:hint="default"/>
          <w:lang w:val="en-US"/>
        </w:rPr>
      </w:pPr>
      <w:r>
        <w:rPr>
          <w:rFonts w:hint="default"/>
          <w:lang w:val="en-US"/>
        </w:rPr>
        <w:t>a</w:t>
      </w:r>
    </w:p>
  </w:comment>
  <w:comment w:id="15" w:author="Ejeng Ukabi" w:date="2025-04-05T05:47:39Z" w:initials="E">
    <w:p w14:paraId="1E90C9DF">
      <w:pPr>
        <w:pStyle w:val="4"/>
        <w:rPr>
          <w:rFonts w:hint="default"/>
          <w:lang w:val="en-US"/>
        </w:rPr>
      </w:pPr>
      <w:r>
        <w:rPr>
          <w:rFonts w:hint="default"/>
          <w:lang w:val="en-US"/>
        </w:rPr>
        <w:t>???</w:t>
      </w:r>
    </w:p>
  </w:comment>
  <w:comment w:id="16" w:author="Ejeng Ukabi" w:date="2025-04-05T05:51:00Z" w:initials="E">
    <w:p w14:paraId="4B382380">
      <w:pPr>
        <w:pStyle w:val="4"/>
        <w:rPr>
          <w:rFonts w:hint="default"/>
          <w:lang w:val="en-US"/>
        </w:rPr>
      </w:pPr>
      <w:r>
        <w:rPr>
          <w:rFonts w:hint="default"/>
          <w:lang w:val="en-US"/>
        </w:rPr>
        <w:t>???</w:t>
      </w:r>
    </w:p>
  </w:comment>
  <w:comment w:id="17" w:author="Ejeng Ukabi" w:date="2025-04-05T05:53:49Z" w:initials="E">
    <w:p w14:paraId="34FF6900">
      <w:pPr>
        <w:pStyle w:val="4"/>
        <w:rPr>
          <w:rFonts w:hint="default"/>
          <w:lang w:val="en-US"/>
        </w:rPr>
      </w:pPr>
      <w:r>
        <w:rPr>
          <w:rFonts w:hint="default"/>
          <w:lang w:val="en-US"/>
        </w:rPr>
        <w:t>???</w:t>
      </w:r>
    </w:p>
  </w:comment>
  <w:comment w:id="18" w:author="Ejeng Ukabi" w:date="2025-04-05T06:14:46Z" w:initials="E">
    <w:p w14:paraId="6FF67C5D">
      <w:pPr>
        <w:pStyle w:val="4"/>
        <w:rPr>
          <w:rFonts w:hint="default"/>
          <w:lang w:val="en-US"/>
        </w:rPr>
      </w:pPr>
      <w:r>
        <w:rPr>
          <w:rFonts w:hint="default"/>
          <w:lang w:val="en-US"/>
        </w:rPr>
        <w:t>???</w:t>
      </w:r>
    </w:p>
  </w:comment>
  <w:comment w:id="19" w:author="Ejeng Ukabi" w:date="2025-04-05T06:16:16Z" w:initials="E">
    <w:p w14:paraId="091176FE">
      <w:pPr>
        <w:pStyle w:val="4"/>
        <w:rPr>
          <w:rFonts w:hint="default"/>
          <w:lang w:val="en-US"/>
        </w:rPr>
      </w:pPr>
      <w:r>
        <w:rPr>
          <w:rFonts w:hint="default"/>
          <w:lang w:val="en-US"/>
        </w:rPr>
        <w:t>???</w:t>
      </w:r>
    </w:p>
  </w:comment>
  <w:comment w:id="20" w:author="Ejeng Ukabi" w:date="2025-04-05T06:17:46Z" w:initials="E">
    <w:p w14:paraId="43933E88">
      <w:pPr>
        <w:pStyle w:val="4"/>
        <w:rPr>
          <w:rFonts w:hint="default"/>
          <w:lang w:val="en-US"/>
        </w:rPr>
      </w:pPr>
      <w:r>
        <w:rPr>
          <w:rFonts w:hint="default"/>
          <w:lang w:val="en-US"/>
        </w:rPr>
        <w:t>???</w:t>
      </w:r>
    </w:p>
  </w:comment>
  <w:comment w:id="21" w:author="Ejeng Ukabi" w:date="2025-04-05T06:18:51Z" w:initials="E">
    <w:p w14:paraId="79DE9B30">
      <w:pPr>
        <w:pStyle w:val="4"/>
        <w:rPr>
          <w:rFonts w:hint="default"/>
          <w:lang w:val="en-US"/>
        </w:rPr>
      </w:pPr>
      <w:r>
        <w:rPr>
          <w:rFonts w:hint="default"/>
          <w:lang w:val="en-US"/>
        </w:rPr>
        <w:t>???</w:t>
      </w:r>
    </w:p>
  </w:comment>
  <w:comment w:id="22" w:author="Ejeng Ukabi" w:date="2025-04-05T06:25:05Z" w:initials="E">
    <w:p w14:paraId="7970D452">
      <w:pPr>
        <w:pStyle w:val="4"/>
        <w:rPr>
          <w:rFonts w:hint="default"/>
          <w:lang w:val="en-US"/>
        </w:rPr>
      </w:pPr>
      <w:r>
        <w:rPr>
          <w:rFonts w:hint="default"/>
          <w:lang w:val="en-US"/>
        </w:rPr>
        <w:t>and</w:t>
      </w:r>
    </w:p>
  </w:comment>
  <w:comment w:id="23" w:author="Ejeng Ukabi" w:date="2025-04-05T06:27:20Z" w:initials="E">
    <w:p w14:paraId="48636565">
      <w:pPr>
        <w:pStyle w:val="4"/>
        <w:rPr>
          <w:rFonts w:hint="default"/>
          <w:lang w:val="en-US"/>
        </w:rPr>
      </w:pPr>
      <w:r>
        <w:rPr>
          <w:rFonts w:hint="default"/>
          <w:lang w:val="en-US"/>
        </w:rPr>
        <w:t>and</w:t>
      </w:r>
    </w:p>
  </w:comment>
  <w:comment w:id="24" w:author="Ejeng Ukabi" w:date="2025-04-05T06:32:16Z" w:initials="E">
    <w:p w14:paraId="155A977A">
      <w:pPr>
        <w:pStyle w:val="4"/>
        <w:rPr>
          <w:rFonts w:hint="default"/>
          <w:lang w:val="en-US"/>
        </w:rPr>
      </w:pPr>
      <w:r>
        <w:rPr>
          <w:rFonts w:hint="default"/>
          <w:lang w:val="en-US"/>
        </w:rPr>
        <w:t>I think this idea supports a dimensional usage of the term “Technology” in the context. Reason it out…!</w:t>
      </w:r>
    </w:p>
  </w:comment>
  <w:comment w:id="25" w:author="Ejeng Ukabi" w:date="2025-04-05T06:37:39Z" w:initials="E">
    <w:p w14:paraId="5630E36A">
      <w:pPr>
        <w:pStyle w:val="4"/>
        <w:rPr>
          <w:rFonts w:hint="default"/>
          <w:lang w:val="en-US"/>
        </w:rPr>
      </w:pPr>
      <w:r>
        <w:rPr>
          <w:rFonts w:hint="default"/>
          <w:lang w:val="en-US"/>
        </w:rPr>
        <w:t>and</w:t>
      </w:r>
    </w:p>
  </w:comment>
  <w:comment w:id="26" w:author="Ejeng Ukabi" w:date="2025-04-05T06:46:43Z" w:initials="E">
    <w:p w14:paraId="71A19FF1">
      <w:pPr>
        <w:pStyle w:val="4"/>
        <w:rPr>
          <w:rFonts w:hint="default"/>
          <w:lang w:val="en-US"/>
        </w:rPr>
      </w:pPr>
      <w:r>
        <w:rPr>
          <w:rFonts w:hint="default"/>
          <w:lang w:val="en-US"/>
        </w:rPr>
        <w:t>This pathway ‘C’ in the depiction above should be labelled just like you did in the case of pathway A and B.</w:t>
      </w:r>
    </w:p>
  </w:comment>
  <w:comment w:id="27" w:author="Ejeng Ukabi" w:date="2025-04-05T06:51:42Z" w:initials="E">
    <w:p w14:paraId="2D5766C9">
      <w:pPr>
        <w:pStyle w:val="4"/>
        <w:rPr>
          <w:rFonts w:hint="default"/>
          <w:lang w:val="en-US"/>
        </w:rPr>
      </w:pPr>
      <w:r>
        <w:rPr>
          <w:rFonts w:hint="default"/>
          <w:lang w:val="en-US"/>
        </w:rPr>
        <w:t>Note: The idea of technology integration</w:t>
      </w:r>
    </w:p>
  </w:comment>
  <w:comment w:id="28" w:author="Ejeng Ukabi" w:date="2025-04-05T06:58:22Z" w:initials="E">
    <w:p w14:paraId="18121361">
      <w:pPr>
        <w:pStyle w:val="4"/>
        <w:rPr>
          <w:rFonts w:hint="default"/>
          <w:lang w:val="en-US"/>
        </w:rPr>
      </w:pPr>
      <w:r>
        <w:rPr>
          <w:rFonts w:hint="default"/>
          <w:lang w:val="en-US"/>
        </w:rPr>
        <w:t>Take note: I think this also reinforces the second node to technology integration that your study is yet to capture. Reason it out…!</w:t>
      </w:r>
    </w:p>
  </w:comment>
  <w:comment w:id="29" w:author="Ejeng Ukabi" w:date="2025-04-05T07:30:35Z" w:initials="E">
    <w:p w14:paraId="23DBED9E">
      <w:pPr>
        <w:pStyle w:val="4"/>
        <w:rPr>
          <w:rFonts w:hint="default"/>
          <w:lang w:val="en-US"/>
        </w:rPr>
      </w:pPr>
      <w:r>
        <w:rPr>
          <w:rFonts w:hint="default"/>
          <w:lang w:val="en-US"/>
        </w:rPr>
        <w:t xml:space="preserve">Revisit: Adopt any the recommended standard citation and reference formats and be consistent with it. If in any doubt, please </w:t>
      </w:r>
      <w:bookmarkStart w:id="0" w:name="_GoBack"/>
      <w:bookmarkEnd w:id="0"/>
      <w:r>
        <w:rPr>
          <w:rFonts w:hint="default"/>
          <w:lang w:val="en-US"/>
        </w:rPr>
        <w:t>download an online template as a guide.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C9E41B4" w15:done="0"/>
  <w15:commentEx w15:paraId="2A3BC314" w15:done="0"/>
  <w15:commentEx w15:paraId="30E6A8E6" w15:done="0"/>
  <w15:commentEx w15:paraId="31670743" w15:done="0"/>
  <w15:commentEx w15:paraId="40C252CE" w15:done="0"/>
  <w15:commentEx w15:paraId="6A6B3744" w15:done="0"/>
  <w15:commentEx w15:paraId="73C0BB58" w15:done="0"/>
  <w15:commentEx w15:paraId="07885A05" w15:done="0"/>
  <w15:commentEx w15:paraId="73032AC9" w15:done="0"/>
  <w15:commentEx w15:paraId="5ECB07FF" w15:done="0"/>
  <w15:commentEx w15:paraId="489744C5" w15:done="0"/>
  <w15:commentEx w15:paraId="7676B7AA" w15:done="0"/>
  <w15:commentEx w15:paraId="4FC3A272" w15:done="0"/>
  <w15:commentEx w15:paraId="1AE69109" w15:done="0"/>
  <w15:commentEx w15:paraId="38C78273" w15:done="0"/>
  <w15:commentEx w15:paraId="1E90C9DF" w15:done="0"/>
  <w15:commentEx w15:paraId="4B382380" w15:done="0"/>
  <w15:commentEx w15:paraId="34FF6900" w15:done="0"/>
  <w15:commentEx w15:paraId="6FF67C5D" w15:done="0"/>
  <w15:commentEx w15:paraId="091176FE" w15:done="0"/>
  <w15:commentEx w15:paraId="43933E88" w15:done="0"/>
  <w15:commentEx w15:paraId="79DE9B30" w15:done="0"/>
  <w15:commentEx w15:paraId="7970D452" w15:done="0"/>
  <w15:commentEx w15:paraId="48636565" w15:done="0"/>
  <w15:commentEx w15:paraId="155A977A" w15:done="0"/>
  <w15:commentEx w15:paraId="5630E36A" w15:done="0"/>
  <w15:commentEx w15:paraId="71A19FF1" w15:done="0"/>
  <w15:commentEx w15:paraId="2D5766C9" w15:done="0"/>
  <w15:commentEx w15:paraId="18121361" w15:done="0"/>
  <w15:commentEx w15:paraId="23DBED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61983">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D85BF">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22E0">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D68B9">
    <w:pPr>
      <w:pStyle w:val="6"/>
    </w:pPr>
    <w:r>
      <w:pict>
        <v:shape id="PowerPlusWaterMarkObject784341345" o:spid="_x0000_s2051" o:spt="136" type="#_x0000_t136" style="position:absolute;left:0pt;height:100.45pt;width:535.8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BC20">
    <w:pPr>
      <w:pStyle w:val="6"/>
    </w:pPr>
    <w:r>
      <w:pict>
        <v:shape id="PowerPlusWaterMarkObject784341344" o:spid="_x0000_s2050" o:spt="136" type="#_x0000_t136" style="position:absolute;left:0pt;height:100.45pt;width:535.8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CAC01">
    <w:pPr>
      <w:pStyle w:val="6"/>
    </w:pPr>
    <w:r>
      <w:pict>
        <v:shape id="PowerPlusWaterMarkObject784341343" o:spid="_x0000_s2049" o:spt="136" type="#_x0000_t136" style="position:absolute;left:0pt;height:100.45pt;width:535.8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UNDER PEER REVIEW" style="font-family:Calibri;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BE6775"/>
    <w:multiLevelType w:val="multilevel"/>
    <w:tmpl w:val="1FBE677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36603095"/>
    <w:multiLevelType w:val="multilevel"/>
    <w:tmpl w:val="366030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87822B8"/>
    <w:multiLevelType w:val="multilevel"/>
    <w:tmpl w:val="387822B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15A54E0"/>
    <w:multiLevelType w:val="multilevel"/>
    <w:tmpl w:val="415A54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DA27BE9"/>
    <w:multiLevelType w:val="multilevel"/>
    <w:tmpl w:val="4DA27B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jeng Ukabi">
    <w15:presenceInfo w15:providerId="None" w15:userId="Ejeng Ukab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8"/>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566"/>
    <w:rsid w:val="000061CA"/>
    <w:rsid w:val="00035A2C"/>
    <w:rsid w:val="001C1099"/>
    <w:rsid w:val="001C4A2D"/>
    <w:rsid w:val="00266053"/>
    <w:rsid w:val="002E5A9B"/>
    <w:rsid w:val="00340C29"/>
    <w:rsid w:val="003F4566"/>
    <w:rsid w:val="00501874"/>
    <w:rsid w:val="0055153D"/>
    <w:rsid w:val="005F63C2"/>
    <w:rsid w:val="0062056C"/>
    <w:rsid w:val="006338BA"/>
    <w:rsid w:val="006C6544"/>
    <w:rsid w:val="006C7CD4"/>
    <w:rsid w:val="007975CB"/>
    <w:rsid w:val="007A01AD"/>
    <w:rsid w:val="007E7CBD"/>
    <w:rsid w:val="00847533"/>
    <w:rsid w:val="008979F9"/>
    <w:rsid w:val="008B5768"/>
    <w:rsid w:val="00966105"/>
    <w:rsid w:val="009F6B2E"/>
    <w:rsid w:val="00A21054"/>
    <w:rsid w:val="00AB36AB"/>
    <w:rsid w:val="00AE0BC9"/>
    <w:rsid w:val="00B30801"/>
    <w:rsid w:val="00C10A9B"/>
    <w:rsid w:val="00C22861"/>
    <w:rsid w:val="00C632B8"/>
    <w:rsid w:val="00CF35D6"/>
    <w:rsid w:val="00E837E8"/>
    <w:rsid w:val="00F86557"/>
    <w:rsid w:val="00F977E3"/>
    <w:rsid w:val="00FD1AF7"/>
    <w:rsid w:val="13EC1CA9"/>
    <w:rsid w:val="167E42F4"/>
    <w:rsid w:val="2FD46A27"/>
    <w:rsid w:val="2FFE7962"/>
    <w:rsid w:val="349C315B"/>
    <w:rsid w:val="444A3897"/>
    <w:rsid w:val="5BF82937"/>
    <w:rsid w:val="5C1F5699"/>
    <w:rsid w:val="5D9C1821"/>
    <w:rsid w:val="71E620B0"/>
    <w:rsid w:val="7DCB697B"/>
    <w:rsid w:val="7F0F3F82"/>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d-ID"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1"/>
    <w:unhideWhenUsed/>
    <w:qFormat/>
    <w:uiPriority w:val="99"/>
    <w:pPr>
      <w:tabs>
        <w:tab w:val="center" w:pos="4680"/>
        <w:tab w:val="right" w:pos="9360"/>
      </w:tabs>
      <w:spacing w:after="0" w:line="240" w:lineRule="auto"/>
    </w:pPr>
  </w:style>
  <w:style w:type="paragraph" w:styleId="6">
    <w:name w:val="header"/>
    <w:basedOn w:val="1"/>
    <w:link w:val="10"/>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left="720"/>
      <w:contextualSpacing/>
    </w:pPr>
  </w:style>
  <w:style w:type="character" w:customStyle="1" w:styleId="9">
    <w:name w:val="Unresolved Mention"/>
    <w:basedOn w:val="2"/>
    <w:semiHidden/>
    <w:unhideWhenUsed/>
    <w:qFormat/>
    <w:uiPriority w:val="99"/>
    <w:rPr>
      <w:color w:val="605E5C"/>
      <w:shd w:val="clear" w:color="auto" w:fill="E1DFDD"/>
    </w:rPr>
  </w:style>
  <w:style w:type="character" w:customStyle="1" w:styleId="10">
    <w:name w:val="Header Char"/>
    <w:basedOn w:val="2"/>
    <w:link w:val="6"/>
    <w:qFormat/>
    <w:uiPriority w:val="99"/>
  </w:style>
  <w:style w:type="character" w:customStyle="1" w:styleId="11">
    <w:name w:val="Footer Char"/>
    <w:basedOn w:val="2"/>
    <w:link w:val="5"/>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11742</Words>
  <Characters>66933</Characters>
  <Lines>557</Lines>
  <Paragraphs>157</Paragraphs>
  <TotalTime>1408</TotalTime>
  <ScaleCrop>false</ScaleCrop>
  <LinksUpToDate>false</LinksUpToDate>
  <CharactersWithSpaces>78518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2025-04-01T00:42:00Z</dcterms:created>
  <dc:creator>acer</dc:creator>
  <cp:lastModifiedBy>Ejeng Ukabi</cp:lastModifiedBy>
  <dcterms:modified xsi:type="dcterms:W3CDTF">2025-04-05T06:57:59Z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5097FD3DCA6445A6AD9EBB32E613D7F8_13</vt:lpwstr>
  </property>
</Properties>
</file>