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1650B" w14:paraId="1643A4CA" w14:textId="77777777" w:rsidTr="0031650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1650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1650B" w14:paraId="127EAD7E" w14:textId="77777777" w:rsidTr="0031650B">
        <w:trPr>
          <w:trHeight w:val="413"/>
        </w:trPr>
        <w:tc>
          <w:tcPr>
            <w:tcW w:w="1266" w:type="pct"/>
          </w:tcPr>
          <w:p w14:paraId="3C159AA5" w14:textId="77777777" w:rsidR="0000007A" w:rsidRPr="0031650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1650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9E47AB0" w:rsidR="0000007A" w:rsidRPr="0031650B" w:rsidRDefault="0073738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1650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31650B" w14:paraId="73C90375" w14:textId="77777777" w:rsidTr="0031650B">
        <w:trPr>
          <w:trHeight w:val="290"/>
        </w:trPr>
        <w:tc>
          <w:tcPr>
            <w:tcW w:w="1266" w:type="pct"/>
          </w:tcPr>
          <w:p w14:paraId="20D28135" w14:textId="77777777" w:rsidR="0000007A" w:rsidRPr="003165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604EFE" w:rsidR="0000007A" w:rsidRPr="0031650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25EF9"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5225</w:t>
            </w:r>
          </w:p>
        </w:tc>
      </w:tr>
      <w:tr w:rsidR="0000007A" w:rsidRPr="0031650B" w14:paraId="05B60576" w14:textId="77777777" w:rsidTr="0031650B">
        <w:trPr>
          <w:trHeight w:val="331"/>
        </w:trPr>
        <w:tc>
          <w:tcPr>
            <w:tcW w:w="1266" w:type="pct"/>
          </w:tcPr>
          <w:p w14:paraId="0196A627" w14:textId="77777777" w:rsidR="0000007A" w:rsidRPr="0031650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403FE9" w:rsidR="0000007A" w:rsidRPr="0031650B" w:rsidRDefault="007373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1650B">
              <w:rPr>
                <w:rFonts w:ascii="Arial" w:hAnsi="Arial" w:cs="Arial"/>
                <w:b/>
                <w:sz w:val="20"/>
                <w:szCs w:val="20"/>
                <w:lang w:val="en-GB"/>
              </w:rPr>
              <w:t>School Factors &amp; Cumulative Inequality: A Comparative Study of Elementary Education in Pakistan</w:t>
            </w:r>
          </w:p>
        </w:tc>
      </w:tr>
      <w:tr w:rsidR="00CF0BBB" w:rsidRPr="0031650B" w14:paraId="6D508B1C" w14:textId="77777777" w:rsidTr="0031650B">
        <w:trPr>
          <w:trHeight w:val="332"/>
        </w:trPr>
        <w:tc>
          <w:tcPr>
            <w:tcW w:w="1266" w:type="pct"/>
          </w:tcPr>
          <w:p w14:paraId="32FC28F7" w14:textId="77777777" w:rsidR="00CF0BBB" w:rsidRPr="0031650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DF8566" w:rsidR="00CF0BBB" w:rsidRPr="0031650B" w:rsidRDefault="0073738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1650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1650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1650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1650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650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1650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1650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1650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1650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1650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6265CF1" w:rsidR="00E03C32" w:rsidRDefault="0073738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3738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English Linguistics; Vol. 8, No. 4; 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E9D6347" w:rsidR="00E03C32" w:rsidRPr="007B54A4" w:rsidRDefault="00737385" w:rsidP="0073738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77197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https://doi.org/10.5539/ijel.v8n4p174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1650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1650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1650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1650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650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1650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650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650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1650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1650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650B">
              <w:rPr>
                <w:rFonts w:ascii="Arial" w:hAnsi="Arial" w:cs="Arial"/>
                <w:lang w:val="en-GB"/>
              </w:rPr>
              <w:t>Author’s Feedback</w:t>
            </w:r>
            <w:r w:rsidRPr="0031650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650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1650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165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1650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49286D4" w:rsidR="00F1171E" w:rsidRPr="0031650B" w:rsidRDefault="00556EB5" w:rsidP="00556EB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contributes to the scientific community by shedding light on the role of school factors in shaping cumulative inequalities in elementary education within Pakistan. By using comparative approach</w:t>
            </w:r>
          </w:p>
        </w:tc>
        <w:tc>
          <w:tcPr>
            <w:tcW w:w="1523" w:type="pct"/>
          </w:tcPr>
          <w:p w14:paraId="462A339C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650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165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165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F848B4A" w:rsidR="00F1171E" w:rsidRPr="0031650B" w:rsidRDefault="00556EB5" w:rsidP="00556EB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sz w:val="20"/>
                <w:szCs w:val="20"/>
              </w:rPr>
              <w:t>School</w:t>
            </w:r>
            <w:r w:rsidRPr="00316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1650B">
              <w:rPr>
                <w:rFonts w:ascii="Arial" w:hAnsi="Arial" w:cs="Arial"/>
                <w:sz w:val="20"/>
                <w:szCs w:val="20"/>
              </w:rPr>
              <w:t>Factors</w:t>
            </w:r>
            <w:r w:rsidRPr="0031650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650B">
              <w:rPr>
                <w:rFonts w:ascii="Arial" w:hAnsi="Arial" w:cs="Arial"/>
                <w:sz w:val="20"/>
                <w:szCs w:val="20"/>
              </w:rPr>
              <w:t>&amp;</w:t>
            </w:r>
            <w:r w:rsidRPr="0031650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650B">
              <w:rPr>
                <w:rFonts w:ascii="Arial" w:hAnsi="Arial" w:cs="Arial"/>
                <w:sz w:val="20"/>
                <w:szCs w:val="20"/>
              </w:rPr>
              <w:t>Cumulative</w:t>
            </w:r>
            <w:r w:rsidRPr="0031650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1650B">
              <w:rPr>
                <w:rFonts w:ascii="Arial" w:hAnsi="Arial" w:cs="Arial"/>
                <w:sz w:val="20"/>
                <w:szCs w:val="20"/>
              </w:rPr>
              <w:t>Inequality if it is like this the topic is wider as the highlight shows:” the work examines trends in</w:t>
            </w:r>
            <w:r w:rsidRPr="0031650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31650B">
              <w:rPr>
                <w:rFonts w:ascii="Arial" w:hAnsi="Arial" w:cs="Arial"/>
                <w:sz w:val="20"/>
                <w:szCs w:val="20"/>
              </w:rPr>
              <w:t>school factors to compare how these factors accumulate to a specific kind of linguistic exposure across socioeconomically divided school systems in Pakistan” is it specifically to linguistics?</w:t>
            </w:r>
          </w:p>
        </w:tc>
        <w:tc>
          <w:tcPr>
            <w:tcW w:w="1523" w:type="pct"/>
          </w:tcPr>
          <w:p w14:paraId="405B6701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650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165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1650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928C269" w:rsidR="00F1171E" w:rsidRPr="0031650B" w:rsidRDefault="00E1195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Ok, but there should be added the software used for data analysis and version</w:t>
            </w:r>
          </w:p>
        </w:tc>
        <w:tc>
          <w:tcPr>
            <w:tcW w:w="1523" w:type="pct"/>
          </w:tcPr>
          <w:p w14:paraId="1D54B730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650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1650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6288616" w:rsidR="00F1171E" w:rsidRPr="0031650B" w:rsidRDefault="00E1195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parts like research objectives are missing, this is an important part that could guide all research</w:t>
            </w:r>
          </w:p>
        </w:tc>
        <w:tc>
          <w:tcPr>
            <w:tcW w:w="1523" w:type="pct"/>
          </w:tcPr>
          <w:p w14:paraId="4898F764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650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165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1650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6D4CE7C" w:rsidR="00F1171E" w:rsidRPr="0031650B" w:rsidRDefault="00E1195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references are too old</w:t>
            </w:r>
          </w:p>
        </w:tc>
        <w:tc>
          <w:tcPr>
            <w:tcW w:w="1523" w:type="pct"/>
          </w:tcPr>
          <w:p w14:paraId="40220055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1650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1650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1650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9106BB3" w:rsidR="00F1171E" w:rsidRPr="0031650B" w:rsidRDefault="00E1195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sz w:val="20"/>
                <w:szCs w:val="20"/>
                <w:lang w:val="en-GB"/>
              </w:rPr>
              <w:t>Not bad</w:t>
            </w:r>
          </w:p>
          <w:p w14:paraId="297F52DB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1650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1650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1650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1650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86240C4" w:rsidR="00F1171E" w:rsidRPr="0031650B" w:rsidRDefault="00E1195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sz w:val="20"/>
                <w:szCs w:val="20"/>
                <w:lang w:val="en-GB"/>
              </w:rPr>
              <w:t>The paper could include objectives that could guide other parts of the research, this research could have objectives before to proceed</w:t>
            </w:r>
          </w:p>
          <w:p w14:paraId="7EB58C99" w14:textId="59F6FD3A" w:rsidR="00F1171E" w:rsidRPr="0031650B" w:rsidRDefault="0072556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sz w:val="20"/>
                <w:szCs w:val="20"/>
                <w:lang w:val="en-GB"/>
              </w:rPr>
              <w:t>Every research should be guided by objectives after statement of the problem</w:t>
            </w:r>
          </w:p>
          <w:p w14:paraId="15DFD0E8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1650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1650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1650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1650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1650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1650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1650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1650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1650B">
              <w:rPr>
                <w:rFonts w:ascii="Arial" w:hAnsi="Arial" w:cs="Arial"/>
                <w:lang w:val="en-GB"/>
              </w:rPr>
              <w:t>Author’s comment</w:t>
            </w:r>
            <w:r w:rsidRPr="0031650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1650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1650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165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65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65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650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1650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1650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1650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1650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96EA0F3" w14:textId="77777777" w:rsidR="0031650B" w:rsidRPr="00D7662B" w:rsidRDefault="0031650B" w:rsidP="0031650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7662B">
        <w:rPr>
          <w:rFonts w:ascii="Arial" w:hAnsi="Arial" w:cs="Arial"/>
          <w:b/>
          <w:u w:val="single"/>
        </w:rPr>
        <w:t>Reviewer details:</w:t>
      </w:r>
    </w:p>
    <w:p w14:paraId="54216C5C" w14:textId="77777777" w:rsidR="0031650B" w:rsidRPr="00D7662B" w:rsidRDefault="0031650B" w:rsidP="0031650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662B">
        <w:rPr>
          <w:rFonts w:ascii="Arial" w:hAnsi="Arial" w:cs="Arial"/>
          <w:b/>
          <w:color w:val="000000"/>
        </w:rPr>
        <w:t xml:space="preserve">NEZA Jean </w:t>
      </w:r>
      <w:proofErr w:type="spellStart"/>
      <w:r w:rsidRPr="00D7662B">
        <w:rPr>
          <w:rFonts w:ascii="Arial" w:hAnsi="Arial" w:cs="Arial"/>
          <w:b/>
          <w:color w:val="000000"/>
        </w:rPr>
        <w:t>D’Amour</w:t>
      </w:r>
      <w:proofErr w:type="spellEnd"/>
      <w:r w:rsidRPr="00D7662B">
        <w:rPr>
          <w:rFonts w:ascii="Arial" w:hAnsi="Arial" w:cs="Arial"/>
          <w:b/>
          <w:color w:val="000000"/>
        </w:rPr>
        <w:t>, Rwanda</w:t>
      </w:r>
    </w:p>
    <w:p w14:paraId="4BC193D0" w14:textId="77777777" w:rsidR="0031650B" w:rsidRPr="0031650B" w:rsidRDefault="0031650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1650B" w:rsidRPr="0031650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CCE9" w14:textId="77777777" w:rsidR="008A529D" w:rsidRPr="0000007A" w:rsidRDefault="008A529D" w:rsidP="0099583E">
      <w:r>
        <w:separator/>
      </w:r>
    </w:p>
  </w:endnote>
  <w:endnote w:type="continuationSeparator" w:id="0">
    <w:p w14:paraId="67A1AAAB" w14:textId="77777777" w:rsidR="008A529D" w:rsidRPr="0000007A" w:rsidRDefault="008A52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2417" w14:textId="77777777" w:rsidR="008A529D" w:rsidRPr="0000007A" w:rsidRDefault="008A529D" w:rsidP="0099583E">
      <w:r>
        <w:separator/>
      </w:r>
    </w:p>
  </w:footnote>
  <w:footnote w:type="continuationSeparator" w:id="0">
    <w:p w14:paraId="5F8A9871" w14:textId="77777777" w:rsidR="008A529D" w:rsidRPr="0000007A" w:rsidRDefault="008A52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2169415">
    <w:abstractNumId w:val="3"/>
  </w:num>
  <w:num w:numId="2" w16cid:durableId="866869096">
    <w:abstractNumId w:val="6"/>
  </w:num>
  <w:num w:numId="3" w16cid:durableId="1980962456">
    <w:abstractNumId w:val="5"/>
  </w:num>
  <w:num w:numId="4" w16cid:durableId="2140685300">
    <w:abstractNumId w:val="7"/>
  </w:num>
  <w:num w:numId="5" w16cid:durableId="1839733557">
    <w:abstractNumId w:val="4"/>
  </w:num>
  <w:num w:numId="6" w16cid:durableId="1561791081">
    <w:abstractNumId w:val="0"/>
  </w:num>
  <w:num w:numId="7" w16cid:durableId="1620145958">
    <w:abstractNumId w:val="1"/>
  </w:num>
  <w:num w:numId="8" w16cid:durableId="830951802">
    <w:abstractNumId w:val="9"/>
  </w:num>
  <w:num w:numId="9" w16cid:durableId="671568732">
    <w:abstractNumId w:val="8"/>
  </w:num>
  <w:num w:numId="10" w16cid:durableId="670060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90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50B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83B"/>
    <w:rsid w:val="003B1D0B"/>
    <w:rsid w:val="003B2172"/>
    <w:rsid w:val="003D1BDE"/>
    <w:rsid w:val="003E746A"/>
    <w:rsid w:val="00401C12"/>
    <w:rsid w:val="00421DBF"/>
    <w:rsid w:val="00423971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EB5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561"/>
    <w:rsid w:val="007317C3"/>
    <w:rsid w:val="0073332F"/>
    <w:rsid w:val="00734756"/>
    <w:rsid w:val="00734BFB"/>
    <w:rsid w:val="0073538B"/>
    <w:rsid w:val="00737385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436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29D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7B51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43A"/>
    <w:rsid w:val="00AD6C51"/>
    <w:rsid w:val="00AE0E9B"/>
    <w:rsid w:val="00AE54CD"/>
    <w:rsid w:val="00AF3016"/>
    <w:rsid w:val="00B03A45"/>
    <w:rsid w:val="00B2236C"/>
    <w:rsid w:val="00B22FE6"/>
    <w:rsid w:val="00B25EF9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0BA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1CED"/>
    <w:rsid w:val="00D24CBE"/>
    <w:rsid w:val="00D27A79"/>
    <w:rsid w:val="00D32AC2"/>
    <w:rsid w:val="00D40416"/>
    <w:rsid w:val="00D418AF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6B81"/>
    <w:rsid w:val="00DB7E1B"/>
    <w:rsid w:val="00DC1D81"/>
    <w:rsid w:val="00DC6FED"/>
    <w:rsid w:val="00DD0C4A"/>
    <w:rsid w:val="00DD274C"/>
    <w:rsid w:val="00DE7D30"/>
    <w:rsid w:val="00DF04E3"/>
    <w:rsid w:val="00E03C32"/>
    <w:rsid w:val="00E1195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1650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39/ijel.v8n4p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