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A1E9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A1E9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A1E9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A1E9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1E9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A1E9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ED0DE79" w:rsidR="0000007A" w:rsidRPr="007A1E91" w:rsidRDefault="00BA2B3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A1E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Language, Literature and Education: Research Updates</w:t>
              </w:r>
            </w:hyperlink>
          </w:p>
        </w:tc>
      </w:tr>
      <w:tr w:rsidR="0000007A" w:rsidRPr="007A1E9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A1E9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1E9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2D01679" w:rsidR="0000007A" w:rsidRPr="007A1E9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A1E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A1E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A1E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F3D46" w:rsidRPr="007A1E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5260</w:t>
            </w:r>
          </w:p>
        </w:tc>
      </w:tr>
      <w:tr w:rsidR="0000007A" w:rsidRPr="007A1E9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A1E9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1E9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C89D93F" w:rsidR="0000007A" w:rsidRPr="007A1E91" w:rsidRDefault="00BA2B3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A1E91">
              <w:rPr>
                <w:rFonts w:ascii="Arial" w:hAnsi="Arial" w:cs="Arial"/>
                <w:b/>
                <w:sz w:val="20"/>
                <w:szCs w:val="20"/>
                <w:lang w:val="en-GB"/>
              </w:rPr>
              <w:t>Cost-Effectiveness Analysis in Indonesian Primary Education</w:t>
            </w:r>
          </w:p>
        </w:tc>
      </w:tr>
      <w:tr w:rsidR="00CF0BBB" w:rsidRPr="007A1E9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A1E9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1E9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6BB8F1A" w:rsidR="00CF0BBB" w:rsidRPr="007A1E91" w:rsidRDefault="00BA2B3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A1E9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A1E9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6BBCBC5E" w:rsidR="00D27A79" w:rsidRPr="007A1E91" w:rsidRDefault="00D27A79" w:rsidP="00BA2B3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A1E9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A1E9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1E9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A1E9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A1E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A1E9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A1E9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A1E9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1E9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A1E9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E9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A1E9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A1E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A1E91">
              <w:rPr>
                <w:rFonts w:ascii="Arial" w:hAnsi="Arial" w:cs="Arial"/>
                <w:lang w:val="en-GB"/>
              </w:rPr>
              <w:t>Author’s Feedback</w:t>
            </w:r>
            <w:r w:rsidRPr="007A1E9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A1E9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7B7B0A" w:rsidRPr="007A1E9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7B7B0A" w:rsidRPr="007A1E91" w:rsidRDefault="007B7B0A" w:rsidP="007B7B0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E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7B7B0A" w:rsidRPr="007A1E91" w:rsidRDefault="007B7B0A" w:rsidP="007B7B0A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7329F78" w:rsidR="007B7B0A" w:rsidRPr="007A1E91" w:rsidRDefault="007B7B0A" w:rsidP="007B7B0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E91">
              <w:rPr>
                <w:rFonts w:ascii="Arial" w:hAnsi="Arial" w:cs="Arial"/>
                <w:sz w:val="20"/>
                <w:szCs w:val="20"/>
              </w:rPr>
              <w:t>The researcher/author tried to explore</w:t>
            </w:r>
            <w:r w:rsidRPr="007A1E9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7A1E91">
              <w:rPr>
                <w:rFonts w:ascii="Arial" w:hAnsi="Arial" w:cs="Arial"/>
                <w:sz w:val="20"/>
                <w:szCs w:val="20"/>
              </w:rPr>
              <w:t>the Cost- Effectiveness Analysis (CEA) in Primary Education in Indonesian and examines the economic efficiency of educational programs and provides insights for resource allocation and</w:t>
            </w:r>
            <w:r w:rsidRPr="007A1E9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7A1E91">
              <w:rPr>
                <w:rFonts w:ascii="Arial" w:hAnsi="Arial" w:cs="Arial"/>
                <w:sz w:val="20"/>
                <w:szCs w:val="20"/>
              </w:rPr>
              <w:t>assesses costs and outcomes, which are crucial when dealing with limited budgets and the need for increased accountability in educational spending.</w:t>
            </w:r>
          </w:p>
        </w:tc>
        <w:tc>
          <w:tcPr>
            <w:tcW w:w="1523" w:type="pct"/>
          </w:tcPr>
          <w:p w14:paraId="462A339C" w14:textId="77777777" w:rsidR="007B7B0A" w:rsidRPr="007A1E91" w:rsidRDefault="007B7B0A" w:rsidP="007B7B0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B7B0A" w:rsidRPr="007A1E9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7B7B0A" w:rsidRPr="007A1E91" w:rsidRDefault="007B7B0A" w:rsidP="007B7B0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E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7B7B0A" w:rsidRPr="007A1E91" w:rsidRDefault="007B7B0A" w:rsidP="007B7B0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E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7B7B0A" w:rsidRPr="007A1E91" w:rsidRDefault="007B7B0A" w:rsidP="007B7B0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C1C8CAC" w:rsidR="007B7B0A" w:rsidRPr="007A1E91" w:rsidRDefault="007B7B0A" w:rsidP="007B7B0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E91">
              <w:rPr>
                <w:rFonts w:ascii="Arial" w:hAnsi="Arial" w:cs="Arial"/>
                <w:sz w:val="20"/>
                <w:szCs w:val="20"/>
              </w:rPr>
              <w:t>Yes.</w:t>
            </w:r>
            <w:r w:rsidRPr="007A1E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A1E91">
              <w:rPr>
                <w:rFonts w:ascii="Arial" w:hAnsi="Arial" w:cs="Arial"/>
                <w:sz w:val="20"/>
                <w:szCs w:val="20"/>
              </w:rPr>
              <w:t>Title</w:t>
            </w:r>
            <w:r w:rsidRPr="007A1E9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A1E91">
              <w:rPr>
                <w:rFonts w:ascii="Arial" w:hAnsi="Arial" w:cs="Arial"/>
                <w:sz w:val="20"/>
                <w:szCs w:val="20"/>
              </w:rPr>
              <w:t>is</w:t>
            </w:r>
            <w:r w:rsidRPr="007A1E9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A1E91">
              <w:rPr>
                <w:rFonts w:ascii="Arial" w:hAnsi="Arial" w:cs="Arial"/>
                <w:sz w:val="20"/>
                <w:szCs w:val="20"/>
              </w:rPr>
              <w:t>just,</w:t>
            </w:r>
            <w:r w:rsidRPr="007A1E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A1E91">
              <w:rPr>
                <w:rFonts w:ascii="Arial" w:hAnsi="Arial" w:cs="Arial"/>
                <w:sz w:val="20"/>
                <w:szCs w:val="20"/>
              </w:rPr>
              <w:t>apt</w:t>
            </w:r>
            <w:r w:rsidRPr="007A1E9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A1E91">
              <w:rPr>
                <w:rFonts w:ascii="Arial" w:hAnsi="Arial" w:cs="Arial"/>
                <w:sz w:val="20"/>
                <w:szCs w:val="20"/>
              </w:rPr>
              <w:t>and</w:t>
            </w:r>
            <w:r w:rsidRPr="007A1E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A1E91">
              <w:rPr>
                <w:rFonts w:ascii="Arial" w:hAnsi="Arial" w:cs="Arial"/>
                <w:spacing w:val="-2"/>
                <w:sz w:val="20"/>
                <w:szCs w:val="20"/>
              </w:rPr>
              <w:t>appropriate.</w:t>
            </w:r>
          </w:p>
        </w:tc>
        <w:tc>
          <w:tcPr>
            <w:tcW w:w="1523" w:type="pct"/>
          </w:tcPr>
          <w:p w14:paraId="405B6701" w14:textId="77777777" w:rsidR="007B7B0A" w:rsidRPr="007A1E91" w:rsidRDefault="007B7B0A" w:rsidP="007B7B0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B7B0A" w:rsidRPr="007A1E9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7B7B0A" w:rsidRPr="007A1E91" w:rsidRDefault="007B7B0A" w:rsidP="007B7B0A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A1E9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7B7B0A" w:rsidRPr="007A1E91" w:rsidRDefault="007B7B0A" w:rsidP="007B7B0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247B872" w:rsidR="007B7B0A" w:rsidRPr="007A1E91" w:rsidRDefault="007B7B0A" w:rsidP="007B7B0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E91">
              <w:rPr>
                <w:rFonts w:ascii="Arial" w:hAnsi="Arial" w:cs="Arial"/>
                <w:b/>
                <w:sz w:val="20"/>
                <w:szCs w:val="20"/>
              </w:rPr>
              <w:t>Yes.</w:t>
            </w:r>
            <w:r w:rsidRPr="007A1E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A1E91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7A1E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A1E9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A1E9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A1E91">
              <w:rPr>
                <w:rFonts w:ascii="Arial" w:hAnsi="Arial" w:cs="Arial"/>
                <w:b/>
                <w:spacing w:val="-2"/>
                <w:sz w:val="20"/>
                <w:szCs w:val="20"/>
              </w:rPr>
              <w:t>comprehensive.</w:t>
            </w:r>
          </w:p>
        </w:tc>
        <w:tc>
          <w:tcPr>
            <w:tcW w:w="1523" w:type="pct"/>
          </w:tcPr>
          <w:p w14:paraId="1D54B730" w14:textId="77777777" w:rsidR="007B7B0A" w:rsidRPr="007A1E91" w:rsidRDefault="007B7B0A" w:rsidP="007B7B0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B7B0A" w:rsidRPr="007A1E9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7B7B0A" w:rsidRPr="007A1E91" w:rsidRDefault="007B7B0A" w:rsidP="007B7B0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A1E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47BCB00" w:rsidR="007B7B0A" w:rsidRPr="007A1E91" w:rsidRDefault="007B7B0A" w:rsidP="007B7B0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E91">
              <w:rPr>
                <w:rFonts w:ascii="Arial" w:hAnsi="Arial" w:cs="Arial"/>
                <w:b/>
                <w:sz w:val="20"/>
                <w:szCs w:val="20"/>
              </w:rPr>
              <w:t>Yes.</w:t>
            </w:r>
            <w:r w:rsidRPr="007A1E9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A1E9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A1E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A1E9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A1E9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A1E9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A1E9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7A1E91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7A1E9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A1E9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A1E9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7A1E91">
              <w:rPr>
                <w:rFonts w:ascii="Arial" w:hAnsi="Arial" w:cs="Arial"/>
                <w:b/>
                <w:sz w:val="20"/>
                <w:szCs w:val="20"/>
              </w:rPr>
              <w:t xml:space="preserve">technically </w:t>
            </w:r>
            <w:r w:rsidRPr="007A1E91">
              <w:rPr>
                <w:rFonts w:ascii="Arial" w:hAnsi="Arial" w:cs="Arial"/>
                <w:b/>
                <w:spacing w:val="-2"/>
                <w:sz w:val="20"/>
                <w:szCs w:val="20"/>
              </w:rPr>
              <w:t>sound.</w:t>
            </w:r>
          </w:p>
        </w:tc>
        <w:tc>
          <w:tcPr>
            <w:tcW w:w="1523" w:type="pct"/>
          </w:tcPr>
          <w:p w14:paraId="4898F764" w14:textId="77777777" w:rsidR="007B7B0A" w:rsidRPr="007A1E91" w:rsidRDefault="007B7B0A" w:rsidP="007B7B0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B7B0A" w:rsidRPr="007A1E9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7B7B0A" w:rsidRPr="007A1E91" w:rsidRDefault="007B7B0A" w:rsidP="007B7B0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E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7B7B0A" w:rsidRPr="007A1E91" w:rsidRDefault="007B7B0A" w:rsidP="007B7B0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A1E9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4B3AC46" w:rsidR="007B7B0A" w:rsidRPr="007A1E91" w:rsidRDefault="007B7B0A" w:rsidP="007B7B0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E91">
              <w:rPr>
                <w:rFonts w:ascii="Arial" w:hAnsi="Arial" w:cs="Arial"/>
                <w:b/>
                <w:sz w:val="20"/>
                <w:szCs w:val="20"/>
              </w:rPr>
              <w:t>No. References are NOT sufficient. Most of the references do not have ISSN and ISBN. A few more recent references would have been mentioned.</w:t>
            </w:r>
          </w:p>
        </w:tc>
        <w:tc>
          <w:tcPr>
            <w:tcW w:w="1523" w:type="pct"/>
          </w:tcPr>
          <w:p w14:paraId="40220055" w14:textId="77777777" w:rsidR="007B7B0A" w:rsidRPr="007A1E91" w:rsidRDefault="007B7B0A" w:rsidP="007B7B0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B7B0A" w:rsidRPr="007A1E9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7B7B0A" w:rsidRPr="007A1E91" w:rsidRDefault="007B7B0A" w:rsidP="007B7B0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7B7B0A" w:rsidRPr="007A1E91" w:rsidRDefault="007B7B0A" w:rsidP="007B7B0A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A1E9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7B7B0A" w:rsidRPr="007A1E91" w:rsidRDefault="007B7B0A" w:rsidP="007B7B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03F1F794" w:rsidR="007B7B0A" w:rsidRPr="007A1E91" w:rsidRDefault="007B7B0A" w:rsidP="007B7B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E91">
              <w:rPr>
                <w:rFonts w:ascii="Arial" w:hAnsi="Arial" w:cs="Arial"/>
                <w:b/>
                <w:sz w:val="20"/>
                <w:szCs w:val="20"/>
              </w:rPr>
              <w:t>The language used in manuscript is lucid, simple and easy to understand and technically correct.</w:t>
            </w:r>
          </w:p>
        </w:tc>
        <w:tc>
          <w:tcPr>
            <w:tcW w:w="1523" w:type="pct"/>
          </w:tcPr>
          <w:p w14:paraId="0351CA58" w14:textId="77777777" w:rsidR="007B7B0A" w:rsidRPr="007A1E91" w:rsidRDefault="007B7B0A" w:rsidP="007B7B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7B0A" w:rsidRPr="007A1E9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7B7B0A" w:rsidRPr="007A1E91" w:rsidRDefault="007B7B0A" w:rsidP="007B7B0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A1E9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A1E9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A1E9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7B7B0A" w:rsidRPr="007A1E91" w:rsidRDefault="007B7B0A" w:rsidP="007B7B0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64FFBCCD" w:rsidR="007B7B0A" w:rsidRPr="007A1E91" w:rsidRDefault="007B7B0A" w:rsidP="007B7B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E91">
              <w:rPr>
                <w:rFonts w:ascii="Arial" w:hAnsi="Arial" w:cs="Arial"/>
                <w:b/>
                <w:sz w:val="20"/>
                <w:szCs w:val="20"/>
              </w:rPr>
              <w:t>The paper is technically suitable to be published as</w:t>
            </w:r>
            <w:r w:rsidRPr="007A1E91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7A1E91">
              <w:rPr>
                <w:rFonts w:ascii="Arial" w:hAnsi="Arial" w:cs="Arial"/>
                <w:b/>
                <w:sz w:val="20"/>
                <w:szCs w:val="20"/>
              </w:rPr>
              <w:t xml:space="preserve">its present form. But, graphical </w:t>
            </w:r>
            <w:proofErr w:type="spellStart"/>
            <w:r w:rsidRPr="007A1E91">
              <w:rPr>
                <w:rFonts w:ascii="Arial" w:hAnsi="Arial" w:cs="Arial"/>
                <w:b/>
                <w:sz w:val="20"/>
                <w:szCs w:val="20"/>
              </w:rPr>
              <w:t>representationsand</w:t>
            </w:r>
            <w:proofErr w:type="spellEnd"/>
            <w:r w:rsidRPr="007A1E91">
              <w:rPr>
                <w:rFonts w:ascii="Arial" w:hAnsi="Arial" w:cs="Arial"/>
                <w:b/>
                <w:sz w:val="20"/>
                <w:szCs w:val="20"/>
              </w:rPr>
              <w:t xml:space="preserve"> schematic diagrams/flowcharts would have been better to be representing at a glance.</w:t>
            </w:r>
          </w:p>
        </w:tc>
        <w:tc>
          <w:tcPr>
            <w:tcW w:w="1523" w:type="pct"/>
          </w:tcPr>
          <w:p w14:paraId="465E098E" w14:textId="77777777" w:rsidR="007B7B0A" w:rsidRPr="007A1E91" w:rsidRDefault="007B7B0A" w:rsidP="007B7B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A1E9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7A1E9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7A1E9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7A1E9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7A1E9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7A1E9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7A1E9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A1E9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A1E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A1E9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A1E9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A1E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A1E9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A1E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A1E9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1E9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A1E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A1E91">
              <w:rPr>
                <w:rFonts w:ascii="Arial" w:hAnsi="Arial" w:cs="Arial"/>
                <w:lang w:val="en-GB"/>
              </w:rPr>
              <w:t>Author’s comment</w:t>
            </w:r>
            <w:r w:rsidRPr="007A1E9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A1E9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A1E9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A1E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A1E9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A1E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A1E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A1E9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A1E9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A1E9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7A1E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7A1E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A1E9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A1E9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A1E9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A1E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1420E47" w14:textId="77777777" w:rsidR="007A1E91" w:rsidRPr="0049014E" w:rsidRDefault="007A1E91" w:rsidP="007A1E9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9014E">
        <w:rPr>
          <w:rFonts w:ascii="Arial" w:hAnsi="Arial" w:cs="Arial"/>
          <w:b/>
          <w:u w:val="single"/>
        </w:rPr>
        <w:t>Reviewer details:</w:t>
      </w:r>
    </w:p>
    <w:p w14:paraId="2E2A73A4" w14:textId="77777777" w:rsidR="007A1E91" w:rsidRPr="0049014E" w:rsidRDefault="007A1E91" w:rsidP="007A1E9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9014E">
        <w:rPr>
          <w:rFonts w:ascii="Arial" w:hAnsi="Arial" w:cs="Arial"/>
          <w:b/>
          <w:color w:val="000000"/>
        </w:rPr>
        <w:t xml:space="preserve">Sunil Kumar </w:t>
      </w:r>
      <w:proofErr w:type="spellStart"/>
      <w:r w:rsidRPr="0049014E">
        <w:rPr>
          <w:rFonts w:ascii="Arial" w:hAnsi="Arial" w:cs="Arial"/>
          <w:b/>
          <w:color w:val="000000"/>
        </w:rPr>
        <w:t>Baskey</w:t>
      </w:r>
      <w:proofErr w:type="spellEnd"/>
      <w:r w:rsidRPr="0049014E">
        <w:rPr>
          <w:rFonts w:ascii="Arial" w:hAnsi="Arial" w:cs="Arial"/>
          <w:b/>
          <w:color w:val="000000"/>
        </w:rPr>
        <w:t>, Rabindra Bharati University, India</w:t>
      </w:r>
    </w:p>
    <w:p w14:paraId="5995752B" w14:textId="77777777" w:rsidR="007A1E91" w:rsidRPr="007A1E91" w:rsidRDefault="007A1E9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7A1E91" w:rsidRPr="007A1E9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CC639" w14:textId="77777777" w:rsidR="000B3B94" w:rsidRPr="0000007A" w:rsidRDefault="000B3B94" w:rsidP="0099583E">
      <w:r>
        <w:separator/>
      </w:r>
    </w:p>
  </w:endnote>
  <w:endnote w:type="continuationSeparator" w:id="0">
    <w:p w14:paraId="576FA409" w14:textId="77777777" w:rsidR="000B3B94" w:rsidRPr="0000007A" w:rsidRDefault="000B3B9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866A9" w14:textId="77777777" w:rsidR="000B3B94" w:rsidRPr="0000007A" w:rsidRDefault="000B3B94" w:rsidP="0099583E">
      <w:r>
        <w:separator/>
      </w:r>
    </w:p>
  </w:footnote>
  <w:footnote w:type="continuationSeparator" w:id="0">
    <w:p w14:paraId="7E3DD2B2" w14:textId="77777777" w:rsidR="000B3B94" w:rsidRPr="0000007A" w:rsidRDefault="000B3B9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7575482">
    <w:abstractNumId w:val="3"/>
  </w:num>
  <w:num w:numId="2" w16cid:durableId="2024479641">
    <w:abstractNumId w:val="6"/>
  </w:num>
  <w:num w:numId="3" w16cid:durableId="1590192655">
    <w:abstractNumId w:val="5"/>
  </w:num>
  <w:num w:numId="4" w16cid:durableId="1922135989">
    <w:abstractNumId w:val="7"/>
  </w:num>
  <w:num w:numId="5" w16cid:durableId="1785685132">
    <w:abstractNumId w:val="4"/>
  </w:num>
  <w:num w:numId="6" w16cid:durableId="2102405048">
    <w:abstractNumId w:val="0"/>
  </w:num>
  <w:num w:numId="7" w16cid:durableId="984744187">
    <w:abstractNumId w:val="1"/>
  </w:num>
  <w:num w:numId="8" w16cid:durableId="1775709023">
    <w:abstractNumId w:val="9"/>
  </w:num>
  <w:num w:numId="9" w16cid:durableId="839975740">
    <w:abstractNumId w:val="8"/>
  </w:num>
  <w:num w:numId="10" w16cid:durableId="2118286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79E9"/>
    <w:rsid w:val="000A2134"/>
    <w:rsid w:val="000A2D36"/>
    <w:rsid w:val="000A6F41"/>
    <w:rsid w:val="000B3B94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1FBB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3D46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029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3356"/>
    <w:rsid w:val="00645A56"/>
    <w:rsid w:val="006478EB"/>
    <w:rsid w:val="006532DF"/>
    <w:rsid w:val="006539EE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1E91"/>
    <w:rsid w:val="007A62F8"/>
    <w:rsid w:val="007B1099"/>
    <w:rsid w:val="007B54A4"/>
    <w:rsid w:val="007B7B0A"/>
    <w:rsid w:val="007C57AE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6128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2B3A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041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6F3F"/>
    <w:rsid w:val="00ED7400"/>
    <w:rsid w:val="00EF326D"/>
    <w:rsid w:val="00EF53FE"/>
    <w:rsid w:val="00F1023C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B7B0A"/>
    <w:pPr>
      <w:widowControl w:val="0"/>
      <w:autoSpaceDE w:val="0"/>
      <w:autoSpaceDN w:val="0"/>
      <w:ind w:left="110"/>
    </w:pPr>
    <w:rPr>
      <w:sz w:val="22"/>
      <w:szCs w:val="22"/>
    </w:rPr>
  </w:style>
  <w:style w:type="paragraph" w:customStyle="1" w:styleId="Affiliation">
    <w:name w:val="Affiliation"/>
    <w:basedOn w:val="Normal"/>
    <w:rsid w:val="007A1E9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2025-04-14T09:45:00Z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