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92ED2" w14:paraId="1643A4CA" w14:textId="77777777" w:rsidTr="004847FF">
        <w:trPr>
          <w:trHeight w:val="450"/>
        </w:trPr>
        <w:tc>
          <w:tcPr>
            <w:tcW w:w="5000" w:type="pct"/>
            <w:gridSpan w:val="2"/>
            <w:tcBorders>
              <w:top w:val="nil"/>
              <w:left w:val="nil"/>
              <w:right w:val="nil"/>
            </w:tcBorders>
          </w:tcPr>
          <w:p w14:paraId="4C55E51F" w14:textId="77777777" w:rsidR="00602F7D" w:rsidRPr="00192ED2" w:rsidRDefault="00602F7D" w:rsidP="00F2643C">
            <w:pPr>
              <w:pStyle w:val="Heading2"/>
              <w:jc w:val="left"/>
              <w:rPr>
                <w:rFonts w:ascii="Arial" w:hAnsi="Arial" w:cs="Arial"/>
                <w:b w:val="0"/>
                <w:bCs w:val="0"/>
                <w:lang w:val="en-US"/>
              </w:rPr>
            </w:pPr>
          </w:p>
        </w:tc>
      </w:tr>
      <w:tr w:rsidR="0000007A" w:rsidRPr="00192ED2" w14:paraId="127EAD7E" w14:textId="77777777" w:rsidTr="00F33C84">
        <w:trPr>
          <w:trHeight w:val="413"/>
        </w:trPr>
        <w:tc>
          <w:tcPr>
            <w:tcW w:w="1234" w:type="pct"/>
          </w:tcPr>
          <w:p w14:paraId="3C159AA5" w14:textId="77777777" w:rsidR="0000007A" w:rsidRPr="00192ED2" w:rsidRDefault="00D27A79" w:rsidP="00696CAD">
            <w:pPr>
              <w:pStyle w:val="BodyText"/>
              <w:ind w:left="90"/>
              <w:jc w:val="left"/>
              <w:rPr>
                <w:rFonts w:ascii="Arial" w:hAnsi="Arial" w:cs="Arial"/>
                <w:bCs/>
                <w:sz w:val="20"/>
                <w:szCs w:val="20"/>
                <w:lang w:val="en-GB"/>
              </w:rPr>
            </w:pPr>
            <w:r w:rsidRPr="00192ED2">
              <w:rPr>
                <w:rFonts w:ascii="Arial" w:hAnsi="Arial" w:cs="Arial"/>
                <w:bCs/>
                <w:sz w:val="20"/>
                <w:szCs w:val="20"/>
                <w:lang w:val="en-GB"/>
              </w:rPr>
              <w:t xml:space="preserve">Book </w:t>
            </w:r>
            <w:r w:rsidR="0000007A" w:rsidRPr="00192ED2">
              <w:rPr>
                <w:rFonts w:ascii="Arial" w:hAnsi="Arial" w:cs="Arial"/>
                <w:bCs/>
                <w:sz w:val="20"/>
                <w:szCs w:val="20"/>
                <w:lang w:val="en-GB"/>
              </w:rPr>
              <w:t>Name:</w:t>
            </w:r>
          </w:p>
        </w:tc>
        <w:bookmarkStart w:id="0" w:name="_Hlk192338422"/>
        <w:tc>
          <w:tcPr>
            <w:tcW w:w="3766" w:type="pct"/>
            <w:shd w:val="clear" w:color="auto" w:fill="auto"/>
            <w:tcMar>
              <w:top w:w="0" w:type="dxa"/>
              <w:left w:w="108" w:type="dxa"/>
              <w:bottom w:w="0" w:type="dxa"/>
              <w:right w:w="108" w:type="dxa"/>
            </w:tcMar>
            <w:vAlign w:val="center"/>
          </w:tcPr>
          <w:p w14:paraId="23DA8DCD" w14:textId="070BF871" w:rsidR="0000007A" w:rsidRPr="00192ED2" w:rsidRDefault="001D49B0" w:rsidP="00054BC4">
            <w:pPr>
              <w:pStyle w:val="NormalWeb"/>
              <w:rPr>
                <w:rFonts w:ascii="Arial" w:hAnsi="Arial" w:cs="Arial"/>
                <w:b/>
                <w:bCs/>
                <w:sz w:val="20"/>
                <w:szCs w:val="20"/>
                <w:u w:val="single"/>
              </w:rPr>
            </w:pPr>
            <w:r w:rsidRPr="00192ED2">
              <w:rPr>
                <w:rFonts w:ascii="Arial" w:hAnsi="Arial" w:cs="Arial"/>
                <w:sz w:val="20"/>
                <w:szCs w:val="20"/>
              </w:rPr>
              <w:fldChar w:fldCharType="begin"/>
            </w:r>
            <w:r w:rsidRPr="00192ED2">
              <w:rPr>
                <w:rFonts w:ascii="Arial" w:hAnsi="Arial" w:cs="Arial"/>
                <w:sz w:val="20"/>
                <w:szCs w:val="20"/>
              </w:rPr>
              <w:instrText>HYPERLINK "https://www.bookpi.org/bookstore/product/food-science-and-agriculture-research-highlights-vol-1/"</w:instrText>
            </w:r>
            <w:r w:rsidRPr="00192ED2">
              <w:rPr>
                <w:rFonts w:ascii="Arial" w:hAnsi="Arial" w:cs="Arial"/>
                <w:sz w:val="20"/>
                <w:szCs w:val="20"/>
              </w:rPr>
              <w:fldChar w:fldCharType="separate"/>
            </w:r>
            <w:r w:rsidRPr="00192ED2">
              <w:rPr>
                <w:rStyle w:val="Hyperlink"/>
                <w:rFonts w:ascii="Arial" w:hAnsi="Arial" w:cs="Arial"/>
                <w:b/>
                <w:bCs/>
                <w:sz w:val="20"/>
                <w:szCs w:val="20"/>
              </w:rPr>
              <w:t>Food Science and Agriculture: Research Highlights</w:t>
            </w:r>
            <w:r w:rsidRPr="00192ED2">
              <w:rPr>
                <w:rFonts w:ascii="Arial" w:hAnsi="Arial" w:cs="Arial"/>
                <w:sz w:val="20"/>
                <w:szCs w:val="20"/>
              </w:rPr>
              <w:fldChar w:fldCharType="end"/>
            </w:r>
            <w:bookmarkEnd w:id="0"/>
          </w:p>
        </w:tc>
      </w:tr>
      <w:tr w:rsidR="0000007A" w:rsidRPr="00192ED2" w14:paraId="73C90375" w14:textId="77777777" w:rsidTr="002E7787">
        <w:trPr>
          <w:trHeight w:val="290"/>
        </w:trPr>
        <w:tc>
          <w:tcPr>
            <w:tcW w:w="1234" w:type="pct"/>
          </w:tcPr>
          <w:p w14:paraId="20D28135" w14:textId="77777777" w:rsidR="0000007A" w:rsidRPr="00192ED2" w:rsidRDefault="0000007A" w:rsidP="00696CAD">
            <w:pPr>
              <w:pStyle w:val="BodyText"/>
              <w:ind w:left="90"/>
              <w:jc w:val="left"/>
              <w:rPr>
                <w:rFonts w:ascii="Arial" w:hAnsi="Arial" w:cs="Arial"/>
                <w:bCs/>
                <w:sz w:val="20"/>
                <w:szCs w:val="20"/>
                <w:lang w:val="en-GB"/>
              </w:rPr>
            </w:pPr>
            <w:r w:rsidRPr="00192ED2">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5421A586" w:rsidR="0000007A" w:rsidRPr="00192ED2" w:rsidRDefault="00E72A8E" w:rsidP="00F3669D">
            <w:pPr>
              <w:pStyle w:val="NormalWeb"/>
              <w:spacing w:before="0" w:beforeAutospacing="0" w:after="0" w:afterAutospacing="0"/>
              <w:rPr>
                <w:rFonts w:ascii="Arial" w:hAnsi="Arial" w:cs="Arial"/>
                <w:b/>
                <w:bCs/>
                <w:sz w:val="20"/>
                <w:szCs w:val="20"/>
                <w:highlight w:val="yellow"/>
                <w:lang w:val="en-GB"/>
              </w:rPr>
            </w:pPr>
            <w:r w:rsidRPr="00192ED2">
              <w:rPr>
                <w:rFonts w:ascii="Arial" w:hAnsi="Arial" w:cs="Arial"/>
                <w:b/>
                <w:bCs/>
                <w:sz w:val="20"/>
                <w:szCs w:val="20"/>
                <w:lang w:val="en-GB"/>
              </w:rPr>
              <w:t>Ms_BP</w:t>
            </w:r>
            <w:r w:rsidR="00FC432A" w:rsidRPr="00192ED2">
              <w:rPr>
                <w:rFonts w:ascii="Arial" w:hAnsi="Arial" w:cs="Arial"/>
                <w:b/>
                <w:bCs/>
                <w:sz w:val="20"/>
                <w:szCs w:val="20"/>
                <w:lang w:val="en-GB"/>
              </w:rPr>
              <w:t>R</w:t>
            </w:r>
            <w:r w:rsidRPr="00192ED2">
              <w:rPr>
                <w:rFonts w:ascii="Arial" w:hAnsi="Arial" w:cs="Arial"/>
                <w:b/>
                <w:bCs/>
                <w:sz w:val="20"/>
                <w:szCs w:val="20"/>
                <w:lang w:val="en-GB"/>
              </w:rPr>
              <w:t>_</w:t>
            </w:r>
            <w:r w:rsidR="001D49B0" w:rsidRPr="00192ED2">
              <w:rPr>
                <w:rFonts w:ascii="Arial" w:hAnsi="Arial" w:cs="Arial"/>
                <w:b/>
                <w:bCs/>
                <w:sz w:val="20"/>
                <w:szCs w:val="20"/>
                <w:lang w:val="en-GB"/>
              </w:rPr>
              <w:t>4851</w:t>
            </w:r>
          </w:p>
        </w:tc>
      </w:tr>
      <w:tr w:rsidR="0000007A" w:rsidRPr="00192ED2" w14:paraId="05B60576" w14:textId="77777777" w:rsidTr="002109D6">
        <w:trPr>
          <w:trHeight w:val="331"/>
        </w:trPr>
        <w:tc>
          <w:tcPr>
            <w:tcW w:w="1234" w:type="pct"/>
          </w:tcPr>
          <w:p w14:paraId="0196A627" w14:textId="77777777" w:rsidR="0000007A" w:rsidRPr="00192ED2" w:rsidRDefault="0000007A" w:rsidP="00696CAD">
            <w:pPr>
              <w:pStyle w:val="BodyText"/>
              <w:ind w:left="90"/>
              <w:jc w:val="left"/>
              <w:rPr>
                <w:rFonts w:ascii="Arial" w:hAnsi="Arial" w:cs="Arial"/>
                <w:bCs/>
                <w:sz w:val="20"/>
                <w:szCs w:val="20"/>
                <w:lang w:val="en-GB"/>
              </w:rPr>
            </w:pPr>
            <w:r w:rsidRPr="00192ED2">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72CA572" w:rsidR="0000007A" w:rsidRPr="00192ED2" w:rsidRDefault="001D49B0" w:rsidP="000450FC">
            <w:pPr>
              <w:pStyle w:val="NormalWeb"/>
              <w:spacing w:before="0" w:beforeAutospacing="0" w:after="0" w:afterAutospacing="0"/>
              <w:rPr>
                <w:rFonts w:ascii="Arial" w:hAnsi="Arial" w:cs="Arial"/>
                <w:b/>
                <w:sz w:val="20"/>
                <w:szCs w:val="20"/>
                <w:highlight w:val="yellow"/>
                <w:lang w:val="en-GB"/>
              </w:rPr>
            </w:pPr>
            <w:bookmarkStart w:id="1" w:name="_Hlk192338396"/>
            <w:r w:rsidRPr="00192ED2">
              <w:rPr>
                <w:rFonts w:ascii="Arial" w:hAnsi="Arial" w:cs="Arial"/>
                <w:b/>
                <w:sz w:val="20"/>
                <w:szCs w:val="20"/>
                <w:lang w:val="en-GB"/>
              </w:rPr>
              <w:t>Exploring Sustainability in Wineries: Evaluating Food Safety and Environmental Management Aligning with the Farm to Fork Strategy</w:t>
            </w:r>
            <w:bookmarkEnd w:id="1"/>
          </w:p>
        </w:tc>
      </w:tr>
      <w:tr w:rsidR="00CF0BBB" w:rsidRPr="00192ED2" w14:paraId="6D508B1C" w14:textId="77777777" w:rsidTr="002E7787">
        <w:trPr>
          <w:trHeight w:val="332"/>
        </w:trPr>
        <w:tc>
          <w:tcPr>
            <w:tcW w:w="1234" w:type="pct"/>
          </w:tcPr>
          <w:p w14:paraId="32FC28F7" w14:textId="77777777" w:rsidR="00CF0BBB" w:rsidRPr="00192ED2" w:rsidRDefault="00CF0BBB" w:rsidP="00696CAD">
            <w:pPr>
              <w:pStyle w:val="BodyText"/>
              <w:ind w:left="90"/>
              <w:jc w:val="left"/>
              <w:rPr>
                <w:rFonts w:ascii="Arial" w:hAnsi="Arial" w:cs="Arial"/>
                <w:bCs/>
                <w:sz w:val="20"/>
                <w:szCs w:val="20"/>
                <w:lang w:val="en-GB"/>
              </w:rPr>
            </w:pPr>
            <w:r w:rsidRPr="00192ED2">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2DED9B80" w:rsidR="00CF0BBB" w:rsidRPr="00192ED2" w:rsidRDefault="001D49B0" w:rsidP="000450FC">
            <w:pPr>
              <w:pStyle w:val="NormalWeb"/>
              <w:spacing w:before="0" w:beforeAutospacing="0" w:after="0" w:afterAutospacing="0"/>
              <w:rPr>
                <w:rFonts w:ascii="Arial" w:hAnsi="Arial" w:cs="Arial"/>
                <w:b/>
                <w:sz w:val="20"/>
                <w:szCs w:val="20"/>
                <w:lang w:val="en-GB"/>
              </w:rPr>
            </w:pPr>
            <w:r w:rsidRPr="00192ED2">
              <w:rPr>
                <w:rFonts w:ascii="Arial" w:hAnsi="Arial" w:cs="Arial"/>
                <w:b/>
                <w:sz w:val="20"/>
                <w:szCs w:val="20"/>
                <w:lang w:val="en-GB"/>
              </w:rPr>
              <w:t>Book Chapter</w:t>
            </w:r>
          </w:p>
        </w:tc>
      </w:tr>
    </w:tbl>
    <w:p w14:paraId="45F5983C" w14:textId="77777777" w:rsidR="00037D52" w:rsidRPr="00192ED2" w:rsidRDefault="00037D52" w:rsidP="0000007A">
      <w:pPr>
        <w:pStyle w:val="BodyText"/>
        <w:rPr>
          <w:rFonts w:ascii="Arial" w:hAnsi="Arial" w:cs="Arial"/>
          <w:b/>
          <w:bCs/>
          <w:sz w:val="20"/>
          <w:szCs w:val="20"/>
          <w:u w:val="single"/>
          <w:lang w:val="en-GB"/>
        </w:rPr>
      </w:pPr>
    </w:p>
    <w:p w14:paraId="79DE1CF8" w14:textId="77777777" w:rsidR="00605952" w:rsidRPr="00192ED2" w:rsidRDefault="00605952" w:rsidP="0000007A">
      <w:pPr>
        <w:pStyle w:val="BodyText"/>
        <w:rPr>
          <w:rFonts w:ascii="Arial" w:hAnsi="Arial" w:cs="Arial"/>
          <w:b/>
          <w:bCs/>
          <w:sz w:val="20"/>
          <w:szCs w:val="20"/>
          <w:u w:val="single"/>
          <w:lang w:val="en-GB"/>
        </w:rPr>
      </w:pPr>
    </w:p>
    <w:p w14:paraId="590A5ADE" w14:textId="77777777" w:rsidR="00D9392F" w:rsidRPr="00192ED2" w:rsidRDefault="00D9392F" w:rsidP="0000007A">
      <w:pPr>
        <w:pStyle w:val="BodyText"/>
        <w:rPr>
          <w:rFonts w:ascii="Arial" w:hAnsi="Arial" w:cs="Arial"/>
          <w:i/>
          <w:sz w:val="20"/>
          <w:szCs w:val="20"/>
          <w:u w:val="single"/>
          <w:lang w:val="en-GB"/>
        </w:rPr>
      </w:pPr>
    </w:p>
    <w:p w14:paraId="17599C49" w14:textId="77777777" w:rsidR="00626025" w:rsidRPr="00192ED2" w:rsidRDefault="00626025" w:rsidP="00D27A79">
      <w:pPr>
        <w:pStyle w:val="BodyText"/>
        <w:jc w:val="left"/>
        <w:rPr>
          <w:rFonts w:ascii="Arial" w:hAnsi="Arial" w:cs="Arial"/>
          <w:color w:val="222222"/>
          <w:sz w:val="20"/>
          <w:szCs w:val="20"/>
          <w:lang w:val="en-GB"/>
        </w:rPr>
      </w:pPr>
    </w:p>
    <w:p w14:paraId="37E43B60" w14:textId="77777777" w:rsidR="0086369B" w:rsidRPr="00192ED2" w:rsidRDefault="0086369B" w:rsidP="00626025">
      <w:pPr>
        <w:pStyle w:val="BodyText"/>
        <w:rPr>
          <w:rFonts w:ascii="Arial" w:hAnsi="Arial" w:cs="Arial"/>
          <w:b/>
          <w:color w:val="222222"/>
          <w:sz w:val="20"/>
          <w:szCs w:val="20"/>
          <w:u w:val="single"/>
          <w:lang w:val="en-US"/>
        </w:rPr>
      </w:pPr>
    </w:p>
    <w:p w14:paraId="63CD6BCB" w14:textId="0FFEAA9E" w:rsidR="00626025" w:rsidRPr="00192ED2" w:rsidRDefault="00640538" w:rsidP="00626025">
      <w:pPr>
        <w:pStyle w:val="BodyText"/>
        <w:rPr>
          <w:rFonts w:ascii="Arial" w:hAnsi="Arial" w:cs="Arial"/>
          <w:b/>
          <w:color w:val="222222"/>
          <w:sz w:val="20"/>
          <w:szCs w:val="20"/>
          <w:u w:val="single"/>
          <w:lang w:val="en-US"/>
        </w:rPr>
      </w:pPr>
      <w:r w:rsidRPr="00192ED2">
        <w:rPr>
          <w:rFonts w:ascii="Arial" w:hAnsi="Arial" w:cs="Arial"/>
          <w:b/>
          <w:color w:val="222222"/>
          <w:sz w:val="20"/>
          <w:szCs w:val="20"/>
          <w:u w:val="single"/>
          <w:lang w:val="en-US"/>
        </w:rPr>
        <w:t>Special note:</w:t>
      </w:r>
    </w:p>
    <w:p w14:paraId="1AC448A2" w14:textId="77777777" w:rsidR="007B54A4" w:rsidRPr="00192ED2" w:rsidRDefault="007B54A4" w:rsidP="00626025">
      <w:pPr>
        <w:pStyle w:val="BodyText"/>
        <w:rPr>
          <w:rFonts w:ascii="Arial" w:hAnsi="Arial" w:cs="Arial"/>
          <w:b/>
          <w:color w:val="222222"/>
          <w:sz w:val="20"/>
          <w:szCs w:val="20"/>
          <w:u w:val="single"/>
          <w:lang w:val="en-US"/>
        </w:rPr>
      </w:pPr>
    </w:p>
    <w:p w14:paraId="7F950B43" w14:textId="3CFD7BBC" w:rsidR="007B54A4" w:rsidRPr="00192ED2" w:rsidRDefault="00955E45" w:rsidP="00626025">
      <w:pPr>
        <w:pStyle w:val="BodyText"/>
        <w:rPr>
          <w:rFonts w:ascii="Arial" w:hAnsi="Arial" w:cs="Arial"/>
          <w:b/>
          <w:color w:val="222222"/>
          <w:sz w:val="20"/>
          <w:szCs w:val="20"/>
          <w:lang w:val="en-US"/>
        </w:rPr>
      </w:pPr>
      <w:r w:rsidRPr="00192ED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192ED2" w:rsidRDefault="00B3734C" w:rsidP="00626025">
      <w:pPr>
        <w:pStyle w:val="BodyText"/>
        <w:rPr>
          <w:rFonts w:ascii="Arial" w:hAnsi="Arial" w:cs="Arial"/>
          <w:b/>
          <w:color w:val="222222"/>
          <w:sz w:val="20"/>
          <w:szCs w:val="20"/>
          <w:u w:val="single"/>
          <w:lang w:val="en-US"/>
        </w:rPr>
      </w:pPr>
      <w:r w:rsidRPr="00192ED2">
        <w:rPr>
          <w:rFonts w:ascii="Arial" w:hAnsi="Arial" w:cs="Arial"/>
          <w:b/>
          <w:noProof/>
          <w:color w:val="222222"/>
          <w:sz w:val="20"/>
          <w:szCs w:val="20"/>
          <w:u w:val="single"/>
          <w:lang w:val="en-US"/>
        </w:rPr>
        <w:pict w14:anchorId="3BD12FF5">
          <v:rect id="_x0000_s1026"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7FAE8EB" w:rsidR="00E03C32" w:rsidRDefault="001D49B0" w:rsidP="00E03C32">
                  <w:pPr>
                    <w:pStyle w:val="BodyText"/>
                    <w:jc w:val="left"/>
                    <w:rPr>
                      <w:rFonts w:ascii="Arial" w:hAnsi="Arial" w:cs="Arial"/>
                      <w:b/>
                      <w:color w:val="222222"/>
                      <w:sz w:val="32"/>
                      <w:lang w:val="en-US"/>
                    </w:rPr>
                  </w:pPr>
                  <w:r w:rsidRPr="001D49B0">
                    <w:rPr>
                      <w:rFonts w:ascii="Arial" w:hAnsi="Arial" w:cs="Arial"/>
                      <w:b/>
                      <w:color w:val="222222"/>
                      <w:sz w:val="32"/>
                      <w:lang w:val="en-US"/>
                    </w:rPr>
                    <w:t>Agriculture</w:t>
                  </w:r>
                  <w:r w:rsidR="00E03C32" w:rsidRPr="00640538">
                    <w:rPr>
                      <w:rFonts w:ascii="Arial" w:hAnsi="Arial" w:cs="Arial"/>
                      <w:b/>
                      <w:color w:val="222222"/>
                      <w:sz w:val="32"/>
                      <w:lang w:val="en-US"/>
                    </w:rPr>
                    <w:t xml:space="preserve">, </w:t>
                  </w:r>
                  <w:r>
                    <w:rPr>
                      <w:rFonts w:ascii="Arial" w:hAnsi="Arial" w:cs="Arial"/>
                      <w:b/>
                      <w:color w:val="222222"/>
                      <w:sz w:val="32"/>
                      <w:lang w:val="en-US"/>
                    </w:rPr>
                    <w:t>14</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sidRPr="001D49B0">
                    <w:rPr>
                      <w:rFonts w:ascii="Arial" w:hAnsi="Arial" w:cs="Arial"/>
                      <w:b/>
                      <w:color w:val="222222"/>
                      <w:sz w:val="32"/>
                      <w:lang w:val="en-US"/>
                    </w:rPr>
                    <w:t>330</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6F8F8FD8"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1D49B0" w:rsidRPr="001D49B0">
                    <w:rPr>
                      <w:rFonts w:ascii="Arial" w:hAnsi="Arial" w:cs="Arial"/>
                      <w:b/>
                      <w:color w:val="222222"/>
                      <w:sz w:val="32"/>
                      <w:lang w:val="en-US"/>
                    </w:rPr>
                    <w:t xml:space="preserve"> </w:t>
                  </w:r>
                  <w:hyperlink r:id="rId7" w:history="1">
                    <w:r w:rsidR="001D49B0" w:rsidRPr="000D08EA">
                      <w:rPr>
                        <w:rStyle w:val="Hyperlink"/>
                        <w:rFonts w:ascii="Arial" w:hAnsi="Arial" w:cs="Arial"/>
                        <w:b/>
                        <w:sz w:val="32"/>
                        <w:lang w:val="en-US"/>
                      </w:rPr>
                      <w:t>https://doi.org/10.3390/agriculture14030330</w:t>
                    </w:r>
                  </w:hyperlink>
                  <w:r w:rsidR="001D49B0">
                    <w:rPr>
                      <w:rFonts w:ascii="Arial" w:hAnsi="Arial" w:cs="Arial"/>
                      <w:b/>
                      <w:color w:val="222222"/>
                      <w:sz w:val="32"/>
                      <w:lang w:val="en-US"/>
                    </w:rPr>
                    <w:t xml:space="preserve"> </w:t>
                  </w:r>
                </w:p>
              </w:txbxContent>
            </v:textbox>
          </v:rect>
        </w:pict>
      </w:r>
    </w:p>
    <w:p w14:paraId="40641486" w14:textId="77777777" w:rsidR="00D9392F" w:rsidRPr="00192ED2" w:rsidRDefault="002A3D7C" w:rsidP="00626025">
      <w:pPr>
        <w:pStyle w:val="BodyText"/>
        <w:jc w:val="left"/>
        <w:rPr>
          <w:rFonts w:ascii="Arial" w:hAnsi="Arial" w:cs="Arial"/>
          <w:color w:val="222222"/>
          <w:sz w:val="20"/>
          <w:szCs w:val="20"/>
          <w:lang w:val="en-IN"/>
        </w:rPr>
      </w:pPr>
      <w:r w:rsidRPr="00192ED2">
        <w:rPr>
          <w:rFonts w:ascii="Arial" w:hAnsi="Arial" w:cs="Arial"/>
          <w:color w:val="222222"/>
          <w:sz w:val="20"/>
          <w:szCs w:val="20"/>
          <w:lang w:val="en-IN"/>
        </w:rPr>
        <w:br w:type="page"/>
      </w:r>
    </w:p>
    <w:p w14:paraId="5A743ECE" w14:textId="77777777" w:rsidR="00D27A79" w:rsidRPr="00192ED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92ED2" w14:paraId="71A94C1F" w14:textId="77777777" w:rsidTr="007222C8">
        <w:tc>
          <w:tcPr>
            <w:tcW w:w="5000" w:type="pct"/>
            <w:gridSpan w:val="3"/>
            <w:tcBorders>
              <w:top w:val="nil"/>
              <w:left w:val="nil"/>
              <w:right w:val="nil"/>
            </w:tcBorders>
            <w:noWrap/>
          </w:tcPr>
          <w:p w14:paraId="0BC15285" w14:textId="75BEB51F" w:rsidR="00F1171E" w:rsidRPr="00192ED2" w:rsidRDefault="00F1171E" w:rsidP="007222C8">
            <w:pPr>
              <w:pStyle w:val="Heading2"/>
              <w:jc w:val="left"/>
              <w:rPr>
                <w:rFonts w:ascii="Arial" w:hAnsi="Arial" w:cs="Arial"/>
                <w:lang w:val="en-GB"/>
              </w:rPr>
            </w:pPr>
            <w:r w:rsidRPr="00192ED2">
              <w:rPr>
                <w:rFonts w:ascii="Arial" w:hAnsi="Arial" w:cs="Arial"/>
                <w:highlight w:val="yellow"/>
                <w:lang w:val="en-GB"/>
              </w:rPr>
              <w:t>PART  1:</w:t>
            </w:r>
            <w:r w:rsidRPr="00192ED2">
              <w:rPr>
                <w:rFonts w:ascii="Arial" w:hAnsi="Arial" w:cs="Arial"/>
                <w:lang w:val="en-GB"/>
              </w:rPr>
              <w:t xml:space="preserve"> Comments</w:t>
            </w:r>
          </w:p>
          <w:p w14:paraId="1287753C" w14:textId="77777777" w:rsidR="00F1171E" w:rsidRPr="00192ED2" w:rsidRDefault="00F1171E" w:rsidP="007222C8">
            <w:pPr>
              <w:rPr>
                <w:rFonts w:ascii="Arial" w:hAnsi="Arial" w:cs="Arial"/>
                <w:sz w:val="20"/>
                <w:szCs w:val="20"/>
                <w:lang w:val="en-GB"/>
              </w:rPr>
            </w:pPr>
          </w:p>
        </w:tc>
      </w:tr>
      <w:tr w:rsidR="00F1171E" w:rsidRPr="00192ED2" w14:paraId="5EA12279" w14:textId="77777777" w:rsidTr="007222C8">
        <w:tc>
          <w:tcPr>
            <w:tcW w:w="1265" w:type="pct"/>
            <w:noWrap/>
          </w:tcPr>
          <w:p w14:paraId="7AE9682F" w14:textId="77777777" w:rsidR="00F1171E" w:rsidRPr="00192ED2" w:rsidRDefault="00F1171E" w:rsidP="007222C8">
            <w:pPr>
              <w:pStyle w:val="Heading2"/>
              <w:jc w:val="left"/>
              <w:rPr>
                <w:rFonts w:ascii="Arial" w:hAnsi="Arial" w:cs="Arial"/>
                <w:lang w:val="en-GB"/>
              </w:rPr>
            </w:pPr>
          </w:p>
        </w:tc>
        <w:tc>
          <w:tcPr>
            <w:tcW w:w="2212" w:type="pct"/>
          </w:tcPr>
          <w:p w14:paraId="5B8DBE06" w14:textId="77777777" w:rsidR="00F1171E" w:rsidRPr="00192ED2" w:rsidRDefault="00F1171E" w:rsidP="007222C8">
            <w:pPr>
              <w:pStyle w:val="Heading2"/>
              <w:jc w:val="left"/>
              <w:rPr>
                <w:rFonts w:ascii="Arial" w:hAnsi="Arial" w:cs="Arial"/>
                <w:lang w:val="en-GB"/>
              </w:rPr>
            </w:pPr>
            <w:r w:rsidRPr="00192ED2">
              <w:rPr>
                <w:rFonts w:ascii="Arial" w:hAnsi="Arial" w:cs="Arial"/>
                <w:lang w:val="en-GB"/>
              </w:rPr>
              <w:t>Reviewer’s comment</w:t>
            </w:r>
          </w:p>
          <w:p w14:paraId="693A9C4D" w14:textId="77777777" w:rsidR="00421DBF" w:rsidRPr="00192ED2" w:rsidRDefault="00421DBF" w:rsidP="00421DBF">
            <w:pPr>
              <w:rPr>
                <w:rFonts w:ascii="Arial" w:hAnsi="Arial" w:cs="Arial"/>
                <w:b/>
                <w:bCs/>
                <w:sz w:val="20"/>
                <w:szCs w:val="20"/>
              </w:rPr>
            </w:pPr>
            <w:r w:rsidRPr="00192ED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92ED2" w:rsidRDefault="00421DBF" w:rsidP="00421DBF">
            <w:pPr>
              <w:rPr>
                <w:rFonts w:ascii="Arial" w:hAnsi="Arial" w:cs="Arial"/>
                <w:sz w:val="20"/>
                <w:szCs w:val="20"/>
                <w:lang w:val="en-GB"/>
              </w:rPr>
            </w:pPr>
          </w:p>
        </w:tc>
        <w:tc>
          <w:tcPr>
            <w:tcW w:w="1523" w:type="pct"/>
          </w:tcPr>
          <w:p w14:paraId="57792C30" w14:textId="77777777" w:rsidR="00F1171E" w:rsidRPr="00192ED2" w:rsidRDefault="00F1171E" w:rsidP="007222C8">
            <w:pPr>
              <w:pStyle w:val="Heading2"/>
              <w:jc w:val="left"/>
              <w:rPr>
                <w:rFonts w:ascii="Arial" w:hAnsi="Arial" w:cs="Arial"/>
                <w:b w:val="0"/>
                <w:lang w:val="en-GB"/>
              </w:rPr>
            </w:pPr>
            <w:r w:rsidRPr="00192ED2">
              <w:rPr>
                <w:rFonts w:ascii="Arial" w:hAnsi="Arial" w:cs="Arial"/>
                <w:lang w:val="en-GB"/>
              </w:rPr>
              <w:t>Author’s Feedback</w:t>
            </w:r>
            <w:r w:rsidRPr="00192ED2">
              <w:rPr>
                <w:rFonts w:ascii="Arial" w:hAnsi="Arial" w:cs="Arial"/>
                <w:b w:val="0"/>
                <w:lang w:val="en-GB"/>
              </w:rPr>
              <w:t xml:space="preserve"> </w:t>
            </w:r>
            <w:r w:rsidRPr="00192ED2">
              <w:rPr>
                <w:rFonts w:ascii="Arial" w:hAnsi="Arial" w:cs="Arial"/>
                <w:b w:val="0"/>
                <w:i/>
                <w:lang w:val="en-GB"/>
              </w:rPr>
              <w:t>(Please correct the manuscript and highlight that part in the manuscript. It is mandatory that authors should write his/her feedback here)</w:t>
            </w:r>
          </w:p>
        </w:tc>
      </w:tr>
      <w:tr w:rsidR="00736F9B" w:rsidRPr="00192ED2" w14:paraId="5C0AB4EC" w14:textId="77777777" w:rsidTr="007222C8">
        <w:trPr>
          <w:trHeight w:val="1264"/>
        </w:trPr>
        <w:tc>
          <w:tcPr>
            <w:tcW w:w="1265" w:type="pct"/>
            <w:noWrap/>
          </w:tcPr>
          <w:p w14:paraId="66B47184" w14:textId="48030299" w:rsidR="00736F9B" w:rsidRPr="00192ED2" w:rsidRDefault="00736F9B" w:rsidP="00736F9B">
            <w:pPr>
              <w:ind w:left="360"/>
              <w:rPr>
                <w:rFonts w:ascii="Arial" w:hAnsi="Arial" w:cs="Arial"/>
                <w:b/>
                <w:bCs/>
                <w:sz w:val="20"/>
                <w:szCs w:val="20"/>
                <w:lang w:val="en-GB"/>
              </w:rPr>
            </w:pPr>
            <w:r w:rsidRPr="00192ED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736F9B" w:rsidRPr="00192ED2" w:rsidRDefault="00736F9B" w:rsidP="00736F9B">
            <w:pPr>
              <w:ind w:left="360"/>
              <w:rPr>
                <w:rFonts w:ascii="Arial" w:eastAsia="MS Mincho" w:hAnsi="Arial" w:cs="Arial"/>
                <w:b/>
                <w:bCs/>
                <w:sz w:val="20"/>
                <w:szCs w:val="20"/>
                <w:lang w:val="en-GB"/>
              </w:rPr>
            </w:pPr>
          </w:p>
        </w:tc>
        <w:tc>
          <w:tcPr>
            <w:tcW w:w="2212" w:type="pct"/>
          </w:tcPr>
          <w:p w14:paraId="023533FC" w14:textId="62A8064F" w:rsidR="00736F9B" w:rsidRPr="00192ED2" w:rsidRDefault="00736F9B" w:rsidP="00736F9B">
            <w:pPr>
              <w:pStyle w:val="ListParagraph"/>
              <w:ind w:left="0"/>
              <w:rPr>
                <w:rFonts w:ascii="Arial" w:hAnsi="Arial" w:cs="Arial"/>
                <w:sz w:val="20"/>
                <w:szCs w:val="20"/>
              </w:rPr>
            </w:pPr>
            <w:r w:rsidRPr="00192ED2">
              <w:rPr>
                <w:rFonts w:ascii="Arial" w:hAnsi="Arial" w:cs="Arial"/>
                <w:color w:val="0A0A0A"/>
                <w:sz w:val="20"/>
                <w:szCs w:val="20"/>
              </w:rPr>
              <w:t xml:space="preserve">From my point of view, it is a very interesting topic and simultaneously it seems that to the best of my knowledge is an important research </w:t>
            </w:r>
            <w:r w:rsidRPr="00192ED2">
              <w:rPr>
                <w:rFonts w:ascii="Arial" w:hAnsi="Arial" w:cs="Arial"/>
                <w:sz w:val="20"/>
                <w:szCs w:val="20"/>
              </w:rPr>
              <w:t xml:space="preserve">showed that the Farm to Fork (F2F) Strategy, a key initiative of the European Commission under the European Green Deal, strives to make the European Union’s (EU) economy sustainable. Focused on the food system, the F2F Strategy prioritizes sustainability in agriculture, eco-friendly practices, biodiversity preservation, and climate change mitigation. It targets high food safety (FS) and environmental management (EM) standards across the Agri-food Supply Chain (ASC). Addressing sustainability challenges in the wine industry, this study delves into </w:t>
            </w:r>
            <w:proofErr w:type="spellStart"/>
            <w:r w:rsidRPr="00192ED2">
              <w:rPr>
                <w:rFonts w:ascii="Arial" w:hAnsi="Arial" w:cs="Arial"/>
                <w:sz w:val="20"/>
                <w:szCs w:val="20"/>
              </w:rPr>
              <w:t>theWine</w:t>
            </w:r>
            <w:proofErr w:type="spellEnd"/>
            <w:r w:rsidRPr="00192ED2">
              <w:rPr>
                <w:rFonts w:ascii="Arial" w:hAnsi="Arial" w:cs="Arial"/>
                <w:sz w:val="20"/>
                <w:szCs w:val="20"/>
              </w:rPr>
              <w:t xml:space="preserve"> Value Chain (WVC).</w:t>
            </w:r>
          </w:p>
          <w:p w14:paraId="4E18078A" w14:textId="77777777" w:rsidR="00736F9B" w:rsidRPr="00192ED2" w:rsidRDefault="00736F9B" w:rsidP="00736F9B">
            <w:pPr>
              <w:pStyle w:val="ListParagraph"/>
              <w:ind w:left="0"/>
              <w:rPr>
                <w:rFonts w:ascii="Arial" w:hAnsi="Arial" w:cs="Arial"/>
                <w:sz w:val="20"/>
                <w:szCs w:val="20"/>
              </w:rPr>
            </w:pPr>
            <w:r w:rsidRPr="00192ED2">
              <w:rPr>
                <w:rFonts w:ascii="Arial" w:hAnsi="Arial" w:cs="Arial"/>
                <w:sz w:val="20"/>
                <w:szCs w:val="20"/>
              </w:rPr>
              <w:t>Emphasizing the intricate sustainability interplay within the WVC, this study concentrates on FS and</w:t>
            </w:r>
          </w:p>
          <w:p w14:paraId="0AE60D6F" w14:textId="77777777" w:rsidR="00736F9B" w:rsidRPr="00192ED2" w:rsidRDefault="00736F9B" w:rsidP="00736F9B">
            <w:pPr>
              <w:pStyle w:val="ListParagraph"/>
              <w:ind w:left="0"/>
              <w:rPr>
                <w:rFonts w:ascii="Arial" w:hAnsi="Arial" w:cs="Arial"/>
                <w:sz w:val="20"/>
                <w:szCs w:val="20"/>
              </w:rPr>
            </w:pPr>
            <w:r w:rsidRPr="00192ED2">
              <w:rPr>
                <w:rFonts w:ascii="Arial" w:hAnsi="Arial" w:cs="Arial"/>
                <w:sz w:val="20"/>
                <w:szCs w:val="20"/>
              </w:rPr>
              <w:t>EM to ensure the long-term viability of wine production. The primary goal is to create a comprehensive</w:t>
            </w:r>
          </w:p>
          <w:p w14:paraId="369E0CB4" w14:textId="77777777" w:rsidR="00736F9B" w:rsidRPr="00192ED2" w:rsidRDefault="00736F9B" w:rsidP="00736F9B">
            <w:pPr>
              <w:pStyle w:val="ListParagraph"/>
              <w:ind w:left="0"/>
              <w:rPr>
                <w:rFonts w:ascii="Arial" w:hAnsi="Arial" w:cs="Arial"/>
                <w:sz w:val="20"/>
                <w:szCs w:val="20"/>
              </w:rPr>
            </w:pPr>
            <w:r w:rsidRPr="00192ED2">
              <w:rPr>
                <w:rFonts w:ascii="Arial" w:hAnsi="Arial" w:cs="Arial"/>
                <w:sz w:val="20"/>
                <w:szCs w:val="20"/>
              </w:rPr>
              <w:t>sustainability evaluation method for wineries, incorporating performance indicators from</w:t>
            </w:r>
          </w:p>
          <w:p w14:paraId="685A23C3" w14:textId="77777777" w:rsidR="00736F9B" w:rsidRPr="00192ED2" w:rsidRDefault="00736F9B" w:rsidP="00736F9B">
            <w:pPr>
              <w:pStyle w:val="ListParagraph"/>
              <w:ind w:left="0"/>
              <w:rPr>
                <w:rFonts w:ascii="Arial" w:hAnsi="Arial" w:cs="Arial"/>
                <w:sz w:val="20"/>
                <w:szCs w:val="20"/>
              </w:rPr>
            </w:pPr>
            <w:r w:rsidRPr="00192ED2">
              <w:rPr>
                <w:rFonts w:ascii="Arial" w:hAnsi="Arial" w:cs="Arial"/>
                <w:sz w:val="20"/>
                <w:szCs w:val="20"/>
              </w:rPr>
              <w:t>FS and EM components. The methodology involves assessing Food Safety Management Systems</w:t>
            </w:r>
          </w:p>
          <w:p w14:paraId="651AEFE4" w14:textId="77777777" w:rsidR="00736F9B" w:rsidRPr="00192ED2" w:rsidRDefault="00736F9B" w:rsidP="00736F9B">
            <w:pPr>
              <w:pStyle w:val="ListParagraph"/>
              <w:ind w:left="0"/>
              <w:rPr>
                <w:rFonts w:ascii="Arial" w:hAnsi="Arial" w:cs="Arial"/>
                <w:sz w:val="20"/>
                <w:szCs w:val="20"/>
              </w:rPr>
            </w:pPr>
            <w:r w:rsidRPr="00192ED2">
              <w:rPr>
                <w:rFonts w:ascii="Arial" w:hAnsi="Arial" w:cs="Arial"/>
                <w:sz w:val="20"/>
                <w:szCs w:val="20"/>
              </w:rPr>
              <w:t>(FSMSs), evaluating Environmental Management Systems (EMSs), investigating contamination risks,</w:t>
            </w:r>
          </w:p>
          <w:p w14:paraId="5571E7ED" w14:textId="77777777" w:rsidR="00736F9B" w:rsidRPr="00192ED2" w:rsidRDefault="00736F9B" w:rsidP="00736F9B">
            <w:pPr>
              <w:pStyle w:val="ListParagraph"/>
              <w:ind w:left="0"/>
              <w:rPr>
                <w:rFonts w:ascii="Arial" w:hAnsi="Arial" w:cs="Arial"/>
                <w:sz w:val="20"/>
                <w:szCs w:val="20"/>
              </w:rPr>
            </w:pPr>
            <w:r w:rsidRPr="00192ED2">
              <w:rPr>
                <w:rFonts w:ascii="Arial" w:hAnsi="Arial" w:cs="Arial"/>
                <w:sz w:val="20"/>
                <w:szCs w:val="20"/>
              </w:rPr>
              <w:t>and synthesizing results into a sustainability matrix. Findings highlight commendable FS practices,</w:t>
            </w:r>
          </w:p>
          <w:p w14:paraId="0DDB50BC" w14:textId="77777777" w:rsidR="00736F9B" w:rsidRPr="00192ED2" w:rsidRDefault="00736F9B" w:rsidP="00736F9B">
            <w:pPr>
              <w:pStyle w:val="ListParagraph"/>
              <w:ind w:left="0"/>
              <w:rPr>
                <w:rFonts w:ascii="Arial" w:hAnsi="Arial" w:cs="Arial"/>
                <w:sz w:val="20"/>
                <w:szCs w:val="20"/>
              </w:rPr>
            </w:pPr>
            <w:r w:rsidRPr="00192ED2">
              <w:rPr>
                <w:rFonts w:ascii="Arial" w:hAnsi="Arial" w:cs="Arial"/>
                <w:sz w:val="20"/>
                <w:szCs w:val="20"/>
              </w:rPr>
              <w:t>such as widespread Hazard Analysis and Critical Control Point (HACCP) adoption and underscore</w:t>
            </w:r>
          </w:p>
          <w:p w14:paraId="31B4E369" w14:textId="77777777" w:rsidR="00736F9B" w:rsidRPr="00192ED2" w:rsidRDefault="00736F9B" w:rsidP="00736F9B">
            <w:pPr>
              <w:pStyle w:val="ListParagraph"/>
              <w:ind w:left="0"/>
              <w:rPr>
                <w:rFonts w:ascii="Arial" w:hAnsi="Arial" w:cs="Arial"/>
                <w:sz w:val="20"/>
                <w:szCs w:val="20"/>
              </w:rPr>
            </w:pPr>
            <w:r w:rsidRPr="00192ED2">
              <w:rPr>
                <w:rFonts w:ascii="Arial" w:hAnsi="Arial" w:cs="Arial"/>
                <w:sz w:val="20"/>
                <w:szCs w:val="20"/>
              </w:rPr>
              <w:t>the need for increased EM focus. Notable figures include a 76.2% adoption of the HACCP system and</w:t>
            </w:r>
          </w:p>
          <w:p w14:paraId="038505F2" w14:textId="77777777" w:rsidR="00736F9B" w:rsidRPr="00192ED2" w:rsidRDefault="00736F9B" w:rsidP="00736F9B">
            <w:pPr>
              <w:pStyle w:val="ListParagraph"/>
              <w:ind w:left="0"/>
              <w:rPr>
                <w:rFonts w:ascii="Arial" w:hAnsi="Arial" w:cs="Arial"/>
                <w:sz w:val="20"/>
                <w:szCs w:val="20"/>
              </w:rPr>
            </w:pPr>
            <w:r w:rsidRPr="00192ED2">
              <w:rPr>
                <w:rFonts w:ascii="Arial" w:hAnsi="Arial" w:cs="Arial"/>
                <w:sz w:val="20"/>
                <w:szCs w:val="20"/>
              </w:rPr>
              <w:t>68.8% of wineries implementing an EMS. Performance indicators become critical for sustainability</w:t>
            </w:r>
          </w:p>
          <w:p w14:paraId="2141BD61" w14:textId="77777777" w:rsidR="00736F9B" w:rsidRPr="00192ED2" w:rsidRDefault="00736F9B" w:rsidP="00736F9B">
            <w:pPr>
              <w:pStyle w:val="ListParagraph"/>
              <w:ind w:left="0"/>
              <w:rPr>
                <w:rFonts w:ascii="Arial" w:hAnsi="Arial" w:cs="Arial"/>
                <w:sz w:val="20"/>
                <w:szCs w:val="20"/>
              </w:rPr>
            </w:pPr>
            <w:r w:rsidRPr="00192ED2">
              <w:rPr>
                <w:rFonts w:ascii="Arial" w:hAnsi="Arial" w:cs="Arial"/>
                <w:sz w:val="20"/>
                <w:szCs w:val="20"/>
              </w:rPr>
              <w:t>assessment, forming the cornerstone to gauge the industry’s effective sustainability management</w:t>
            </w:r>
          </w:p>
          <w:p w14:paraId="720AE902" w14:textId="77777777" w:rsidR="00736F9B" w:rsidRPr="00192ED2" w:rsidRDefault="00736F9B" w:rsidP="00736F9B">
            <w:pPr>
              <w:pStyle w:val="ListParagraph"/>
              <w:ind w:left="0"/>
              <w:rPr>
                <w:rFonts w:ascii="Arial" w:hAnsi="Arial" w:cs="Arial"/>
                <w:sz w:val="20"/>
                <w:szCs w:val="20"/>
              </w:rPr>
            </w:pPr>
            <w:r w:rsidRPr="00192ED2">
              <w:rPr>
                <w:rFonts w:ascii="Arial" w:hAnsi="Arial" w:cs="Arial"/>
                <w:sz w:val="20"/>
                <w:szCs w:val="20"/>
              </w:rPr>
              <w:t>aligned with the F2F Strategy. This study stresses the holistic integration of FS and EM practices, providing</w:t>
            </w:r>
          </w:p>
          <w:p w14:paraId="2799E977" w14:textId="77777777" w:rsidR="00736F9B" w:rsidRPr="00192ED2" w:rsidRDefault="00736F9B" w:rsidP="00736F9B">
            <w:pPr>
              <w:pStyle w:val="ListParagraph"/>
              <w:ind w:left="0"/>
              <w:rPr>
                <w:rFonts w:ascii="Arial" w:hAnsi="Arial" w:cs="Arial"/>
                <w:sz w:val="20"/>
                <w:szCs w:val="20"/>
              </w:rPr>
            </w:pPr>
            <w:r w:rsidRPr="00192ED2">
              <w:rPr>
                <w:rFonts w:ascii="Arial" w:hAnsi="Arial" w:cs="Arial"/>
                <w:sz w:val="20"/>
                <w:szCs w:val="20"/>
              </w:rPr>
              <w:t>insights into workforce engagement, regulatory compliance, and sustainable objectives. This</w:t>
            </w:r>
          </w:p>
          <w:p w14:paraId="569E37E5" w14:textId="77777777" w:rsidR="00736F9B" w:rsidRPr="00192ED2" w:rsidRDefault="00736F9B" w:rsidP="00736F9B">
            <w:pPr>
              <w:pStyle w:val="ListParagraph"/>
              <w:ind w:left="0"/>
              <w:rPr>
                <w:rFonts w:ascii="Arial" w:hAnsi="Arial" w:cs="Arial"/>
                <w:sz w:val="20"/>
                <w:szCs w:val="20"/>
              </w:rPr>
            </w:pPr>
            <w:r w:rsidRPr="00192ED2">
              <w:rPr>
                <w:rFonts w:ascii="Arial" w:hAnsi="Arial" w:cs="Arial"/>
                <w:sz w:val="20"/>
                <w:szCs w:val="20"/>
              </w:rPr>
              <w:t>research offers a tool for evaluating and advancing sustainability in the wine industry culminating in</w:t>
            </w:r>
          </w:p>
          <w:p w14:paraId="7DBC9196" w14:textId="0ED338D7" w:rsidR="00736F9B" w:rsidRPr="00192ED2" w:rsidRDefault="00736F9B" w:rsidP="00736F9B">
            <w:pPr>
              <w:pStyle w:val="ListParagraph"/>
              <w:ind w:left="0"/>
              <w:rPr>
                <w:rFonts w:ascii="Arial" w:hAnsi="Arial" w:cs="Arial"/>
                <w:b/>
                <w:bCs/>
                <w:sz w:val="20"/>
                <w:szCs w:val="20"/>
                <w:lang w:val="en-GB"/>
              </w:rPr>
            </w:pPr>
            <w:r w:rsidRPr="00192ED2">
              <w:rPr>
                <w:rFonts w:ascii="Arial" w:hAnsi="Arial" w:cs="Arial"/>
                <w:sz w:val="20"/>
                <w:szCs w:val="20"/>
              </w:rPr>
              <w:t>a sustainability matrix.</w:t>
            </w:r>
          </w:p>
        </w:tc>
        <w:tc>
          <w:tcPr>
            <w:tcW w:w="1523" w:type="pct"/>
          </w:tcPr>
          <w:p w14:paraId="462A339C" w14:textId="77777777" w:rsidR="00736F9B" w:rsidRPr="00192ED2" w:rsidRDefault="00736F9B" w:rsidP="00736F9B">
            <w:pPr>
              <w:pStyle w:val="Heading2"/>
              <w:jc w:val="left"/>
              <w:rPr>
                <w:rFonts w:ascii="Arial" w:hAnsi="Arial" w:cs="Arial"/>
                <w:b w:val="0"/>
                <w:lang w:val="en-GB"/>
              </w:rPr>
            </w:pPr>
          </w:p>
        </w:tc>
      </w:tr>
      <w:tr w:rsidR="00736F9B" w:rsidRPr="00192ED2" w14:paraId="0D8B5B2C" w14:textId="77777777" w:rsidTr="003978C5">
        <w:trPr>
          <w:trHeight w:val="575"/>
        </w:trPr>
        <w:tc>
          <w:tcPr>
            <w:tcW w:w="1265" w:type="pct"/>
            <w:noWrap/>
          </w:tcPr>
          <w:p w14:paraId="21CBA5FE" w14:textId="77777777" w:rsidR="00736F9B" w:rsidRPr="00192ED2" w:rsidRDefault="00736F9B" w:rsidP="00736F9B">
            <w:pPr>
              <w:ind w:left="360"/>
              <w:rPr>
                <w:rFonts w:ascii="Arial" w:hAnsi="Arial" w:cs="Arial"/>
                <w:b/>
                <w:bCs/>
                <w:sz w:val="20"/>
                <w:szCs w:val="20"/>
                <w:lang w:val="en-GB"/>
              </w:rPr>
            </w:pPr>
            <w:r w:rsidRPr="00192ED2">
              <w:rPr>
                <w:rFonts w:ascii="Arial" w:hAnsi="Arial" w:cs="Arial"/>
                <w:b/>
                <w:bCs/>
                <w:sz w:val="20"/>
                <w:szCs w:val="20"/>
                <w:lang w:val="en-GB"/>
              </w:rPr>
              <w:t>Is the title of the article suitable?</w:t>
            </w:r>
          </w:p>
          <w:p w14:paraId="1CABB61A" w14:textId="77777777" w:rsidR="00736F9B" w:rsidRPr="00192ED2" w:rsidRDefault="00736F9B" w:rsidP="00736F9B">
            <w:pPr>
              <w:ind w:left="360"/>
              <w:rPr>
                <w:rFonts w:ascii="Arial" w:hAnsi="Arial" w:cs="Arial"/>
                <w:b/>
                <w:bCs/>
                <w:sz w:val="20"/>
                <w:szCs w:val="20"/>
                <w:lang w:val="en-GB"/>
              </w:rPr>
            </w:pPr>
            <w:r w:rsidRPr="00192ED2">
              <w:rPr>
                <w:rFonts w:ascii="Arial" w:hAnsi="Arial" w:cs="Arial"/>
                <w:b/>
                <w:bCs/>
                <w:sz w:val="20"/>
                <w:szCs w:val="20"/>
                <w:lang w:val="en-GB"/>
              </w:rPr>
              <w:t>(If not please suggest an alternative title)</w:t>
            </w:r>
          </w:p>
          <w:p w14:paraId="0275B919" w14:textId="77777777" w:rsidR="00736F9B" w:rsidRPr="00192ED2" w:rsidRDefault="00736F9B" w:rsidP="00736F9B">
            <w:pPr>
              <w:pStyle w:val="Heading2"/>
              <w:jc w:val="left"/>
              <w:rPr>
                <w:rFonts w:ascii="Arial" w:hAnsi="Arial" w:cs="Arial"/>
                <w:u w:val="single"/>
                <w:lang w:val="en-GB"/>
              </w:rPr>
            </w:pPr>
          </w:p>
        </w:tc>
        <w:tc>
          <w:tcPr>
            <w:tcW w:w="2212" w:type="pct"/>
          </w:tcPr>
          <w:p w14:paraId="794AA9A7" w14:textId="37882CCE" w:rsidR="00736F9B" w:rsidRPr="00192ED2" w:rsidRDefault="00736F9B" w:rsidP="00736F9B">
            <w:pPr>
              <w:ind w:left="360"/>
              <w:rPr>
                <w:rFonts w:ascii="Arial" w:hAnsi="Arial" w:cs="Arial"/>
                <w:b/>
                <w:bCs/>
                <w:sz w:val="20"/>
                <w:szCs w:val="20"/>
                <w:lang w:val="en-GB"/>
              </w:rPr>
            </w:pPr>
            <w:r w:rsidRPr="00192ED2">
              <w:rPr>
                <w:rFonts w:ascii="Arial" w:hAnsi="Arial" w:cs="Arial"/>
                <w:b/>
                <w:bCs/>
                <w:sz w:val="20"/>
                <w:szCs w:val="20"/>
                <w:lang w:val="en-GB"/>
              </w:rPr>
              <w:t>Yes</w:t>
            </w:r>
          </w:p>
        </w:tc>
        <w:tc>
          <w:tcPr>
            <w:tcW w:w="1523" w:type="pct"/>
          </w:tcPr>
          <w:p w14:paraId="405B6701" w14:textId="77777777" w:rsidR="00736F9B" w:rsidRPr="00192ED2" w:rsidRDefault="00736F9B" w:rsidP="00736F9B">
            <w:pPr>
              <w:pStyle w:val="Heading2"/>
              <w:jc w:val="left"/>
              <w:rPr>
                <w:rFonts w:ascii="Arial" w:hAnsi="Arial" w:cs="Arial"/>
                <w:b w:val="0"/>
                <w:lang w:val="en-GB"/>
              </w:rPr>
            </w:pPr>
          </w:p>
        </w:tc>
      </w:tr>
      <w:tr w:rsidR="00736F9B" w:rsidRPr="00192ED2" w14:paraId="5604762A" w14:textId="77777777" w:rsidTr="007222C8">
        <w:trPr>
          <w:trHeight w:val="1262"/>
        </w:trPr>
        <w:tc>
          <w:tcPr>
            <w:tcW w:w="1265" w:type="pct"/>
            <w:noWrap/>
          </w:tcPr>
          <w:p w14:paraId="3635573D" w14:textId="77777777" w:rsidR="00736F9B" w:rsidRPr="00192ED2" w:rsidRDefault="00736F9B" w:rsidP="00736F9B">
            <w:pPr>
              <w:pStyle w:val="Heading2"/>
              <w:ind w:left="360"/>
              <w:jc w:val="left"/>
              <w:rPr>
                <w:rFonts w:ascii="Arial" w:hAnsi="Arial" w:cs="Arial"/>
                <w:lang w:val="en-GB"/>
              </w:rPr>
            </w:pPr>
            <w:r w:rsidRPr="00192ED2">
              <w:rPr>
                <w:rFonts w:ascii="Arial" w:hAnsi="Arial" w:cs="Arial"/>
                <w:lang w:val="en-GB"/>
              </w:rPr>
              <w:t>Is the abstract of the article comprehensive? Do you suggest the addition (or deletion) of some points in this section? Please write your suggestions here.</w:t>
            </w:r>
          </w:p>
          <w:p w14:paraId="3760981A" w14:textId="77777777" w:rsidR="00736F9B" w:rsidRPr="00192ED2" w:rsidRDefault="00736F9B" w:rsidP="00736F9B">
            <w:pPr>
              <w:pStyle w:val="Heading2"/>
              <w:jc w:val="left"/>
              <w:rPr>
                <w:rFonts w:ascii="Arial" w:hAnsi="Arial" w:cs="Arial"/>
                <w:u w:val="single"/>
                <w:lang w:val="en-GB"/>
              </w:rPr>
            </w:pPr>
          </w:p>
        </w:tc>
        <w:tc>
          <w:tcPr>
            <w:tcW w:w="2212" w:type="pct"/>
          </w:tcPr>
          <w:p w14:paraId="7E2BA04A" w14:textId="77777777" w:rsidR="00736F9B" w:rsidRPr="00192ED2" w:rsidRDefault="00736F9B" w:rsidP="00736F9B">
            <w:pPr>
              <w:pStyle w:val="ListParagraph"/>
              <w:widowControl w:val="0"/>
              <w:autoSpaceDE w:val="0"/>
              <w:autoSpaceDN w:val="0"/>
              <w:spacing w:line="270" w:lineRule="exact"/>
              <w:ind w:left="0"/>
              <w:contextualSpacing w:val="0"/>
              <w:jc w:val="both"/>
              <w:rPr>
                <w:rFonts w:ascii="Arial" w:hAnsi="Arial" w:cs="Arial"/>
                <w:sz w:val="20"/>
                <w:szCs w:val="20"/>
              </w:rPr>
            </w:pPr>
            <w:r w:rsidRPr="00192ED2">
              <w:rPr>
                <w:rFonts w:ascii="Arial" w:hAnsi="Arial" w:cs="Arial"/>
                <w:sz w:val="20"/>
                <w:szCs w:val="20"/>
              </w:rPr>
              <w:t xml:space="preserve">The abstract must </w:t>
            </w:r>
            <w:proofErr w:type="gramStart"/>
            <w:r w:rsidRPr="00192ED2">
              <w:rPr>
                <w:rFonts w:ascii="Arial" w:hAnsi="Arial" w:cs="Arial"/>
                <w:sz w:val="20"/>
                <w:szCs w:val="20"/>
              </w:rPr>
              <w:t>contains</w:t>
            </w:r>
            <w:proofErr w:type="gramEnd"/>
            <w:r w:rsidRPr="00192ED2">
              <w:rPr>
                <w:rFonts w:ascii="Arial" w:hAnsi="Arial" w:cs="Arial"/>
                <w:sz w:val="20"/>
                <w:szCs w:val="20"/>
              </w:rPr>
              <w:t xml:space="preserve"> the main purpose of the paper, the research method used in the research and the main contributions. </w:t>
            </w:r>
          </w:p>
          <w:p w14:paraId="0FB7E83A" w14:textId="77777777" w:rsidR="00736F9B" w:rsidRPr="00192ED2" w:rsidRDefault="00736F9B" w:rsidP="00736F9B">
            <w:pPr>
              <w:ind w:left="360"/>
              <w:rPr>
                <w:rFonts w:ascii="Arial" w:hAnsi="Arial" w:cs="Arial"/>
                <w:b/>
                <w:bCs/>
                <w:sz w:val="20"/>
                <w:szCs w:val="20"/>
                <w:lang w:val="en-GB"/>
              </w:rPr>
            </w:pPr>
          </w:p>
        </w:tc>
        <w:tc>
          <w:tcPr>
            <w:tcW w:w="1523" w:type="pct"/>
          </w:tcPr>
          <w:p w14:paraId="1D54B730" w14:textId="77777777" w:rsidR="00736F9B" w:rsidRPr="00192ED2" w:rsidRDefault="00736F9B" w:rsidP="00736F9B">
            <w:pPr>
              <w:pStyle w:val="Heading2"/>
              <w:jc w:val="left"/>
              <w:rPr>
                <w:rFonts w:ascii="Arial" w:hAnsi="Arial" w:cs="Arial"/>
                <w:b w:val="0"/>
                <w:lang w:val="en-GB"/>
              </w:rPr>
            </w:pPr>
          </w:p>
        </w:tc>
      </w:tr>
      <w:tr w:rsidR="00736F9B" w:rsidRPr="00192ED2" w14:paraId="2F579F54" w14:textId="77777777" w:rsidTr="007222C8">
        <w:trPr>
          <w:trHeight w:val="859"/>
        </w:trPr>
        <w:tc>
          <w:tcPr>
            <w:tcW w:w="1265" w:type="pct"/>
            <w:noWrap/>
          </w:tcPr>
          <w:p w14:paraId="04361F46" w14:textId="368783AB" w:rsidR="00736F9B" w:rsidRPr="00192ED2" w:rsidRDefault="00736F9B" w:rsidP="00736F9B">
            <w:pPr>
              <w:ind w:left="360"/>
              <w:rPr>
                <w:rFonts w:ascii="Arial" w:hAnsi="Arial" w:cs="Arial"/>
                <w:b/>
                <w:bCs/>
                <w:sz w:val="20"/>
                <w:szCs w:val="20"/>
                <w:u w:val="single"/>
                <w:lang w:val="en-GB"/>
              </w:rPr>
            </w:pPr>
            <w:r w:rsidRPr="00192ED2">
              <w:rPr>
                <w:rFonts w:ascii="Arial" w:hAnsi="Arial" w:cs="Arial"/>
                <w:b/>
                <w:bCs/>
                <w:sz w:val="20"/>
                <w:szCs w:val="20"/>
                <w:lang w:val="en-GB"/>
              </w:rPr>
              <w:t xml:space="preserve">Is the manuscript scientifically, correct? Please write here. </w:t>
            </w:r>
          </w:p>
        </w:tc>
        <w:tc>
          <w:tcPr>
            <w:tcW w:w="2212" w:type="pct"/>
          </w:tcPr>
          <w:p w14:paraId="2B5A7721" w14:textId="77B67391" w:rsidR="00736F9B" w:rsidRPr="00192ED2" w:rsidRDefault="00736F9B" w:rsidP="00736F9B">
            <w:pPr>
              <w:pStyle w:val="ListParagraph"/>
              <w:ind w:left="0"/>
              <w:rPr>
                <w:rFonts w:ascii="Arial" w:hAnsi="Arial" w:cs="Arial"/>
                <w:b/>
                <w:bCs/>
                <w:sz w:val="20"/>
                <w:szCs w:val="20"/>
                <w:lang w:val="en-GB"/>
              </w:rPr>
            </w:pPr>
            <w:r w:rsidRPr="00192ED2">
              <w:rPr>
                <w:rFonts w:ascii="Arial" w:hAnsi="Arial" w:cs="Arial"/>
                <w:b/>
                <w:bCs/>
                <w:sz w:val="20"/>
                <w:szCs w:val="20"/>
                <w:lang w:val="en-GB"/>
              </w:rPr>
              <w:t>Yes</w:t>
            </w:r>
          </w:p>
        </w:tc>
        <w:tc>
          <w:tcPr>
            <w:tcW w:w="1523" w:type="pct"/>
          </w:tcPr>
          <w:p w14:paraId="4898F764" w14:textId="77777777" w:rsidR="00736F9B" w:rsidRPr="00192ED2" w:rsidRDefault="00736F9B" w:rsidP="00736F9B">
            <w:pPr>
              <w:pStyle w:val="Heading2"/>
              <w:jc w:val="left"/>
              <w:rPr>
                <w:rFonts w:ascii="Arial" w:hAnsi="Arial" w:cs="Arial"/>
                <w:b w:val="0"/>
                <w:lang w:val="en-GB"/>
              </w:rPr>
            </w:pPr>
          </w:p>
        </w:tc>
      </w:tr>
      <w:tr w:rsidR="00736F9B" w:rsidRPr="00192ED2" w14:paraId="73739464" w14:textId="77777777" w:rsidTr="007222C8">
        <w:trPr>
          <w:trHeight w:val="703"/>
        </w:trPr>
        <w:tc>
          <w:tcPr>
            <w:tcW w:w="1265" w:type="pct"/>
            <w:noWrap/>
          </w:tcPr>
          <w:p w14:paraId="09C25322" w14:textId="77777777" w:rsidR="00736F9B" w:rsidRPr="00192ED2" w:rsidRDefault="00736F9B" w:rsidP="00736F9B">
            <w:pPr>
              <w:ind w:left="360"/>
              <w:rPr>
                <w:rFonts w:ascii="Arial" w:hAnsi="Arial" w:cs="Arial"/>
                <w:b/>
                <w:bCs/>
                <w:sz w:val="20"/>
                <w:szCs w:val="20"/>
                <w:lang w:val="en-GB"/>
              </w:rPr>
            </w:pPr>
            <w:r w:rsidRPr="00192ED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736F9B" w:rsidRPr="00192ED2" w:rsidRDefault="00736F9B" w:rsidP="00736F9B">
            <w:pPr>
              <w:ind w:left="360"/>
              <w:rPr>
                <w:rFonts w:ascii="Arial" w:hAnsi="Arial" w:cs="Arial"/>
                <w:b/>
                <w:bCs/>
                <w:sz w:val="20"/>
                <w:szCs w:val="20"/>
                <w:u w:val="single"/>
                <w:lang w:val="en-GB"/>
              </w:rPr>
            </w:pPr>
            <w:r w:rsidRPr="00192ED2">
              <w:rPr>
                <w:rFonts w:ascii="Arial" w:hAnsi="Arial" w:cs="Arial"/>
                <w:b/>
                <w:bCs/>
                <w:sz w:val="20"/>
                <w:szCs w:val="20"/>
                <w:u w:val="single"/>
                <w:lang w:val="en-GB"/>
              </w:rPr>
              <w:t>-</w:t>
            </w:r>
          </w:p>
        </w:tc>
        <w:tc>
          <w:tcPr>
            <w:tcW w:w="2212" w:type="pct"/>
          </w:tcPr>
          <w:p w14:paraId="24FE77F9" w14:textId="77777777" w:rsidR="00736F9B" w:rsidRPr="00192ED2" w:rsidRDefault="00736F9B" w:rsidP="00736F9B">
            <w:pPr>
              <w:pStyle w:val="ListParagraph"/>
              <w:widowControl w:val="0"/>
              <w:numPr>
                <w:ilvl w:val="0"/>
                <w:numId w:val="11"/>
              </w:numPr>
              <w:shd w:val="clear" w:color="auto" w:fill="FEFEFE"/>
              <w:autoSpaceDE w:val="0"/>
              <w:autoSpaceDN w:val="0"/>
              <w:spacing w:before="100" w:beforeAutospacing="1" w:after="100" w:afterAutospacing="1"/>
              <w:contextualSpacing w:val="0"/>
              <w:jc w:val="both"/>
              <w:rPr>
                <w:rFonts w:ascii="Arial" w:hAnsi="Arial" w:cs="Arial"/>
                <w:sz w:val="20"/>
                <w:szCs w:val="20"/>
              </w:rPr>
            </w:pPr>
            <w:r w:rsidRPr="00192ED2">
              <w:rPr>
                <w:rFonts w:ascii="Arial" w:hAnsi="Arial" w:cs="Arial"/>
                <w:color w:val="0A0A0A"/>
                <w:sz w:val="20"/>
                <w:szCs w:val="20"/>
                <w:lang w:val="ro-RO" w:eastAsia="ro-RO"/>
              </w:rPr>
              <w:t>In the same time, I</w:t>
            </w:r>
            <w:r w:rsidRPr="00192ED2">
              <w:rPr>
                <w:rFonts w:ascii="Arial" w:hAnsi="Arial" w:cs="Arial"/>
                <w:sz w:val="20"/>
                <w:szCs w:val="20"/>
              </w:rPr>
              <w:t xml:space="preserve"> consider the literature review section cannot missing from the paper and that is why we consider that the literature is not enough  and that is why, we recommend the authors to refer to other recent works indexed in Web of Science, Scopus, Emerald, </w:t>
            </w:r>
            <w:proofErr w:type="spellStart"/>
            <w:r w:rsidRPr="00192ED2">
              <w:rPr>
                <w:rFonts w:ascii="Arial" w:hAnsi="Arial" w:cs="Arial"/>
                <w:sz w:val="20"/>
                <w:szCs w:val="20"/>
              </w:rPr>
              <w:t>Cambrige</w:t>
            </w:r>
            <w:proofErr w:type="spellEnd"/>
            <w:r w:rsidRPr="00192ED2">
              <w:rPr>
                <w:rFonts w:ascii="Arial" w:hAnsi="Arial" w:cs="Arial"/>
                <w:sz w:val="20"/>
                <w:szCs w:val="20"/>
              </w:rPr>
              <w:t>, and of course MDPI Journals. We suggest that the authors cite papers published in MDPI journals and Web of Science Journals, such as:</w:t>
            </w:r>
          </w:p>
          <w:p w14:paraId="514D4B72" w14:textId="77777777" w:rsidR="00736F9B" w:rsidRPr="00192ED2" w:rsidRDefault="00736F9B" w:rsidP="00736F9B">
            <w:pPr>
              <w:numPr>
                <w:ilvl w:val="0"/>
                <w:numId w:val="12"/>
              </w:numPr>
              <w:shd w:val="clear" w:color="auto" w:fill="FFFFFF"/>
              <w:spacing w:after="150"/>
              <w:rPr>
                <w:rFonts w:ascii="Arial" w:hAnsi="Arial" w:cs="Arial"/>
                <w:bCs/>
                <w:color w:val="000000"/>
                <w:sz w:val="20"/>
                <w:szCs w:val="20"/>
              </w:rPr>
            </w:pPr>
            <w:bookmarkStart w:id="2" w:name="_Hlk55337341"/>
            <w:r w:rsidRPr="00192ED2">
              <w:rPr>
                <w:rFonts w:ascii="Arial" w:hAnsi="Arial" w:cs="Arial"/>
                <w:bCs/>
                <w:color w:val="000000"/>
                <w:sz w:val="20"/>
                <w:szCs w:val="20"/>
              </w:rPr>
              <w:t xml:space="preserve">Batrancea L., Batrancea I., </w:t>
            </w:r>
            <w:proofErr w:type="spellStart"/>
            <w:r w:rsidRPr="00192ED2">
              <w:rPr>
                <w:rFonts w:ascii="Arial" w:hAnsi="Arial" w:cs="Arial"/>
                <w:bCs/>
                <w:color w:val="000000"/>
                <w:sz w:val="20"/>
                <w:szCs w:val="20"/>
              </w:rPr>
              <w:t>Moscviciov</w:t>
            </w:r>
            <w:proofErr w:type="spellEnd"/>
            <w:r w:rsidRPr="00192ED2">
              <w:rPr>
                <w:rFonts w:ascii="Arial" w:hAnsi="Arial" w:cs="Arial"/>
                <w:bCs/>
                <w:color w:val="000000"/>
                <w:sz w:val="20"/>
                <w:szCs w:val="20"/>
              </w:rPr>
              <w:t xml:space="preserve"> A. (2009), The Roots of the World Financial Crisis, Annals of Faculty of Economics, 3(1):57-62</w:t>
            </w:r>
            <w:bookmarkEnd w:id="2"/>
            <w:r w:rsidRPr="00192ED2">
              <w:rPr>
                <w:rFonts w:ascii="Arial" w:hAnsi="Arial" w:cs="Arial"/>
                <w:bCs/>
                <w:color w:val="000000"/>
                <w:sz w:val="20"/>
                <w:szCs w:val="20"/>
              </w:rPr>
              <w:t>.</w:t>
            </w:r>
          </w:p>
          <w:p w14:paraId="1D5432E7" w14:textId="77777777" w:rsidR="00736F9B" w:rsidRPr="00192ED2" w:rsidRDefault="00736F9B" w:rsidP="00736F9B">
            <w:pPr>
              <w:numPr>
                <w:ilvl w:val="0"/>
                <w:numId w:val="12"/>
              </w:numPr>
              <w:shd w:val="clear" w:color="auto" w:fill="FFFFFF"/>
              <w:spacing w:line="360" w:lineRule="auto"/>
              <w:rPr>
                <w:rFonts w:ascii="Arial" w:hAnsi="Arial" w:cs="Arial"/>
                <w:color w:val="222222"/>
                <w:sz w:val="20"/>
                <w:szCs w:val="20"/>
              </w:rPr>
            </w:pPr>
            <w:proofErr w:type="spellStart"/>
            <w:r w:rsidRPr="00192ED2">
              <w:rPr>
                <w:rFonts w:ascii="Arial" w:hAnsi="Arial" w:cs="Arial"/>
                <w:color w:val="222222"/>
                <w:sz w:val="20"/>
                <w:szCs w:val="20"/>
              </w:rPr>
              <w:t>Moscviciov</w:t>
            </w:r>
            <w:proofErr w:type="spellEnd"/>
            <w:r w:rsidRPr="00192ED2">
              <w:rPr>
                <w:rFonts w:ascii="Arial" w:hAnsi="Arial" w:cs="Arial"/>
                <w:color w:val="222222"/>
                <w:sz w:val="20"/>
                <w:szCs w:val="20"/>
              </w:rPr>
              <w:t xml:space="preserve">, A., </w:t>
            </w:r>
            <w:proofErr w:type="spellStart"/>
            <w:r w:rsidRPr="00192ED2">
              <w:rPr>
                <w:rFonts w:ascii="Arial" w:hAnsi="Arial" w:cs="Arial"/>
                <w:color w:val="222222"/>
                <w:sz w:val="20"/>
                <w:szCs w:val="20"/>
              </w:rPr>
              <w:t>Bătrâncea</w:t>
            </w:r>
            <w:proofErr w:type="spellEnd"/>
            <w:r w:rsidRPr="00192ED2">
              <w:rPr>
                <w:rFonts w:ascii="Arial" w:hAnsi="Arial" w:cs="Arial"/>
                <w:color w:val="222222"/>
                <w:sz w:val="20"/>
                <w:szCs w:val="20"/>
              </w:rPr>
              <w:t>, I.</w:t>
            </w:r>
            <w:proofErr w:type="gramStart"/>
            <w:r w:rsidRPr="00192ED2">
              <w:rPr>
                <w:rFonts w:ascii="Arial" w:hAnsi="Arial" w:cs="Arial"/>
                <w:color w:val="222222"/>
                <w:sz w:val="20"/>
                <w:szCs w:val="20"/>
              </w:rPr>
              <w:t xml:space="preserve">,  </w:t>
            </w:r>
            <w:proofErr w:type="spellStart"/>
            <w:r w:rsidRPr="00192ED2">
              <w:rPr>
                <w:rFonts w:ascii="Arial" w:hAnsi="Arial" w:cs="Arial"/>
                <w:color w:val="222222"/>
                <w:sz w:val="20"/>
                <w:szCs w:val="20"/>
              </w:rPr>
              <w:t>Bătrâncea</w:t>
            </w:r>
            <w:proofErr w:type="gramEnd"/>
            <w:r w:rsidRPr="00192ED2">
              <w:rPr>
                <w:rFonts w:ascii="Arial" w:hAnsi="Arial" w:cs="Arial"/>
                <w:color w:val="222222"/>
                <w:sz w:val="20"/>
                <w:szCs w:val="20"/>
              </w:rPr>
              <w:t>,M</w:t>
            </w:r>
            <w:proofErr w:type="spellEnd"/>
            <w:r w:rsidRPr="00192ED2">
              <w:rPr>
                <w:rFonts w:ascii="Arial" w:hAnsi="Arial" w:cs="Arial"/>
                <w:color w:val="222222"/>
                <w:sz w:val="20"/>
                <w:szCs w:val="20"/>
              </w:rPr>
              <w:t xml:space="preserve">., </w:t>
            </w:r>
            <w:proofErr w:type="spellStart"/>
            <w:r w:rsidRPr="00192ED2">
              <w:rPr>
                <w:rFonts w:ascii="Arial" w:hAnsi="Arial" w:cs="Arial"/>
                <w:color w:val="222222"/>
                <w:sz w:val="20"/>
                <w:szCs w:val="20"/>
              </w:rPr>
              <w:t>Bătrâncea</w:t>
            </w:r>
            <w:proofErr w:type="spellEnd"/>
            <w:r w:rsidRPr="00192ED2">
              <w:rPr>
                <w:rFonts w:ascii="Arial" w:hAnsi="Arial" w:cs="Arial"/>
                <w:color w:val="222222"/>
                <w:sz w:val="20"/>
                <w:szCs w:val="20"/>
              </w:rPr>
              <w:t xml:space="preserve">, L.M. (2010) Financial Ratio Analysis Used In the It Enterprises, Annals of the University of Oradea: Economic Science, 19(2):600-603. </w:t>
            </w:r>
          </w:p>
          <w:p w14:paraId="42317D44" w14:textId="77777777" w:rsidR="00736F9B" w:rsidRPr="00192ED2" w:rsidRDefault="00736F9B" w:rsidP="00736F9B">
            <w:pPr>
              <w:numPr>
                <w:ilvl w:val="0"/>
                <w:numId w:val="12"/>
              </w:numPr>
              <w:shd w:val="clear" w:color="auto" w:fill="FFFFFF"/>
              <w:spacing w:after="150"/>
              <w:rPr>
                <w:rFonts w:ascii="Arial" w:hAnsi="Arial" w:cs="Arial"/>
                <w:bCs/>
                <w:color w:val="000000"/>
                <w:sz w:val="20"/>
                <w:szCs w:val="20"/>
              </w:rPr>
            </w:pPr>
            <w:r w:rsidRPr="00192ED2">
              <w:rPr>
                <w:rFonts w:ascii="Arial" w:hAnsi="Arial" w:cs="Arial"/>
                <w:sz w:val="20"/>
                <w:szCs w:val="20"/>
              </w:rPr>
              <w:lastRenderedPageBreak/>
              <w:t xml:space="preserve">Batrancea, L., Batrancea, I., </w:t>
            </w:r>
            <w:proofErr w:type="spellStart"/>
            <w:r w:rsidRPr="00192ED2">
              <w:rPr>
                <w:rFonts w:ascii="Arial" w:hAnsi="Arial" w:cs="Arial"/>
                <w:sz w:val="20"/>
                <w:szCs w:val="20"/>
              </w:rPr>
              <w:t>Moscviciov</w:t>
            </w:r>
            <w:proofErr w:type="spellEnd"/>
            <w:r w:rsidRPr="00192ED2">
              <w:rPr>
                <w:rFonts w:ascii="Arial" w:hAnsi="Arial" w:cs="Arial"/>
                <w:sz w:val="20"/>
                <w:szCs w:val="20"/>
              </w:rPr>
              <w:t xml:space="preserve">, A. (2009) </w:t>
            </w:r>
            <w:hyperlink r:id="rId8" w:history="1">
              <w:r w:rsidRPr="00192ED2">
                <w:rPr>
                  <w:rFonts w:ascii="Arial" w:hAnsi="Arial" w:cs="Arial"/>
                  <w:sz w:val="20"/>
                  <w:szCs w:val="20"/>
                </w:rPr>
                <w:t>The analysis of the entity’s liquidity—A means of evaluating cash flow</w:t>
              </w:r>
            </w:hyperlink>
            <w:r w:rsidRPr="00192ED2">
              <w:rPr>
                <w:rFonts w:ascii="Arial" w:hAnsi="Arial" w:cs="Arial"/>
                <w:sz w:val="20"/>
                <w:szCs w:val="20"/>
              </w:rPr>
              <w:t>, Journal of International Finance and Economics, 9(1):92-98.</w:t>
            </w:r>
          </w:p>
          <w:p w14:paraId="7F9F8020" w14:textId="77777777" w:rsidR="00736F9B" w:rsidRPr="00192ED2" w:rsidRDefault="00736F9B" w:rsidP="00736F9B">
            <w:pPr>
              <w:numPr>
                <w:ilvl w:val="0"/>
                <w:numId w:val="12"/>
              </w:numPr>
              <w:shd w:val="clear" w:color="auto" w:fill="FFFFFF"/>
              <w:spacing w:after="150"/>
              <w:rPr>
                <w:rFonts w:ascii="Arial" w:hAnsi="Arial" w:cs="Arial"/>
                <w:bCs/>
                <w:color w:val="000000"/>
                <w:sz w:val="20"/>
                <w:szCs w:val="20"/>
              </w:rPr>
            </w:pPr>
            <w:r w:rsidRPr="00192ED2">
              <w:rPr>
                <w:rFonts w:ascii="Arial" w:hAnsi="Arial" w:cs="Arial"/>
                <w:sz w:val="20"/>
                <w:szCs w:val="20"/>
              </w:rPr>
              <w:t xml:space="preserve">Batrancea, L.M., Batrancea, I., </w:t>
            </w:r>
            <w:proofErr w:type="spellStart"/>
            <w:r w:rsidRPr="00192ED2">
              <w:rPr>
                <w:rFonts w:ascii="Arial" w:hAnsi="Arial" w:cs="Arial"/>
                <w:sz w:val="20"/>
                <w:szCs w:val="20"/>
              </w:rPr>
              <w:t>Moscviciov</w:t>
            </w:r>
            <w:proofErr w:type="spellEnd"/>
            <w:r w:rsidRPr="00192ED2">
              <w:rPr>
                <w:rFonts w:ascii="Arial" w:hAnsi="Arial" w:cs="Arial"/>
                <w:sz w:val="20"/>
                <w:szCs w:val="20"/>
              </w:rPr>
              <w:t xml:space="preserve">, A. (2009) </w:t>
            </w:r>
            <w:r w:rsidRPr="00192ED2">
              <w:rPr>
                <w:rFonts w:ascii="Arial" w:hAnsi="Arial" w:cs="Arial"/>
                <w:color w:val="222222"/>
                <w:sz w:val="20"/>
                <w:szCs w:val="20"/>
                <w:shd w:val="clear" w:color="auto" w:fill="FFFFFF"/>
              </w:rPr>
              <w:t xml:space="preserve">The Roots of the World Financial Crisis, </w:t>
            </w:r>
            <w:r w:rsidRPr="00192ED2">
              <w:rPr>
                <w:rFonts w:ascii="Arial" w:hAnsi="Arial" w:cs="Arial"/>
                <w:color w:val="222222"/>
                <w:sz w:val="20"/>
                <w:szCs w:val="20"/>
              </w:rPr>
              <w:t>Annals of Faculty of Economics, 3(1):57-62.</w:t>
            </w:r>
          </w:p>
          <w:p w14:paraId="25035771" w14:textId="77777777" w:rsidR="00736F9B" w:rsidRPr="00192ED2" w:rsidRDefault="00736F9B" w:rsidP="00736F9B">
            <w:pPr>
              <w:numPr>
                <w:ilvl w:val="0"/>
                <w:numId w:val="12"/>
              </w:numPr>
              <w:shd w:val="clear" w:color="auto" w:fill="FFFFFF"/>
              <w:spacing w:after="150"/>
              <w:rPr>
                <w:rFonts w:ascii="Arial" w:hAnsi="Arial" w:cs="Arial"/>
                <w:bCs/>
                <w:color w:val="000000"/>
                <w:sz w:val="20"/>
                <w:szCs w:val="20"/>
              </w:rPr>
            </w:pPr>
            <w:r w:rsidRPr="00192ED2">
              <w:rPr>
                <w:rFonts w:ascii="Arial" w:hAnsi="Arial" w:cs="Arial"/>
                <w:sz w:val="20"/>
                <w:szCs w:val="20"/>
              </w:rPr>
              <w:t xml:space="preserve">Batrancea, L., </w:t>
            </w:r>
            <w:proofErr w:type="spellStart"/>
            <w:r w:rsidRPr="00192ED2">
              <w:rPr>
                <w:rFonts w:ascii="Arial" w:hAnsi="Arial" w:cs="Arial"/>
                <w:sz w:val="20"/>
                <w:szCs w:val="20"/>
              </w:rPr>
              <w:t>Rathnaswamy</w:t>
            </w:r>
            <w:proofErr w:type="spellEnd"/>
            <w:r w:rsidRPr="00192ED2">
              <w:rPr>
                <w:rFonts w:ascii="Arial" w:hAnsi="Arial" w:cs="Arial"/>
                <w:sz w:val="20"/>
                <w:szCs w:val="20"/>
              </w:rPr>
              <w:t xml:space="preserve">, M.K. &amp; </w:t>
            </w:r>
            <w:proofErr w:type="spellStart"/>
            <w:r w:rsidRPr="00192ED2">
              <w:rPr>
                <w:rFonts w:ascii="Arial" w:hAnsi="Arial" w:cs="Arial"/>
                <w:sz w:val="20"/>
                <w:szCs w:val="20"/>
              </w:rPr>
              <w:t>Batrancea</w:t>
            </w:r>
            <w:proofErr w:type="spellEnd"/>
            <w:r w:rsidRPr="00192ED2">
              <w:rPr>
                <w:rFonts w:ascii="Arial" w:hAnsi="Arial" w:cs="Arial"/>
                <w:sz w:val="20"/>
                <w:szCs w:val="20"/>
              </w:rPr>
              <w:t xml:space="preserve">, I. A Panel Data Analysis on Determinants of Economic Growth in Seven Non-BCBS Countries. J </w:t>
            </w:r>
            <w:proofErr w:type="spellStart"/>
            <w:r w:rsidRPr="00192ED2">
              <w:rPr>
                <w:rFonts w:ascii="Arial" w:hAnsi="Arial" w:cs="Arial"/>
                <w:sz w:val="20"/>
                <w:szCs w:val="20"/>
              </w:rPr>
              <w:t>Knowl</w:t>
            </w:r>
            <w:proofErr w:type="spellEnd"/>
            <w:r w:rsidRPr="00192ED2">
              <w:rPr>
                <w:rFonts w:ascii="Arial" w:hAnsi="Arial" w:cs="Arial"/>
                <w:sz w:val="20"/>
                <w:szCs w:val="20"/>
              </w:rPr>
              <w:t xml:space="preserve"> Econ (2021). https://doi.org/10.1007/s13132-021-00785-y</w:t>
            </w:r>
          </w:p>
          <w:p w14:paraId="0C3E61CC" w14:textId="77777777" w:rsidR="00736F9B" w:rsidRPr="00192ED2" w:rsidRDefault="00736F9B" w:rsidP="00736F9B">
            <w:pPr>
              <w:numPr>
                <w:ilvl w:val="0"/>
                <w:numId w:val="12"/>
              </w:numPr>
              <w:spacing w:after="200" w:line="276" w:lineRule="auto"/>
              <w:rPr>
                <w:rFonts w:ascii="Arial" w:hAnsi="Arial" w:cs="Arial"/>
                <w:color w:val="000000"/>
                <w:sz w:val="20"/>
                <w:szCs w:val="20"/>
              </w:rPr>
            </w:pPr>
            <w:r w:rsidRPr="00192ED2">
              <w:rPr>
                <w:rFonts w:ascii="Arial" w:hAnsi="Arial" w:cs="Arial"/>
                <w:color w:val="000000"/>
                <w:sz w:val="20"/>
                <w:szCs w:val="20"/>
              </w:rPr>
              <w:t xml:space="preserve">Batrancea </w:t>
            </w:r>
            <w:proofErr w:type="gramStart"/>
            <w:r w:rsidRPr="00192ED2">
              <w:rPr>
                <w:rFonts w:ascii="Arial" w:hAnsi="Arial" w:cs="Arial"/>
                <w:color w:val="000000"/>
                <w:sz w:val="20"/>
                <w:szCs w:val="20"/>
              </w:rPr>
              <w:t>LM.(</w:t>
            </w:r>
            <w:proofErr w:type="gramEnd"/>
            <w:r w:rsidRPr="00192ED2">
              <w:rPr>
                <w:rFonts w:ascii="Arial" w:hAnsi="Arial" w:cs="Arial"/>
                <w:color w:val="000000"/>
                <w:sz w:val="20"/>
                <w:szCs w:val="20"/>
              </w:rPr>
              <w:t xml:space="preserve">2021) An Econometric Approach on Performance, Assets, and Liabilities in a Sample of Banks from Europe, Israel, United States of America, and Canada. Mathematics. 2021; 9(24):3178. </w:t>
            </w:r>
            <w:hyperlink r:id="rId9" w:history="1">
              <w:r w:rsidRPr="00192ED2">
                <w:rPr>
                  <w:rStyle w:val="Hyperlink"/>
                  <w:rFonts w:ascii="Arial" w:hAnsi="Arial" w:cs="Arial"/>
                  <w:color w:val="000000"/>
                  <w:sz w:val="20"/>
                  <w:szCs w:val="20"/>
                </w:rPr>
                <w:t>https://doi.org/10.3390/math9243178/</w:t>
              </w:r>
            </w:hyperlink>
            <w:r w:rsidRPr="00192ED2">
              <w:rPr>
                <w:rFonts w:ascii="Arial" w:hAnsi="Arial" w:cs="Arial"/>
                <w:color w:val="000000"/>
                <w:sz w:val="20"/>
                <w:szCs w:val="20"/>
              </w:rPr>
              <w:t>.</w:t>
            </w:r>
          </w:p>
          <w:p w14:paraId="503A771F" w14:textId="77777777" w:rsidR="00736F9B" w:rsidRPr="00192ED2" w:rsidRDefault="00736F9B" w:rsidP="00736F9B">
            <w:pPr>
              <w:numPr>
                <w:ilvl w:val="0"/>
                <w:numId w:val="12"/>
              </w:numPr>
              <w:spacing w:after="200" w:line="276" w:lineRule="auto"/>
              <w:rPr>
                <w:rFonts w:ascii="Arial" w:hAnsi="Arial" w:cs="Arial"/>
                <w:color w:val="000000"/>
                <w:sz w:val="20"/>
                <w:szCs w:val="20"/>
              </w:rPr>
            </w:pPr>
            <w:r w:rsidRPr="00192ED2">
              <w:rPr>
                <w:rFonts w:ascii="Arial" w:hAnsi="Arial" w:cs="Arial"/>
                <w:color w:val="222222"/>
                <w:sz w:val="20"/>
                <w:szCs w:val="20"/>
              </w:rPr>
              <w:t>Batrancea, L. The Nexus between Financial Performance and Equilibrium: Empirical Evidence on Publicly Traded Companies from the Global Financial Crisis Up to the COVID-19 Pandemic. </w:t>
            </w:r>
            <w:r w:rsidRPr="00192ED2">
              <w:rPr>
                <w:rStyle w:val="Emphasis"/>
                <w:rFonts w:ascii="Arial" w:eastAsiaTheme="majorEastAsia" w:hAnsi="Arial" w:cs="Arial"/>
                <w:color w:val="222222"/>
                <w:sz w:val="20"/>
                <w:szCs w:val="20"/>
              </w:rPr>
              <w:t>J. Risk Financial Manag.</w:t>
            </w:r>
            <w:r w:rsidRPr="00192ED2">
              <w:rPr>
                <w:rFonts w:ascii="Arial" w:hAnsi="Arial" w:cs="Arial"/>
                <w:color w:val="222222"/>
                <w:sz w:val="20"/>
                <w:szCs w:val="20"/>
              </w:rPr>
              <w:t> </w:t>
            </w:r>
            <w:r w:rsidRPr="00192ED2">
              <w:rPr>
                <w:rFonts w:ascii="Arial" w:hAnsi="Arial" w:cs="Arial"/>
                <w:b/>
                <w:bCs/>
                <w:color w:val="222222"/>
                <w:sz w:val="20"/>
                <w:szCs w:val="20"/>
              </w:rPr>
              <w:t>2021</w:t>
            </w:r>
            <w:r w:rsidRPr="00192ED2">
              <w:rPr>
                <w:rFonts w:ascii="Arial" w:hAnsi="Arial" w:cs="Arial"/>
                <w:color w:val="222222"/>
                <w:sz w:val="20"/>
                <w:szCs w:val="20"/>
              </w:rPr>
              <w:t>, </w:t>
            </w:r>
            <w:r w:rsidRPr="00192ED2">
              <w:rPr>
                <w:rStyle w:val="Emphasis"/>
                <w:rFonts w:ascii="Arial" w:eastAsiaTheme="majorEastAsia" w:hAnsi="Arial" w:cs="Arial"/>
                <w:color w:val="222222"/>
                <w:sz w:val="20"/>
                <w:szCs w:val="20"/>
              </w:rPr>
              <w:t>14</w:t>
            </w:r>
            <w:r w:rsidRPr="00192ED2">
              <w:rPr>
                <w:rFonts w:ascii="Arial" w:hAnsi="Arial" w:cs="Arial"/>
                <w:color w:val="222222"/>
                <w:sz w:val="20"/>
                <w:szCs w:val="20"/>
              </w:rPr>
              <w:t xml:space="preserve">, 218. </w:t>
            </w:r>
            <w:hyperlink r:id="rId10" w:history="1">
              <w:r w:rsidRPr="00192ED2">
                <w:rPr>
                  <w:rStyle w:val="Hyperlink"/>
                  <w:rFonts w:ascii="Arial" w:hAnsi="Arial" w:cs="Arial"/>
                  <w:sz w:val="20"/>
                  <w:szCs w:val="20"/>
                </w:rPr>
                <w:t>https://doi.org/10.3390/jrfm14050218</w:t>
              </w:r>
            </w:hyperlink>
          </w:p>
          <w:p w14:paraId="6DF8B9F3" w14:textId="77777777" w:rsidR="00736F9B" w:rsidRPr="00192ED2" w:rsidRDefault="00736F9B" w:rsidP="00736F9B">
            <w:pPr>
              <w:numPr>
                <w:ilvl w:val="0"/>
                <w:numId w:val="12"/>
              </w:numPr>
              <w:spacing w:after="200" w:line="276" w:lineRule="auto"/>
              <w:rPr>
                <w:rStyle w:val="Hyperlink"/>
                <w:rFonts w:ascii="Arial" w:hAnsi="Arial" w:cs="Arial"/>
                <w:color w:val="000000"/>
                <w:sz w:val="20"/>
                <w:szCs w:val="20"/>
                <w:u w:val="none"/>
              </w:rPr>
            </w:pPr>
            <w:bookmarkStart w:id="3" w:name="_Hlk135054682"/>
            <w:r w:rsidRPr="00192ED2">
              <w:rPr>
                <w:rFonts w:ascii="Arial" w:hAnsi="Arial" w:cs="Arial"/>
                <w:color w:val="222222"/>
                <w:sz w:val="20"/>
                <w:szCs w:val="20"/>
              </w:rPr>
              <w:t>Batrancea, L. Empirical Evidence Regarding the Impact of Economic Growth and Inflation on Economic Sentiment and Household Consumption. </w:t>
            </w:r>
            <w:r w:rsidRPr="00192ED2">
              <w:rPr>
                <w:rStyle w:val="Emphasis"/>
                <w:rFonts w:ascii="Arial" w:eastAsiaTheme="majorEastAsia" w:hAnsi="Arial" w:cs="Arial"/>
                <w:color w:val="222222"/>
                <w:sz w:val="20"/>
                <w:szCs w:val="20"/>
              </w:rPr>
              <w:t>J. Risk Financial Manag.</w:t>
            </w:r>
            <w:r w:rsidRPr="00192ED2">
              <w:rPr>
                <w:rFonts w:ascii="Arial" w:hAnsi="Arial" w:cs="Arial"/>
                <w:color w:val="222222"/>
                <w:sz w:val="20"/>
                <w:szCs w:val="20"/>
              </w:rPr>
              <w:t> </w:t>
            </w:r>
            <w:r w:rsidRPr="00192ED2">
              <w:rPr>
                <w:rFonts w:ascii="Arial" w:hAnsi="Arial" w:cs="Arial"/>
                <w:b/>
                <w:bCs/>
                <w:color w:val="222222"/>
                <w:sz w:val="20"/>
                <w:szCs w:val="20"/>
              </w:rPr>
              <w:t>2021</w:t>
            </w:r>
            <w:r w:rsidRPr="00192ED2">
              <w:rPr>
                <w:rFonts w:ascii="Arial" w:hAnsi="Arial" w:cs="Arial"/>
                <w:color w:val="222222"/>
                <w:sz w:val="20"/>
                <w:szCs w:val="20"/>
              </w:rPr>
              <w:t>, </w:t>
            </w:r>
            <w:r w:rsidRPr="00192ED2">
              <w:rPr>
                <w:rStyle w:val="Emphasis"/>
                <w:rFonts w:ascii="Arial" w:eastAsiaTheme="majorEastAsia" w:hAnsi="Arial" w:cs="Arial"/>
                <w:color w:val="222222"/>
                <w:sz w:val="20"/>
                <w:szCs w:val="20"/>
              </w:rPr>
              <w:t>14</w:t>
            </w:r>
            <w:r w:rsidRPr="00192ED2">
              <w:rPr>
                <w:rFonts w:ascii="Arial" w:hAnsi="Arial" w:cs="Arial"/>
                <w:color w:val="222222"/>
                <w:sz w:val="20"/>
                <w:szCs w:val="20"/>
              </w:rPr>
              <w:t xml:space="preserve">, 336. </w:t>
            </w:r>
            <w:hyperlink r:id="rId11" w:history="1">
              <w:r w:rsidRPr="00192ED2">
                <w:rPr>
                  <w:rStyle w:val="Hyperlink"/>
                  <w:rFonts w:ascii="Arial" w:hAnsi="Arial" w:cs="Arial"/>
                  <w:sz w:val="20"/>
                  <w:szCs w:val="20"/>
                </w:rPr>
                <w:t>https://doi.org/10.3390/jrfm14070336</w:t>
              </w:r>
            </w:hyperlink>
            <w:bookmarkEnd w:id="3"/>
          </w:p>
          <w:p w14:paraId="7A02895F" w14:textId="77777777" w:rsidR="00736F9B" w:rsidRPr="00192ED2" w:rsidRDefault="00736F9B" w:rsidP="00736F9B">
            <w:pPr>
              <w:numPr>
                <w:ilvl w:val="0"/>
                <w:numId w:val="12"/>
              </w:numPr>
              <w:spacing w:after="200" w:line="276" w:lineRule="auto"/>
              <w:rPr>
                <w:rFonts w:ascii="Arial" w:hAnsi="Arial" w:cs="Arial"/>
                <w:color w:val="000000"/>
                <w:sz w:val="20"/>
                <w:szCs w:val="20"/>
              </w:rPr>
            </w:pPr>
            <w:r w:rsidRPr="00192ED2">
              <w:rPr>
                <w:rFonts w:ascii="Arial" w:hAnsi="Arial" w:cs="Arial"/>
                <w:color w:val="222222"/>
                <w:sz w:val="20"/>
                <w:szCs w:val="20"/>
              </w:rPr>
              <w:t xml:space="preserve">Batrancea, L.; Pop, M.C.; </w:t>
            </w:r>
            <w:proofErr w:type="spellStart"/>
            <w:r w:rsidRPr="00192ED2">
              <w:rPr>
                <w:rFonts w:ascii="Arial" w:hAnsi="Arial" w:cs="Arial"/>
                <w:color w:val="222222"/>
                <w:sz w:val="20"/>
                <w:szCs w:val="20"/>
              </w:rPr>
              <w:t>Rathnaswamy</w:t>
            </w:r>
            <w:proofErr w:type="spellEnd"/>
            <w:r w:rsidRPr="00192ED2">
              <w:rPr>
                <w:rFonts w:ascii="Arial" w:hAnsi="Arial" w:cs="Arial"/>
                <w:color w:val="222222"/>
                <w:sz w:val="20"/>
                <w:szCs w:val="20"/>
              </w:rPr>
              <w:t xml:space="preserve">, M.M.; </w:t>
            </w:r>
            <w:proofErr w:type="spellStart"/>
            <w:r w:rsidRPr="00192ED2">
              <w:rPr>
                <w:rFonts w:ascii="Arial" w:hAnsi="Arial" w:cs="Arial"/>
                <w:color w:val="222222"/>
                <w:sz w:val="20"/>
                <w:szCs w:val="20"/>
              </w:rPr>
              <w:t>Batrancea</w:t>
            </w:r>
            <w:proofErr w:type="spellEnd"/>
            <w:r w:rsidRPr="00192ED2">
              <w:rPr>
                <w:rFonts w:ascii="Arial" w:hAnsi="Arial" w:cs="Arial"/>
                <w:color w:val="222222"/>
                <w:sz w:val="20"/>
                <w:szCs w:val="20"/>
              </w:rPr>
              <w:t>, I.; Rus, M.-I. An Empirical Investigation on the Transition Process toward a Green Economy. </w:t>
            </w:r>
            <w:r w:rsidRPr="00192ED2">
              <w:rPr>
                <w:rStyle w:val="Emphasis"/>
                <w:rFonts w:ascii="Arial" w:eastAsiaTheme="majorEastAsia" w:hAnsi="Arial" w:cs="Arial"/>
                <w:color w:val="222222"/>
                <w:sz w:val="20"/>
                <w:szCs w:val="20"/>
              </w:rPr>
              <w:t>Sustainability</w:t>
            </w:r>
            <w:r w:rsidRPr="00192ED2">
              <w:rPr>
                <w:rFonts w:ascii="Arial" w:hAnsi="Arial" w:cs="Arial"/>
                <w:color w:val="222222"/>
                <w:sz w:val="20"/>
                <w:szCs w:val="20"/>
              </w:rPr>
              <w:t> </w:t>
            </w:r>
            <w:r w:rsidRPr="00192ED2">
              <w:rPr>
                <w:rFonts w:ascii="Arial" w:hAnsi="Arial" w:cs="Arial"/>
                <w:b/>
                <w:bCs/>
                <w:color w:val="222222"/>
                <w:sz w:val="20"/>
                <w:szCs w:val="20"/>
              </w:rPr>
              <w:t>2021</w:t>
            </w:r>
            <w:r w:rsidRPr="00192ED2">
              <w:rPr>
                <w:rFonts w:ascii="Arial" w:hAnsi="Arial" w:cs="Arial"/>
                <w:color w:val="222222"/>
                <w:sz w:val="20"/>
                <w:szCs w:val="20"/>
              </w:rPr>
              <w:t>, </w:t>
            </w:r>
            <w:r w:rsidRPr="00192ED2">
              <w:rPr>
                <w:rStyle w:val="Emphasis"/>
                <w:rFonts w:ascii="Arial" w:eastAsiaTheme="majorEastAsia" w:hAnsi="Arial" w:cs="Arial"/>
                <w:color w:val="222222"/>
                <w:sz w:val="20"/>
                <w:szCs w:val="20"/>
              </w:rPr>
              <w:t>13</w:t>
            </w:r>
            <w:r w:rsidRPr="00192ED2">
              <w:rPr>
                <w:rFonts w:ascii="Arial" w:hAnsi="Arial" w:cs="Arial"/>
                <w:color w:val="222222"/>
                <w:sz w:val="20"/>
                <w:szCs w:val="20"/>
              </w:rPr>
              <w:t>, 13151. https://doi.org/10.3390/su132313151</w:t>
            </w:r>
          </w:p>
          <w:p w14:paraId="4E5D0982" w14:textId="77777777" w:rsidR="00736F9B" w:rsidRPr="00192ED2" w:rsidRDefault="00736F9B" w:rsidP="00736F9B">
            <w:pPr>
              <w:numPr>
                <w:ilvl w:val="0"/>
                <w:numId w:val="12"/>
              </w:numPr>
              <w:spacing w:after="200" w:line="276" w:lineRule="auto"/>
              <w:rPr>
                <w:rFonts w:ascii="Arial" w:hAnsi="Arial" w:cs="Arial"/>
                <w:color w:val="000000"/>
                <w:sz w:val="20"/>
                <w:szCs w:val="20"/>
              </w:rPr>
            </w:pPr>
            <w:r w:rsidRPr="00192ED2">
              <w:rPr>
                <w:rFonts w:ascii="Arial" w:hAnsi="Arial" w:cs="Arial"/>
                <w:color w:val="000000"/>
                <w:sz w:val="20"/>
                <w:szCs w:val="20"/>
              </w:rPr>
              <w:t>Batrancea, L.M. (2022) Determinants of Economic Growth across the European Union: A Panel Data Analysis on Small and Medium Enterprises. Sustainability, 14, 4797. https://doi.org/10.3390/su14084797/Accession NumberWOS:000786368500001/ ISSN: 2071-1050.</w:t>
            </w:r>
          </w:p>
          <w:p w14:paraId="62428DC7" w14:textId="77777777" w:rsidR="00736F9B" w:rsidRPr="00192ED2" w:rsidRDefault="00736F9B" w:rsidP="00736F9B">
            <w:pPr>
              <w:pStyle w:val="ListParagraph"/>
              <w:widowControl w:val="0"/>
              <w:numPr>
                <w:ilvl w:val="0"/>
                <w:numId w:val="12"/>
              </w:numPr>
              <w:shd w:val="clear" w:color="auto" w:fill="FFFFFF"/>
              <w:autoSpaceDE w:val="0"/>
              <w:autoSpaceDN w:val="0"/>
              <w:spacing w:after="150"/>
              <w:contextualSpacing w:val="0"/>
              <w:rPr>
                <w:rFonts w:ascii="Arial" w:hAnsi="Arial" w:cs="Arial"/>
                <w:color w:val="222222"/>
                <w:sz w:val="20"/>
                <w:szCs w:val="20"/>
              </w:rPr>
            </w:pPr>
            <w:proofErr w:type="spellStart"/>
            <w:r w:rsidRPr="00192ED2">
              <w:rPr>
                <w:rFonts w:ascii="Arial" w:hAnsi="Arial" w:cs="Arial"/>
                <w:color w:val="000000"/>
                <w:sz w:val="20"/>
                <w:szCs w:val="20"/>
              </w:rPr>
              <w:t>Batrancea</w:t>
            </w:r>
            <w:proofErr w:type="spellEnd"/>
            <w:r w:rsidRPr="00192ED2">
              <w:rPr>
                <w:rFonts w:ascii="Arial" w:hAnsi="Arial" w:cs="Arial"/>
                <w:color w:val="000000"/>
                <w:sz w:val="20"/>
                <w:szCs w:val="20"/>
              </w:rPr>
              <w:t xml:space="preserve">, L.M., </w:t>
            </w:r>
            <w:proofErr w:type="spellStart"/>
            <w:r w:rsidRPr="00192ED2">
              <w:rPr>
                <w:rFonts w:ascii="Arial" w:hAnsi="Arial" w:cs="Arial"/>
                <w:color w:val="000000"/>
                <w:sz w:val="20"/>
                <w:szCs w:val="20"/>
              </w:rPr>
              <w:t>Rathnaswamy</w:t>
            </w:r>
            <w:proofErr w:type="spellEnd"/>
            <w:r w:rsidRPr="00192ED2">
              <w:rPr>
                <w:rFonts w:ascii="Arial" w:hAnsi="Arial" w:cs="Arial"/>
                <w:color w:val="000000"/>
                <w:sz w:val="20"/>
                <w:szCs w:val="20"/>
              </w:rPr>
              <w:t xml:space="preserve">, M.M., Rus, MI., </w:t>
            </w:r>
            <w:proofErr w:type="spellStart"/>
            <w:r w:rsidRPr="00192ED2">
              <w:rPr>
                <w:rFonts w:ascii="Arial" w:hAnsi="Arial" w:cs="Arial"/>
                <w:color w:val="000000"/>
                <w:sz w:val="20"/>
                <w:szCs w:val="20"/>
              </w:rPr>
              <w:t>Tulai</w:t>
            </w:r>
            <w:proofErr w:type="spellEnd"/>
            <w:r w:rsidRPr="00192ED2">
              <w:rPr>
                <w:rFonts w:ascii="Arial" w:hAnsi="Arial" w:cs="Arial"/>
                <w:color w:val="000000"/>
                <w:sz w:val="20"/>
                <w:szCs w:val="20"/>
              </w:rPr>
              <w:t xml:space="preserve"> </w:t>
            </w:r>
            <w:proofErr w:type="gramStart"/>
            <w:r w:rsidRPr="00192ED2">
              <w:rPr>
                <w:rFonts w:ascii="Arial" w:hAnsi="Arial" w:cs="Arial"/>
                <w:color w:val="000000"/>
                <w:sz w:val="20"/>
                <w:szCs w:val="20"/>
              </w:rPr>
              <w:t>H.(</w:t>
            </w:r>
            <w:proofErr w:type="gramEnd"/>
            <w:r w:rsidRPr="00192ED2">
              <w:rPr>
                <w:rFonts w:ascii="Arial" w:hAnsi="Arial" w:cs="Arial"/>
                <w:color w:val="000000"/>
                <w:sz w:val="20"/>
                <w:szCs w:val="20"/>
              </w:rPr>
              <w:t xml:space="preserve">2022) Determinants of Economic Growth for the Last Half of Century: A Panel Data Analysis on 50 Countries. J </w:t>
            </w:r>
            <w:proofErr w:type="spellStart"/>
            <w:r w:rsidRPr="00192ED2">
              <w:rPr>
                <w:rFonts w:ascii="Arial" w:hAnsi="Arial" w:cs="Arial"/>
                <w:color w:val="000000"/>
                <w:sz w:val="20"/>
                <w:szCs w:val="20"/>
              </w:rPr>
              <w:t>Knowl</w:t>
            </w:r>
            <w:proofErr w:type="spellEnd"/>
            <w:r w:rsidRPr="00192ED2">
              <w:rPr>
                <w:rFonts w:ascii="Arial" w:hAnsi="Arial" w:cs="Arial"/>
                <w:color w:val="000000"/>
                <w:sz w:val="20"/>
                <w:szCs w:val="20"/>
              </w:rPr>
              <w:t xml:space="preserve"> Econ, Pp.1-25, </w:t>
            </w:r>
            <w:hyperlink r:id="rId12" w:history="1">
              <w:r w:rsidRPr="00192ED2">
                <w:rPr>
                  <w:rStyle w:val="Hyperlink"/>
                  <w:rFonts w:ascii="Arial" w:hAnsi="Arial" w:cs="Arial"/>
                  <w:sz w:val="20"/>
                  <w:szCs w:val="20"/>
                </w:rPr>
                <w:t>https://doi.org/10.1007/s13132-022-00944-9</w:t>
              </w:r>
            </w:hyperlink>
            <w:r w:rsidRPr="00192ED2">
              <w:rPr>
                <w:rFonts w:ascii="Arial" w:hAnsi="Arial" w:cs="Arial"/>
                <w:color w:val="000000"/>
                <w:sz w:val="20"/>
                <w:szCs w:val="20"/>
              </w:rPr>
              <w:t>.</w:t>
            </w:r>
          </w:p>
          <w:p w14:paraId="2E45E50F" w14:textId="77777777" w:rsidR="00736F9B" w:rsidRPr="00192ED2" w:rsidRDefault="00736F9B" w:rsidP="00736F9B">
            <w:pPr>
              <w:pStyle w:val="NormalWeb"/>
              <w:numPr>
                <w:ilvl w:val="0"/>
                <w:numId w:val="12"/>
              </w:numPr>
              <w:shd w:val="clear" w:color="auto" w:fill="FFFFFF"/>
              <w:spacing w:before="0" w:beforeAutospacing="0" w:after="150" w:afterAutospacing="0" w:line="360" w:lineRule="auto"/>
              <w:jc w:val="both"/>
              <w:rPr>
                <w:rFonts w:ascii="Arial" w:hAnsi="Arial" w:cs="Arial"/>
                <w:sz w:val="20"/>
                <w:szCs w:val="20"/>
              </w:rPr>
            </w:pPr>
            <w:r w:rsidRPr="00192ED2">
              <w:rPr>
                <w:rFonts w:ascii="Arial" w:hAnsi="Arial" w:cs="Arial"/>
                <w:sz w:val="20"/>
                <w:szCs w:val="20"/>
              </w:rPr>
              <w:t>Batrancea, L.M. Determinants of Economic Growth across the European Union: A Panel Data Analysis on Small and Medium Enterprises. </w:t>
            </w:r>
            <w:r w:rsidRPr="00192ED2">
              <w:rPr>
                <w:rStyle w:val="Emphasis"/>
                <w:rFonts w:ascii="Arial" w:hAnsi="Arial" w:cs="Arial"/>
                <w:sz w:val="20"/>
                <w:szCs w:val="20"/>
              </w:rPr>
              <w:t>Sustainability</w:t>
            </w:r>
            <w:r w:rsidRPr="00192ED2">
              <w:rPr>
                <w:rFonts w:ascii="Arial" w:hAnsi="Arial" w:cs="Arial"/>
                <w:sz w:val="20"/>
                <w:szCs w:val="20"/>
              </w:rPr>
              <w:t> </w:t>
            </w:r>
            <w:r w:rsidRPr="00192ED2">
              <w:rPr>
                <w:rFonts w:ascii="Arial" w:hAnsi="Arial" w:cs="Arial"/>
                <w:b/>
                <w:bCs/>
                <w:sz w:val="20"/>
                <w:szCs w:val="20"/>
              </w:rPr>
              <w:t>2022</w:t>
            </w:r>
            <w:r w:rsidRPr="00192ED2">
              <w:rPr>
                <w:rFonts w:ascii="Arial" w:hAnsi="Arial" w:cs="Arial"/>
                <w:sz w:val="20"/>
                <w:szCs w:val="20"/>
              </w:rPr>
              <w:t>, </w:t>
            </w:r>
            <w:r w:rsidRPr="00192ED2">
              <w:rPr>
                <w:rStyle w:val="Emphasis"/>
                <w:rFonts w:ascii="Arial" w:hAnsi="Arial" w:cs="Arial"/>
                <w:sz w:val="20"/>
                <w:szCs w:val="20"/>
              </w:rPr>
              <w:t>14</w:t>
            </w:r>
            <w:r w:rsidRPr="00192ED2">
              <w:rPr>
                <w:rFonts w:ascii="Arial" w:hAnsi="Arial" w:cs="Arial"/>
                <w:sz w:val="20"/>
                <w:szCs w:val="20"/>
              </w:rPr>
              <w:t>, 4797. https://doi.org/10.3390/su14084797</w:t>
            </w:r>
          </w:p>
          <w:p w14:paraId="4A713B27" w14:textId="77777777" w:rsidR="00736F9B" w:rsidRPr="00192ED2" w:rsidRDefault="00736F9B" w:rsidP="00736F9B">
            <w:pPr>
              <w:pStyle w:val="NormalWeb"/>
              <w:numPr>
                <w:ilvl w:val="0"/>
                <w:numId w:val="12"/>
              </w:numPr>
              <w:shd w:val="clear" w:color="auto" w:fill="FFFFFF"/>
              <w:spacing w:before="0" w:beforeAutospacing="0" w:after="150" w:afterAutospacing="0" w:line="360" w:lineRule="auto"/>
              <w:jc w:val="both"/>
              <w:rPr>
                <w:rFonts w:ascii="Arial" w:hAnsi="Arial" w:cs="Arial"/>
                <w:sz w:val="20"/>
                <w:szCs w:val="20"/>
              </w:rPr>
            </w:pPr>
            <w:proofErr w:type="spellStart"/>
            <w:r w:rsidRPr="00192ED2">
              <w:rPr>
                <w:rFonts w:ascii="Arial" w:hAnsi="Arial" w:cs="Arial"/>
                <w:sz w:val="20"/>
                <w:szCs w:val="20"/>
              </w:rPr>
              <w:t>Batrancea</w:t>
            </w:r>
            <w:proofErr w:type="spellEnd"/>
            <w:r w:rsidRPr="00192ED2">
              <w:rPr>
                <w:rFonts w:ascii="Arial" w:hAnsi="Arial" w:cs="Arial"/>
                <w:sz w:val="20"/>
                <w:szCs w:val="20"/>
              </w:rPr>
              <w:t xml:space="preserve">, L.M.; </w:t>
            </w:r>
            <w:proofErr w:type="spellStart"/>
            <w:r w:rsidRPr="00192ED2">
              <w:rPr>
                <w:rFonts w:ascii="Arial" w:hAnsi="Arial" w:cs="Arial"/>
                <w:sz w:val="20"/>
                <w:szCs w:val="20"/>
              </w:rPr>
              <w:t>Balcı</w:t>
            </w:r>
            <w:proofErr w:type="spellEnd"/>
            <w:r w:rsidRPr="00192ED2">
              <w:rPr>
                <w:rFonts w:ascii="Arial" w:hAnsi="Arial" w:cs="Arial"/>
                <w:sz w:val="20"/>
                <w:szCs w:val="20"/>
              </w:rPr>
              <w:t xml:space="preserve">, M.A.; </w:t>
            </w:r>
            <w:proofErr w:type="spellStart"/>
            <w:r w:rsidRPr="00192ED2">
              <w:rPr>
                <w:rFonts w:ascii="Arial" w:hAnsi="Arial" w:cs="Arial"/>
                <w:sz w:val="20"/>
                <w:szCs w:val="20"/>
              </w:rPr>
              <w:t>Chermezan</w:t>
            </w:r>
            <w:proofErr w:type="spellEnd"/>
            <w:r w:rsidRPr="00192ED2">
              <w:rPr>
                <w:rFonts w:ascii="Arial" w:hAnsi="Arial" w:cs="Arial"/>
                <w:sz w:val="20"/>
                <w:szCs w:val="20"/>
              </w:rPr>
              <w:t xml:space="preserve">, L.; </w:t>
            </w:r>
            <w:proofErr w:type="spellStart"/>
            <w:r w:rsidRPr="00192ED2">
              <w:rPr>
                <w:rFonts w:ascii="Arial" w:hAnsi="Arial" w:cs="Arial"/>
                <w:sz w:val="20"/>
                <w:szCs w:val="20"/>
              </w:rPr>
              <w:t>Akgüller</w:t>
            </w:r>
            <w:proofErr w:type="spellEnd"/>
            <w:r w:rsidRPr="00192ED2">
              <w:rPr>
                <w:rFonts w:ascii="Arial" w:hAnsi="Arial" w:cs="Arial"/>
                <w:sz w:val="20"/>
                <w:szCs w:val="20"/>
              </w:rPr>
              <w:t xml:space="preserve">, Ö.; </w:t>
            </w:r>
            <w:proofErr w:type="spellStart"/>
            <w:r w:rsidRPr="00192ED2">
              <w:rPr>
                <w:rFonts w:ascii="Arial" w:hAnsi="Arial" w:cs="Arial"/>
                <w:sz w:val="20"/>
                <w:szCs w:val="20"/>
              </w:rPr>
              <w:t>Masca</w:t>
            </w:r>
            <w:proofErr w:type="spellEnd"/>
            <w:r w:rsidRPr="00192ED2">
              <w:rPr>
                <w:rFonts w:ascii="Arial" w:hAnsi="Arial" w:cs="Arial"/>
                <w:sz w:val="20"/>
                <w:szCs w:val="20"/>
              </w:rPr>
              <w:t xml:space="preserve">, E.S.; </w:t>
            </w:r>
            <w:proofErr w:type="spellStart"/>
            <w:r w:rsidRPr="00192ED2">
              <w:rPr>
                <w:rFonts w:ascii="Arial" w:hAnsi="Arial" w:cs="Arial"/>
                <w:sz w:val="20"/>
                <w:szCs w:val="20"/>
              </w:rPr>
              <w:t>Gaban</w:t>
            </w:r>
            <w:proofErr w:type="spellEnd"/>
            <w:r w:rsidRPr="00192ED2">
              <w:rPr>
                <w:rFonts w:ascii="Arial" w:hAnsi="Arial" w:cs="Arial"/>
                <w:sz w:val="20"/>
                <w:szCs w:val="20"/>
              </w:rPr>
              <w:t>, L. Sources of SMEs Financing and Their Impact on Economic Growth across the European Union: Insights from a Panel Data Study Spanning Sixteen Years. </w:t>
            </w:r>
            <w:r w:rsidRPr="00192ED2">
              <w:rPr>
                <w:rStyle w:val="Emphasis"/>
                <w:rFonts w:ascii="Arial" w:hAnsi="Arial" w:cs="Arial"/>
                <w:sz w:val="20"/>
                <w:szCs w:val="20"/>
              </w:rPr>
              <w:t>Sustainability</w:t>
            </w:r>
            <w:r w:rsidRPr="00192ED2">
              <w:rPr>
                <w:rFonts w:ascii="Arial" w:hAnsi="Arial" w:cs="Arial"/>
                <w:sz w:val="20"/>
                <w:szCs w:val="20"/>
              </w:rPr>
              <w:t> </w:t>
            </w:r>
            <w:r w:rsidRPr="00192ED2">
              <w:rPr>
                <w:rFonts w:ascii="Arial" w:hAnsi="Arial" w:cs="Arial"/>
                <w:b/>
                <w:bCs/>
                <w:sz w:val="20"/>
                <w:szCs w:val="20"/>
              </w:rPr>
              <w:t>2022</w:t>
            </w:r>
            <w:r w:rsidRPr="00192ED2">
              <w:rPr>
                <w:rFonts w:ascii="Arial" w:hAnsi="Arial" w:cs="Arial"/>
                <w:sz w:val="20"/>
                <w:szCs w:val="20"/>
              </w:rPr>
              <w:t>, </w:t>
            </w:r>
            <w:r w:rsidRPr="00192ED2">
              <w:rPr>
                <w:rStyle w:val="Emphasis"/>
                <w:rFonts w:ascii="Arial" w:hAnsi="Arial" w:cs="Arial"/>
                <w:sz w:val="20"/>
                <w:szCs w:val="20"/>
              </w:rPr>
              <w:t>14</w:t>
            </w:r>
            <w:r w:rsidRPr="00192ED2">
              <w:rPr>
                <w:rFonts w:ascii="Arial" w:hAnsi="Arial" w:cs="Arial"/>
                <w:sz w:val="20"/>
                <w:szCs w:val="20"/>
              </w:rPr>
              <w:t>, 15318. https://doi.org/10.3390/su142215318</w:t>
            </w:r>
          </w:p>
          <w:p w14:paraId="74F724AD" w14:textId="77777777" w:rsidR="00736F9B" w:rsidRPr="00192ED2" w:rsidRDefault="00736F9B" w:rsidP="00736F9B">
            <w:pPr>
              <w:pStyle w:val="NormalWeb"/>
              <w:numPr>
                <w:ilvl w:val="0"/>
                <w:numId w:val="12"/>
              </w:numPr>
              <w:shd w:val="clear" w:color="auto" w:fill="FFFFFF"/>
              <w:spacing w:before="0" w:beforeAutospacing="0" w:after="150" w:afterAutospacing="0" w:line="360" w:lineRule="auto"/>
              <w:jc w:val="both"/>
              <w:rPr>
                <w:rFonts w:ascii="Arial" w:hAnsi="Arial" w:cs="Arial"/>
                <w:sz w:val="20"/>
                <w:szCs w:val="20"/>
              </w:rPr>
            </w:pPr>
            <w:proofErr w:type="spellStart"/>
            <w:r w:rsidRPr="00192ED2">
              <w:rPr>
                <w:rFonts w:ascii="Arial" w:hAnsi="Arial" w:cs="Arial"/>
                <w:sz w:val="20"/>
                <w:szCs w:val="20"/>
              </w:rPr>
              <w:t>Batrancea</w:t>
            </w:r>
            <w:proofErr w:type="spellEnd"/>
            <w:r w:rsidRPr="00192ED2">
              <w:rPr>
                <w:rFonts w:ascii="Arial" w:hAnsi="Arial" w:cs="Arial"/>
                <w:sz w:val="20"/>
                <w:szCs w:val="20"/>
              </w:rPr>
              <w:t xml:space="preserve">, L.M.; </w:t>
            </w:r>
            <w:proofErr w:type="spellStart"/>
            <w:r w:rsidRPr="00192ED2">
              <w:rPr>
                <w:rFonts w:ascii="Arial" w:hAnsi="Arial" w:cs="Arial"/>
                <w:sz w:val="20"/>
                <w:szCs w:val="20"/>
              </w:rPr>
              <w:t>Balcı</w:t>
            </w:r>
            <w:proofErr w:type="spellEnd"/>
            <w:r w:rsidRPr="00192ED2">
              <w:rPr>
                <w:rFonts w:ascii="Arial" w:hAnsi="Arial" w:cs="Arial"/>
                <w:sz w:val="20"/>
                <w:szCs w:val="20"/>
              </w:rPr>
              <w:t xml:space="preserve">, M.A.; </w:t>
            </w:r>
            <w:proofErr w:type="spellStart"/>
            <w:r w:rsidRPr="00192ED2">
              <w:rPr>
                <w:rFonts w:ascii="Arial" w:hAnsi="Arial" w:cs="Arial"/>
                <w:sz w:val="20"/>
                <w:szCs w:val="20"/>
              </w:rPr>
              <w:t>Akgüller</w:t>
            </w:r>
            <w:proofErr w:type="spellEnd"/>
            <w:r w:rsidRPr="00192ED2">
              <w:rPr>
                <w:rFonts w:ascii="Arial" w:hAnsi="Arial" w:cs="Arial"/>
                <w:sz w:val="20"/>
                <w:szCs w:val="20"/>
              </w:rPr>
              <w:t>, Ö.; Gaban, L. What Drives Economic Growth across European Countries? A Multimodal Approach. </w:t>
            </w:r>
            <w:r w:rsidRPr="00192ED2">
              <w:rPr>
                <w:rStyle w:val="Emphasis"/>
                <w:rFonts w:ascii="Arial" w:hAnsi="Arial" w:cs="Arial"/>
                <w:sz w:val="20"/>
                <w:szCs w:val="20"/>
              </w:rPr>
              <w:t>Mathematics</w:t>
            </w:r>
            <w:r w:rsidRPr="00192ED2">
              <w:rPr>
                <w:rFonts w:ascii="Arial" w:hAnsi="Arial" w:cs="Arial"/>
                <w:sz w:val="20"/>
                <w:szCs w:val="20"/>
              </w:rPr>
              <w:t> </w:t>
            </w:r>
            <w:r w:rsidRPr="00192ED2">
              <w:rPr>
                <w:rFonts w:ascii="Arial" w:hAnsi="Arial" w:cs="Arial"/>
                <w:b/>
                <w:bCs/>
                <w:sz w:val="20"/>
                <w:szCs w:val="20"/>
              </w:rPr>
              <w:t>2022</w:t>
            </w:r>
            <w:r w:rsidRPr="00192ED2">
              <w:rPr>
                <w:rFonts w:ascii="Arial" w:hAnsi="Arial" w:cs="Arial"/>
                <w:sz w:val="20"/>
                <w:szCs w:val="20"/>
              </w:rPr>
              <w:t>, </w:t>
            </w:r>
            <w:r w:rsidRPr="00192ED2">
              <w:rPr>
                <w:rStyle w:val="Emphasis"/>
                <w:rFonts w:ascii="Arial" w:hAnsi="Arial" w:cs="Arial"/>
                <w:sz w:val="20"/>
                <w:szCs w:val="20"/>
              </w:rPr>
              <w:t>10</w:t>
            </w:r>
            <w:r w:rsidRPr="00192ED2">
              <w:rPr>
                <w:rFonts w:ascii="Arial" w:hAnsi="Arial" w:cs="Arial"/>
                <w:sz w:val="20"/>
                <w:szCs w:val="20"/>
              </w:rPr>
              <w:t>, 3660. https://doi.org/10.3390/math10193660</w:t>
            </w:r>
          </w:p>
          <w:p w14:paraId="4846F510" w14:textId="77777777" w:rsidR="00736F9B" w:rsidRPr="00192ED2" w:rsidRDefault="00736F9B" w:rsidP="00736F9B">
            <w:pPr>
              <w:pStyle w:val="NormalWeb"/>
              <w:numPr>
                <w:ilvl w:val="0"/>
                <w:numId w:val="12"/>
              </w:numPr>
              <w:shd w:val="clear" w:color="auto" w:fill="FFFFFF"/>
              <w:spacing w:before="0" w:beforeAutospacing="0" w:after="150" w:afterAutospacing="0" w:line="360" w:lineRule="auto"/>
              <w:rPr>
                <w:rStyle w:val="Hyperlink"/>
                <w:rFonts w:ascii="Arial" w:hAnsi="Arial" w:cs="Arial"/>
                <w:sz w:val="20"/>
                <w:szCs w:val="20"/>
              </w:rPr>
            </w:pPr>
            <w:r w:rsidRPr="00192ED2">
              <w:rPr>
                <w:rFonts w:ascii="Arial" w:hAnsi="Arial" w:cs="Arial"/>
                <w:sz w:val="20"/>
                <w:szCs w:val="20"/>
              </w:rPr>
              <w:t xml:space="preserve">  Batrancea, L.; </w:t>
            </w:r>
            <w:proofErr w:type="spellStart"/>
            <w:r w:rsidRPr="00192ED2">
              <w:rPr>
                <w:rFonts w:ascii="Arial" w:hAnsi="Arial" w:cs="Arial"/>
                <w:sz w:val="20"/>
                <w:szCs w:val="20"/>
              </w:rPr>
              <w:t>Rathnaswamy</w:t>
            </w:r>
            <w:proofErr w:type="spellEnd"/>
            <w:r w:rsidRPr="00192ED2">
              <w:rPr>
                <w:rFonts w:ascii="Arial" w:hAnsi="Arial" w:cs="Arial"/>
                <w:sz w:val="20"/>
                <w:szCs w:val="20"/>
              </w:rPr>
              <w:t xml:space="preserve">, M.M.; </w:t>
            </w:r>
            <w:proofErr w:type="spellStart"/>
            <w:r w:rsidRPr="00192ED2">
              <w:rPr>
                <w:rFonts w:ascii="Arial" w:hAnsi="Arial" w:cs="Arial"/>
                <w:sz w:val="20"/>
                <w:szCs w:val="20"/>
              </w:rPr>
              <w:t>Batrancea</w:t>
            </w:r>
            <w:proofErr w:type="spellEnd"/>
            <w:r w:rsidRPr="00192ED2">
              <w:rPr>
                <w:rFonts w:ascii="Arial" w:hAnsi="Arial" w:cs="Arial"/>
                <w:sz w:val="20"/>
                <w:szCs w:val="20"/>
              </w:rPr>
              <w:t>, I. (2021) A Panel Data Analysis of Economic Growth Determinants in 34 African Countries. </w:t>
            </w:r>
            <w:r w:rsidRPr="00192ED2">
              <w:rPr>
                <w:rStyle w:val="Emphasis"/>
                <w:rFonts w:ascii="Arial" w:hAnsi="Arial" w:cs="Arial"/>
                <w:sz w:val="20"/>
                <w:szCs w:val="20"/>
              </w:rPr>
              <w:t>J. Risk Financial Manag.</w:t>
            </w:r>
            <w:r w:rsidRPr="00192ED2">
              <w:rPr>
                <w:rFonts w:ascii="Arial" w:hAnsi="Arial" w:cs="Arial"/>
                <w:sz w:val="20"/>
                <w:szCs w:val="20"/>
              </w:rPr>
              <w:t> </w:t>
            </w:r>
            <w:r w:rsidRPr="00192ED2">
              <w:rPr>
                <w:rStyle w:val="Emphasis"/>
                <w:rFonts w:ascii="Arial" w:hAnsi="Arial" w:cs="Arial"/>
                <w:sz w:val="20"/>
                <w:szCs w:val="20"/>
              </w:rPr>
              <w:t>14</w:t>
            </w:r>
            <w:r w:rsidRPr="00192ED2">
              <w:rPr>
                <w:rFonts w:ascii="Arial" w:hAnsi="Arial" w:cs="Arial"/>
                <w:sz w:val="20"/>
                <w:szCs w:val="20"/>
              </w:rPr>
              <w:t xml:space="preserve">, 260. </w:t>
            </w:r>
            <w:hyperlink r:id="rId13" w:history="1">
              <w:r w:rsidRPr="00192ED2">
                <w:rPr>
                  <w:rStyle w:val="Hyperlink"/>
                  <w:rFonts w:ascii="Arial" w:hAnsi="Arial" w:cs="Arial"/>
                  <w:sz w:val="20"/>
                  <w:szCs w:val="20"/>
                </w:rPr>
                <w:t>https://doi.org/10.3390/jrfm14060260</w:t>
              </w:r>
            </w:hyperlink>
          </w:p>
          <w:p w14:paraId="65343629" w14:textId="77777777" w:rsidR="00736F9B" w:rsidRPr="00192ED2" w:rsidRDefault="00736F9B" w:rsidP="00736F9B">
            <w:pPr>
              <w:pStyle w:val="ListParagraph"/>
              <w:widowControl w:val="0"/>
              <w:shd w:val="clear" w:color="auto" w:fill="FFFFFF"/>
              <w:autoSpaceDE w:val="0"/>
              <w:autoSpaceDN w:val="0"/>
              <w:spacing w:after="150"/>
              <w:contextualSpacing w:val="0"/>
              <w:rPr>
                <w:rFonts w:ascii="Arial" w:hAnsi="Arial" w:cs="Arial"/>
                <w:color w:val="222222"/>
                <w:sz w:val="20"/>
                <w:szCs w:val="20"/>
              </w:rPr>
            </w:pPr>
            <w:r w:rsidRPr="00192ED2">
              <w:rPr>
                <w:rStyle w:val="Hyperlink"/>
                <w:rFonts w:ascii="Arial" w:hAnsi="Arial" w:cs="Arial"/>
                <w:sz w:val="20"/>
                <w:szCs w:val="20"/>
              </w:rPr>
              <w:t xml:space="preserve">24.  </w:t>
            </w:r>
            <w:r w:rsidRPr="00192ED2">
              <w:rPr>
                <w:rFonts w:ascii="Arial" w:hAnsi="Arial" w:cs="Arial"/>
                <w:color w:val="222222"/>
                <w:sz w:val="20"/>
                <w:szCs w:val="20"/>
              </w:rPr>
              <w:t xml:space="preserve">Batrancea, </w:t>
            </w:r>
            <w:proofErr w:type="gramStart"/>
            <w:r w:rsidRPr="00192ED2">
              <w:rPr>
                <w:rFonts w:ascii="Arial" w:hAnsi="Arial" w:cs="Arial"/>
                <w:color w:val="222222"/>
                <w:sz w:val="20"/>
                <w:szCs w:val="20"/>
              </w:rPr>
              <w:t>L.(</w:t>
            </w:r>
            <w:proofErr w:type="gramEnd"/>
            <w:r w:rsidRPr="00192ED2">
              <w:rPr>
                <w:rFonts w:ascii="Arial" w:hAnsi="Arial" w:cs="Arial"/>
                <w:color w:val="222222"/>
                <w:sz w:val="20"/>
                <w:szCs w:val="20"/>
              </w:rPr>
              <w:t>2021) Empirical Evidence Regarding the Impact of Economic Growth and Inflation on Economic Sentiment and Household Consumption. </w:t>
            </w:r>
            <w:r w:rsidRPr="00192ED2">
              <w:rPr>
                <w:rStyle w:val="Emphasis"/>
                <w:rFonts w:ascii="Arial" w:eastAsiaTheme="majorEastAsia" w:hAnsi="Arial" w:cs="Arial"/>
                <w:color w:val="222222"/>
                <w:sz w:val="20"/>
                <w:szCs w:val="20"/>
              </w:rPr>
              <w:t>J. Risk Financial Manag.</w:t>
            </w:r>
            <w:r w:rsidRPr="00192ED2">
              <w:rPr>
                <w:rFonts w:ascii="Arial" w:hAnsi="Arial" w:cs="Arial"/>
                <w:color w:val="222222"/>
                <w:sz w:val="20"/>
                <w:szCs w:val="20"/>
              </w:rPr>
              <w:t> </w:t>
            </w:r>
            <w:r w:rsidRPr="00192ED2">
              <w:rPr>
                <w:rStyle w:val="Emphasis"/>
                <w:rFonts w:ascii="Arial" w:eastAsiaTheme="majorEastAsia" w:hAnsi="Arial" w:cs="Arial"/>
                <w:color w:val="222222"/>
                <w:sz w:val="20"/>
                <w:szCs w:val="20"/>
              </w:rPr>
              <w:t>14</w:t>
            </w:r>
            <w:r w:rsidRPr="00192ED2">
              <w:rPr>
                <w:rFonts w:ascii="Arial" w:hAnsi="Arial" w:cs="Arial"/>
                <w:color w:val="222222"/>
                <w:sz w:val="20"/>
                <w:szCs w:val="20"/>
              </w:rPr>
              <w:t xml:space="preserve">, 336. </w:t>
            </w:r>
            <w:hyperlink r:id="rId14" w:history="1">
              <w:r w:rsidRPr="00192ED2">
                <w:rPr>
                  <w:rStyle w:val="Hyperlink"/>
                  <w:rFonts w:ascii="Arial" w:hAnsi="Arial" w:cs="Arial"/>
                  <w:sz w:val="20"/>
                  <w:szCs w:val="20"/>
                </w:rPr>
                <w:t>https://doi.org/10.3390/jrfm14070336</w:t>
              </w:r>
            </w:hyperlink>
            <w:r w:rsidRPr="00192ED2">
              <w:rPr>
                <w:rStyle w:val="Hyperlink"/>
                <w:rFonts w:ascii="Arial" w:hAnsi="Arial" w:cs="Arial"/>
                <w:sz w:val="20"/>
                <w:szCs w:val="20"/>
              </w:rPr>
              <w:t>.</w:t>
            </w:r>
          </w:p>
          <w:p w14:paraId="1F0EAA73" w14:textId="77777777" w:rsidR="00736F9B" w:rsidRPr="00192ED2" w:rsidRDefault="00736F9B" w:rsidP="00736F9B">
            <w:pPr>
              <w:rPr>
                <w:rFonts w:ascii="Arial" w:hAnsi="Arial" w:cs="Arial"/>
                <w:sz w:val="20"/>
                <w:szCs w:val="20"/>
              </w:rPr>
            </w:pPr>
            <w:r w:rsidRPr="00192ED2">
              <w:rPr>
                <w:rFonts w:ascii="Arial" w:hAnsi="Arial" w:cs="Arial"/>
                <w:sz w:val="20"/>
                <w:szCs w:val="20"/>
              </w:rPr>
              <w:t xml:space="preserve">    5. We also consider that an important cause that influences GDP is fiscal compliance and therefore even if this variable was not </w:t>
            </w:r>
            <w:proofErr w:type="gramStart"/>
            <w:r w:rsidRPr="00192ED2">
              <w:rPr>
                <w:rFonts w:ascii="Arial" w:hAnsi="Arial" w:cs="Arial"/>
                <w:sz w:val="20"/>
                <w:szCs w:val="20"/>
              </w:rPr>
              <w:t>taken into account</w:t>
            </w:r>
            <w:proofErr w:type="gramEnd"/>
            <w:r w:rsidRPr="00192ED2">
              <w:rPr>
                <w:rFonts w:ascii="Arial" w:hAnsi="Arial" w:cs="Arial"/>
                <w:sz w:val="20"/>
                <w:szCs w:val="20"/>
              </w:rPr>
              <w:t>, the authors should refer to the works published on this topic, namely:</w:t>
            </w:r>
          </w:p>
          <w:p w14:paraId="10ADB24E" w14:textId="77777777" w:rsidR="00736F9B" w:rsidRPr="00192ED2" w:rsidRDefault="00736F9B" w:rsidP="00736F9B">
            <w:pPr>
              <w:pStyle w:val="NormalWeb"/>
              <w:numPr>
                <w:ilvl w:val="0"/>
                <w:numId w:val="12"/>
              </w:numPr>
              <w:shd w:val="clear" w:color="auto" w:fill="FFFFFF"/>
              <w:spacing w:before="0" w:beforeAutospacing="0" w:after="0" w:afterAutospacing="0" w:line="360" w:lineRule="auto"/>
              <w:jc w:val="both"/>
              <w:rPr>
                <w:rFonts w:ascii="Arial" w:hAnsi="Arial" w:cs="Arial"/>
                <w:bCs/>
                <w:sz w:val="20"/>
                <w:szCs w:val="20"/>
              </w:rPr>
            </w:pPr>
            <w:r w:rsidRPr="00192ED2">
              <w:rPr>
                <w:rFonts w:ascii="Arial" w:hAnsi="Arial" w:cs="Arial"/>
                <w:bCs/>
                <w:color w:val="000000"/>
                <w:sz w:val="20"/>
                <w:szCs w:val="20"/>
              </w:rPr>
              <w:t>Batrancea L.M., Nichita R.A., Ba</w:t>
            </w:r>
            <w:r w:rsidRPr="00192ED2">
              <w:rPr>
                <w:rFonts w:ascii="Arial" w:hAnsi="Arial" w:cs="Arial"/>
                <w:bCs/>
                <w:color w:val="000000"/>
                <w:sz w:val="20"/>
                <w:szCs w:val="20"/>
                <w:lang w:eastAsia="zh-CN"/>
              </w:rPr>
              <w:t xml:space="preserve">trancea I. </w:t>
            </w:r>
            <w:r w:rsidRPr="00192ED2">
              <w:rPr>
                <w:rFonts w:ascii="Arial" w:hAnsi="Arial" w:cs="Arial"/>
                <w:bCs/>
                <w:color w:val="000000"/>
                <w:sz w:val="20"/>
                <w:szCs w:val="20"/>
              </w:rPr>
              <w:t xml:space="preserve">(2012), Tax Non-Compliance Behavior in the Light of Tax Law Complexity and the Relationship between Authorities and Taxpayers, </w:t>
            </w:r>
            <w:r w:rsidRPr="00192ED2">
              <w:rPr>
                <w:rFonts w:ascii="Arial" w:hAnsi="Arial" w:cs="Arial"/>
                <w:i/>
                <w:iCs/>
                <w:color w:val="222222"/>
                <w:sz w:val="20"/>
                <w:szCs w:val="20"/>
              </w:rPr>
              <w:t xml:space="preserve">Annals of the Alexandru Ioan Cuza University-Economics, </w:t>
            </w:r>
            <w:r w:rsidRPr="00192ED2">
              <w:rPr>
                <w:rFonts w:ascii="Arial" w:hAnsi="Arial" w:cs="Arial"/>
                <w:bCs/>
                <w:color w:val="000000"/>
                <w:sz w:val="20"/>
                <w:szCs w:val="20"/>
              </w:rPr>
              <w:t>59(1), pp.97–106.</w:t>
            </w:r>
          </w:p>
          <w:p w14:paraId="729E1A79" w14:textId="77777777" w:rsidR="00736F9B" w:rsidRPr="00192ED2" w:rsidRDefault="00736F9B" w:rsidP="00736F9B">
            <w:pPr>
              <w:numPr>
                <w:ilvl w:val="0"/>
                <w:numId w:val="12"/>
              </w:numPr>
              <w:shd w:val="clear" w:color="auto" w:fill="FFFFFF"/>
              <w:spacing w:after="200" w:line="276" w:lineRule="auto"/>
              <w:rPr>
                <w:rFonts w:ascii="Arial" w:hAnsi="Arial" w:cs="Arial"/>
                <w:sz w:val="20"/>
                <w:szCs w:val="20"/>
              </w:rPr>
            </w:pPr>
            <w:r w:rsidRPr="00192ED2">
              <w:rPr>
                <w:rFonts w:ascii="Arial" w:hAnsi="Arial" w:cs="Arial"/>
                <w:bCs/>
                <w:sz w:val="20"/>
                <w:szCs w:val="20"/>
              </w:rPr>
              <w:t xml:space="preserve">Nichita R.A., Batrancea L.M., (2012), The Implications of Tax Morale on Tax Compliance Behavior, </w:t>
            </w:r>
            <w:r w:rsidRPr="00192ED2">
              <w:rPr>
                <w:rFonts w:ascii="Arial" w:hAnsi="Arial" w:cs="Arial"/>
                <w:i/>
                <w:sz w:val="20"/>
                <w:szCs w:val="20"/>
              </w:rPr>
              <w:t>Annals of University of</w:t>
            </w:r>
            <w:r w:rsidRPr="00192ED2">
              <w:rPr>
                <w:rFonts w:ascii="Arial" w:hAnsi="Arial" w:cs="Arial"/>
                <w:i/>
                <w:sz w:val="20"/>
                <w:szCs w:val="20"/>
                <w:lang w:eastAsia="zh-CN"/>
              </w:rPr>
              <w:t xml:space="preserve"> Oradea: Economic Science</w:t>
            </w:r>
            <w:r w:rsidRPr="00192ED2">
              <w:rPr>
                <w:rFonts w:ascii="Arial" w:hAnsi="Arial" w:cs="Arial"/>
                <w:sz w:val="20"/>
                <w:szCs w:val="20"/>
                <w:lang w:eastAsia="zh-CN"/>
              </w:rPr>
              <w:t>, 21(1)1, 739–744.</w:t>
            </w:r>
          </w:p>
          <w:p w14:paraId="366A8061" w14:textId="77777777" w:rsidR="00736F9B" w:rsidRPr="00192ED2" w:rsidRDefault="00736F9B" w:rsidP="00736F9B">
            <w:pPr>
              <w:ind w:firstLine="360"/>
              <w:rPr>
                <w:rFonts w:ascii="Arial" w:hAnsi="Arial" w:cs="Arial"/>
                <w:sz w:val="20"/>
                <w:szCs w:val="20"/>
              </w:rPr>
            </w:pPr>
          </w:p>
          <w:p w14:paraId="2ECBDCC9" w14:textId="77777777" w:rsidR="00736F9B" w:rsidRPr="00192ED2" w:rsidRDefault="00736F9B" w:rsidP="00736F9B">
            <w:pPr>
              <w:ind w:firstLine="360"/>
              <w:rPr>
                <w:rFonts w:ascii="Arial" w:hAnsi="Arial" w:cs="Arial"/>
                <w:sz w:val="20"/>
                <w:szCs w:val="20"/>
              </w:rPr>
            </w:pPr>
            <w:r w:rsidRPr="00192ED2">
              <w:rPr>
                <w:rFonts w:ascii="Arial" w:hAnsi="Arial" w:cs="Arial"/>
                <w:sz w:val="20"/>
                <w:szCs w:val="20"/>
              </w:rPr>
              <w:t xml:space="preserve">7. Another important cause that must be mentioned in the paper is the link between GDP, fiscal compliance and shadow economy, as the independent variables fiscal compliance and shadow economy strongly influence GDP. In this sense, I recommend the authors to quote the paper: </w:t>
            </w:r>
          </w:p>
          <w:p w14:paraId="24FE0567" w14:textId="5DE1D2CD" w:rsidR="00736F9B" w:rsidRPr="00192ED2" w:rsidRDefault="00736F9B" w:rsidP="00736F9B">
            <w:pPr>
              <w:pStyle w:val="ListParagraph"/>
              <w:ind w:left="0"/>
              <w:rPr>
                <w:rFonts w:ascii="Arial" w:hAnsi="Arial" w:cs="Arial"/>
                <w:b/>
                <w:bCs/>
                <w:sz w:val="20"/>
                <w:szCs w:val="20"/>
                <w:lang w:val="en-GB"/>
              </w:rPr>
            </w:pPr>
            <w:r w:rsidRPr="00192ED2">
              <w:rPr>
                <w:rFonts w:ascii="Arial" w:hAnsi="Arial" w:cs="Arial"/>
                <w:bCs/>
                <w:sz w:val="20"/>
                <w:szCs w:val="20"/>
              </w:rPr>
              <w:t xml:space="preserve">Batrancea L., Nichita A., Batrancea I., Gaban L. (2018). „The </w:t>
            </w:r>
            <w:proofErr w:type="spellStart"/>
            <w:r w:rsidRPr="00192ED2">
              <w:rPr>
                <w:rFonts w:ascii="Arial" w:hAnsi="Arial" w:cs="Arial"/>
                <w:bCs/>
                <w:sz w:val="20"/>
                <w:szCs w:val="20"/>
              </w:rPr>
              <w:t>Strenght</w:t>
            </w:r>
            <w:proofErr w:type="spellEnd"/>
            <w:r w:rsidRPr="00192ED2">
              <w:rPr>
                <w:rFonts w:ascii="Arial" w:hAnsi="Arial" w:cs="Arial"/>
                <w:bCs/>
                <w:sz w:val="20"/>
                <w:szCs w:val="20"/>
              </w:rPr>
              <w:t xml:space="preserve"> of the Relationship Between Shadow Economy and Corruption: Evidence from a Worldwide Country-Sample”. Social Indicators Research 138(3), 1119-1143; DOI: 10.1007/s11205-017-1696-z</w:t>
            </w:r>
          </w:p>
        </w:tc>
        <w:tc>
          <w:tcPr>
            <w:tcW w:w="1523" w:type="pct"/>
          </w:tcPr>
          <w:p w14:paraId="40220055" w14:textId="77777777" w:rsidR="00736F9B" w:rsidRPr="00192ED2" w:rsidRDefault="00736F9B" w:rsidP="00736F9B">
            <w:pPr>
              <w:pStyle w:val="Heading2"/>
              <w:jc w:val="left"/>
              <w:rPr>
                <w:rFonts w:ascii="Arial" w:hAnsi="Arial" w:cs="Arial"/>
                <w:b w:val="0"/>
                <w:lang w:val="en-GB"/>
              </w:rPr>
            </w:pPr>
          </w:p>
        </w:tc>
      </w:tr>
      <w:tr w:rsidR="00736F9B" w:rsidRPr="00192ED2" w14:paraId="73CC4A50" w14:textId="77777777" w:rsidTr="007222C8">
        <w:trPr>
          <w:trHeight w:val="386"/>
        </w:trPr>
        <w:tc>
          <w:tcPr>
            <w:tcW w:w="1265" w:type="pct"/>
            <w:noWrap/>
          </w:tcPr>
          <w:p w14:paraId="029CE8D0" w14:textId="77777777" w:rsidR="00736F9B" w:rsidRPr="00192ED2" w:rsidRDefault="00736F9B" w:rsidP="00736F9B">
            <w:pPr>
              <w:pStyle w:val="Heading2"/>
              <w:jc w:val="left"/>
              <w:rPr>
                <w:rFonts w:ascii="Arial" w:hAnsi="Arial" w:cs="Arial"/>
                <w:b w:val="0"/>
                <w:lang w:val="en-GB"/>
              </w:rPr>
            </w:pPr>
          </w:p>
          <w:p w14:paraId="589C16C7" w14:textId="77777777" w:rsidR="00736F9B" w:rsidRPr="00192ED2" w:rsidRDefault="00736F9B" w:rsidP="00736F9B">
            <w:pPr>
              <w:pStyle w:val="Heading2"/>
              <w:ind w:left="360"/>
              <w:jc w:val="left"/>
              <w:rPr>
                <w:rFonts w:ascii="Arial" w:hAnsi="Arial" w:cs="Arial"/>
                <w:bCs w:val="0"/>
                <w:lang w:val="en-GB"/>
              </w:rPr>
            </w:pPr>
            <w:r w:rsidRPr="00192ED2">
              <w:rPr>
                <w:rFonts w:ascii="Arial" w:hAnsi="Arial" w:cs="Arial"/>
                <w:bCs w:val="0"/>
                <w:lang w:val="en-GB"/>
              </w:rPr>
              <w:t>Is the language/English quality of the article suitable for scholarly communications?</w:t>
            </w:r>
          </w:p>
          <w:p w14:paraId="7722B85E" w14:textId="77777777" w:rsidR="00736F9B" w:rsidRPr="00192ED2" w:rsidRDefault="00736F9B" w:rsidP="00736F9B">
            <w:pPr>
              <w:rPr>
                <w:rFonts w:ascii="Arial" w:hAnsi="Arial" w:cs="Arial"/>
                <w:sz w:val="20"/>
                <w:szCs w:val="20"/>
                <w:lang w:val="en-GB"/>
              </w:rPr>
            </w:pPr>
          </w:p>
        </w:tc>
        <w:tc>
          <w:tcPr>
            <w:tcW w:w="2212" w:type="pct"/>
          </w:tcPr>
          <w:p w14:paraId="1903F2DA" w14:textId="77777777" w:rsidR="00736F9B" w:rsidRPr="00192ED2" w:rsidRDefault="00736F9B" w:rsidP="00736F9B">
            <w:pPr>
              <w:rPr>
                <w:rFonts w:ascii="Arial" w:hAnsi="Arial" w:cs="Arial"/>
                <w:sz w:val="20"/>
                <w:szCs w:val="20"/>
                <w:lang w:val="en-GB"/>
              </w:rPr>
            </w:pPr>
          </w:p>
          <w:p w14:paraId="4788442D" w14:textId="77777777" w:rsidR="00736F9B" w:rsidRPr="00192ED2" w:rsidRDefault="00736F9B" w:rsidP="00736F9B">
            <w:pPr>
              <w:rPr>
                <w:rFonts w:ascii="Arial" w:hAnsi="Arial" w:cs="Arial"/>
                <w:sz w:val="20"/>
                <w:szCs w:val="20"/>
                <w:lang w:val="en-GB"/>
              </w:rPr>
            </w:pPr>
          </w:p>
          <w:p w14:paraId="149A6CEF" w14:textId="246C3FEB" w:rsidR="00736F9B" w:rsidRPr="00192ED2" w:rsidRDefault="00736F9B" w:rsidP="00736F9B">
            <w:pPr>
              <w:rPr>
                <w:rFonts w:ascii="Arial" w:hAnsi="Arial" w:cs="Arial"/>
                <w:sz w:val="20"/>
                <w:szCs w:val="20"/>
                <w:lang w:val="en-GB"/>
              </w:rPr>
            </w:pPr>
            <w:r w:rsidRPr="00192ED2">
              <w:rPr>
                <w:rFonts w:ascii="Arial" w:hAnsi="Arial" w:cs="Arial"/>
                <w:sz w:val="20"/>
                <w:szCs w:val="20"/>
                <w:lang w:val="en-GB"/>
              </w:rPr>
              <w:t>Yes</w:t>
            </w:r>
          </w:p>
        </w:tc>
        <w:tc>
          <w:tcPr>
            <w:tcW w:w="1523" w:type="pct"/>
          </w:tcPr>
          <w:p w14:paraId="0351CA58" w14:textId="77777777" w:rsidR="00736F9B" w:rsidRPr="00192ED2" w:rsidRDefault="00736F9B" w:rsidP="00736F9B">
            <w:pPr>
              <w:rPr>
                <w:rFonts w:ascii="Arial" w:hAnsi="Arial" w:cs="Arial"/>
                <w:sz w:val="20"/>
                <w:szCs w:val="20"/>
                <w:lang w:val="en-GB"/>
              </w:rPr>
            </w:pPr>
          </w:p>
        </w:tc>
      </w:tr>
      <w:tr w:rsidR="00736F9B" w:rsidRPr="00192ED2" w14:paraId="20A16C0C" w14:textId="77777777" w:rsidTr="007222C8">
        <w:trPr>
          <w:trHeight w:val="1178"/>
        </w:trPr>
        <w:tc>
          <w:tcPr>
            <w:tcW w:w="1265" w:type="pct"/>
            <w:noWrap/>
          </w:tcPr>
          <w:p w14:paraId="7F4BCFAE" w14:textId="77777777" w:rsidR="00736F9B" w:rsidRPr="00192ED2" w:rsidRDefault="00736F9B" w:rsidP="00736F9B">
            <w:pPr>
              <w:pStyle w:val="Heading2"/>
              <w:jc w:val="left"/>
              <w:rPr>
                <w:rFonts w:ascii="Arial" w:hAnsi="Arial" w:cs="Arial"/>
                <w:b w:val="0"/>
                <w:bCs w:val="0"/>
                <w:lang w:val="en-GB"/>
              </w:rPr>
            </w:pPr>
            <w:r w:rsidRPr="00192ED2">
              <w:rPr>
                <w:rFonts w:ascii="Arial" w:hAnsi="Arial" w:cs="Arial"/>
                <w:bCs w:val="0"/>
                <w:u w:val="single"/>
                <w:lang w:val="en-GB"/>
              </w:rPr>
              <w:t>Optional/General</w:t>
            </w:r>
            <w:r w:rsidRPr="00192ED2">
              <w:rPr>
                <w:rFonts w:ascii="Arial" w:hAnsi="Arial" w:cs="Arial"/>
                <w:bCs w:val="0"/>
                <w:lang w:val="en-GB"/>
              </w:rPr>
              <w:t xml:space="preserve"> </w:t>
            </w:r>
            <w:r w:rsidRPr="00192ED2">
              <w:rPr>
                <w:rFonts w:ascii="Arial" w:hAnsi="Arial" w:cs="Arial"/>
                <w:b w:val="0"/>
                <w:bCs w:val="0"/>
                <w:lang w:val="en-GB"/>
              </w:rPr>
              <w:t>comments</w:t>
            </w:r>
          </w:p>
          <w:p w14:paraId="1A6B3748" w14:textId="77777777" w:rsidR="00736F9B" w:rsidRPr="00192ED2" w:rsidRDefault="00736F9B" w:rsidP="00736F9B">
            <w:pPr>
              <w:pStyle w:val="Heading2"/>
              <w:jc w:val="left"/>
              <w:rPr>
                <w:rFonts w:ascii="Arial" w:hAnsi="Arial" w:cs="Arial"/>
                <w:b w:val="0"/>
                <w:lang w:val="en-GB"/>
              </w:rPr>
            </w:pPr>
          </w:p>
        </w:tc>
        <w:tc>
          <w:tcPr>
            <w:tcW w:w="2212" w:type="pct"/>
          </w:tcPr>
          <w:p w14:paraId="647E3ACB" w14:textId="77777777" w:rsidR="00736F9B" w:rsidRPr="00192ED2" w:rsidRDefault="00736F9B" w:rsidP="00736F9B">
            <w:pPr>
              <w:rPr>
                <w:rFonts w:ascii="Arial" w:hAnsi="Arial" w:cs="Arial"/>
                <w:sz w:val="20"/>
                <w:szCs w:val="20"/>
                <w:lang w:val="en-GB"/>
              </w:rPr>
            </w:pPr>
          </w:p>
          <w:p w14:paraId="15DFD0E8" w14:textId="641EE792" w:rsidR="00736F9B" w:rsidRPr="00192ED2" w:rsidRDefault="00736F9B" w:rsidP="00736F9B">
            <w:pPr>
              <w:rPr>
                <w:rFonts w:ascii="Arial" w:hAnsi="Arial" w:cs="Arial"/>
                <w:sz w:val="20"/>
                <w:szCs w:val="20"/>
                <w:lang w:val="en-GB"/>
              </w:rPr>
            </w:pPr>
            <w:r w:rsidRPr="00192ED2">
              <w:rPr>
                <w:rFonts w:ascii="Arial" w:hAnsi="Arial" w:cs="Arial"/>
                <w:sz w:val="20"/>
                <w:szCs w:val="20"/>
              </w:rPr>
              <w:t>The Manuscript needs careful English proofreading because there are some shortcomings. For instance, the article “the” is sometimes missing in front of nouns, the message in some paragraphs is not clear enough.</w:t>
            </w:r>
          </w:p>
        </w:tc>
        <w:tc>
          <w:tcPr>
            <w:tcW w:w="1523" w:type="pct"/>
          </w:tcPr>
          <w:p w14:paraId="465E098E" w14:textId="77777777" w:rsidR="00736F9B" w:rsidRPr="00192ED2" w:rsidRDefault="00736F9B" w:rsidP="00736F9B">
            <w:pPr>
              <w:rPr>
                <w:rFonts w:ascii="Arial" w:hAnsi="Arial" w:cs="Arial"/>
                <w:sz w:val="20"/>
                <w:szCs w:val="20"/>
                <w:lang w:val="en-GB"/>
              </w:rPr>
            </w:pPr>
          </w:p>
        </w:tc>
      </w:tr>
    </w:tbl>
    <w:p w14:paraId="25069224" w14:textId="77777777" w:rsidR="00F1171E" w:rsidRPr="00192ED2" w:rsidRDefault="00F1171E" w:rsidP="00F1171E">
      <w:pPr>
        <w:pStyle w:val="BodyText"/>
        <w:rPr>
          <w:rFonts w:ascii="Arial" w:hAnsi="Arial" w:cs="Arial"/>
          <w:b/>
          <w:bCs/>
          <w:sz w:val="20"/>
          <w:szCs w:val="20"/>
          <w:u w:val="single"/>
          <w:lang w:val="en-GB"/>
        </w:rPr>
      </w:pPr>
    </w:p>
    <w:p w14:paraId="0821307F" w14:textId="77777777" w:rsidR="00F1171E" w:rsidRPr="00192ED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92ED2"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192ED2" w:rsidRDefault="00F1171E" w:rsidP="007222C8">
            <w:pPr>
              <w:pStyle w:val="NormalWeb"/>
              <w:spacing w:before="0" w:beforeAutospacing="0" w:after="0" w:afterAutospacing="0"/>
              <w:rPr>
                <w:rFonts w:ascii="Arial" w:hAnsi="Arial" w:cs="Arial"/>
                <w:b/>
                <w:sz w:val="20"/>
                <w:szCs w:val="20"/>
                <w:u w:val="single"/>
                <w:lang w:val="en-GB"/>
              </w:rPr>
            </w:pPr>
            <w:r w:rsidRPr="00192ED2">
              <w:rPr>
                <w:rFonts w:ascii="Arial" w:hAnsi="Arial" w:cs="Arial"/>
                <w:b/>
                <w:sz w:val="20"/>
                <w:szCs w:val="20"/>
                <w:highlight w:val="yellow"/>
                <w:u w:val="single"/>
                <w:lang w:val="en-GB"/>
              </w:rPr>
              <w:t>PART  2:</w:t>
            </w:r>
            <w:r w:rsidRPr="00192ED2">
              <w:rPr>
                <w:rFonts w:ascii="Arial" w:hAnsi="Arial" w:cs="Arial"/>
                <w:b/>
                <w:sz w:val="20"/>
                <w:szCs w:val="20"/>
                <w:u w:val="single"/>
                <w:lang w:val="en-GB"/>
              </w:rPr>
              <w:t xml:space="preserve"> </w:t>
            </w:r>
          </w:p>
          <w:p w14:paraId="5B767407" w14:textId="77777777" w:rsidR="00F1171E" w:rsidRPr="00192ED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92ED2"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192ED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192ED2" w:rsidRDefault="00F1171E" w:rsidP="007222C8">
            <w:pPr>
              <w:pStyle w:val="Heading2"/>
              <w:jc w:val="left"/>
              <w:rPr>
                <w:rFonts w:ascii="Arial" w:hAnsi="Arial" w:cs="Arial"/>
                <w:lang w:val="en-GB"/>
              </w:rPr>
            </w:pPr>
            <w:r w:rsidRPr="00192ED2">
              <w:rPr>
                <w:rFonts w:ascii="Arial" w:hAnsi="Arial" w:cs="Arial"/>
                <w:lang w:val="en-GB"/>
              </w:rPr>
              <w:t>Reviewer’s comment</w:t>
            </w:r>
          </w:p>
        </w:tc>
        <w:tc>
          <w:tcPr>
            <w:tcW w:w="1342" w:type="pct"/>
            <w:shd w:val="clear" w:color="auto" w:fill="auto"/>
          </w:tcPr>
          <w:p w14:paraId="6F48B50B" w14:textId="77777777" w:rsidR="00F1171E" w:rsidRPr="00192ED2" w:rsidRDefault="00F1171E" w:rsidP="007222C8">
            <w:pPr>
              <w:pStyle w:val="Heading2"/>
              <w:jc w:val="left"/>
              <w:rPr>
                <w:rFonts w:ascii="Arial" w:hAnsi="Arial" w:cs="Arial"/>
                <w:b w:val="0"/>
                <w:lang w:val="en-GB"/>
              </w:rPr>
            </w:pPr>
            <w:r w:rsidRPr="00192ED2">
              <w:rPr>
                <w:rFonts w:ascii="Arial" w:hAnsi="Arial" w:cs="Arial"/>
                <w:lang w:val="en-GB"/>
              </w:rPr>
              <w:t>Author’s comment</w:t>
            </w:r>
            <w:r w:rsidRPr="00192ED2">
              <w:rPr>
                <w:rFonts w:ascii="Arial" w:hAnsi="Arial" w:cs="Arial"/>
                <w:b w:val="0"/>
                <w:lang w:val="en-GB"/>
              </w:rPr>
              <w:t xml:space="preserve"> </w:t>
            </w:r>
            <w:r w:rsidRPr="00192ED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92ED2"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192ED2" w:rsidRDefault="00F1171E" w:rsidP="007222C8">
            <w:pPr>
              <w:pStyle w:val="NormalWeb"/>
              <w:spacing w:before="0" w:beforeAutospacing="0" w:after="0" w:afterAutospacing="0"/>
              <w:rPr>
                <w:rFonts w:ascii="Arial" w:hAnsi="Arial" w:cs="Arial"/>
                <w:b/>
                <w:sz w:val="20"/>
                <w:szCs w:val="20"/>
                <w:lang w:val="en-GB"/>
              </w:rPr>
            </w:pPr>
            <w:r w:rsidRPr="00192ED2">
              <w:rPr>
                <w:rFonts w:ascii="Arial" w:hAnsi="Arial" w:cs="Arial"/>
                <w:b/>
                <w:sz w:val="20"/>
                <w:szCs w:val="20"/>
                <w:lang w:val="en-GB"/>
              </w:rPr>
              <w:t xml:space="preserve">Are there ethical issues in this manuscript? </w:t>
            </w:r>
          </w:p>
          <w:p w14:paraId="6034B476" w14:textId="77777777" w:rsidR="00F1171E" w:rsidRPr="00192ED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611E9E3E" w:rsidR="00F1171E" w:rsidRPr="00192ED2"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192ED2" w:rsidRDefault="00F1171E" w:rsidP="007222C8">
            <w:pPr>
              <w:rPr>
                <w:rFonts w:ascii="Arial" w:eastAsia="Arial Unicode MS" w:hAnsi="Arial" w:cs="Arial"/>
                <w:sz w:val="20"/>
                <w:szCs w:val="20"/>
                <w:lang w:val="en-GB"/>
              </w:rPr>
            </w:pPr>
          </w:p>
          <w:p w14:paraId="4A981594" w14:textId="77777777" w:rsidR="00F1171E" w:rsidRPr="00192ED2" w:rsidRDefault="00F1171E" w:rsidP="007222C8">
            <w:pPr>
              <w:rPr>
                <w:rFonts w:ascii="Arial" w:eastAsia="Arial Unicode MS" w:hAnsi="Arial" w:cs="Arial"/>
                <w:sz w:val="20"/>
                <w:szCs w:val="20"/>
                <w:lang w:val="en-GB"/>
              </w:rPr>
            </w:pPr>
          </w:p>
          <w:p w14:paraId="4780A682" w14:textId="77777777" w:rsidR="00F1171E" w:rsidRPr="00192ED2" w:rsidRDefault="00F1171E" w:rsidP="007222C8">
            <w:pPr>
              <w:rPr>
                <w:rFonts w:ascii="Arial" w:eastAsia="Arial Unicode MS" w:hAnsi="Arial" w:cs="Arial"/>
                <w:sz w:val="20"/>
                <w:szCs w:val="20"/>
                <w:lang w:val="en-GB"/>
              </w:rPr>
            </w:pPr>
          </w:p>
          <w:p w14:paraId="2D80979A" w14:textId="77777777" w:rsidR="00F1171E" w:rsidRPr="00192ED2" w:rsidRDefault="00F1171E" w:rsidP="007222C8">
            <w:pPr>
              <w:pStyle w:val="NormalWeb"/>
              <w:spacing w:before="0" w:beforeAutospacing="0" w:after="0" w:afterAutospacing="0"/>
              <w:rPr>
                <w:rFonts w:ascii="Arial" w:hAnsi="Arial" w:cs="Arial"/>
                <w:sz w:val="20"/>
                <w:szCs w:val="20"/>
                <w:lang w:val="en-GB"/>
              </w:rPr>
            </w:pPr>
          </w:p>
        </w:tc>
      </w:tr>
    </w:tbl>
    <w:p w14:paraId="48DC05A4" w14:textId="77FB6B99" w:rsidR="004C3DF1" w:rsidRDefault="004C3DF1">
      <w:pPr>
        <w:rPr>
          <w:rFonts w:ascii="Arial" w:hAnsi="Arial" w:cs="Arial"/>
          <w:b/>
          <w:sz w:val="20"/>
          <w:szCs w:val="20"/>
          <w:lang w:val="en-GB"/>
        </w:rPr>
      </w:pPr>
    </w:p>
    <w:p w14:paraId="26A0FD69" w14:textId="77777777" w:rsidR="00192ED2" w:rsidRPr="00192ED2" w:rsidRDefault="00192ED2" w:rsidP="00192ED2">
      <w:pPr>
        <w:rPr>
          <w:rFonts w:ascii="Arial" w:hAnsi="Arial" w:cs="Arial"/>
          <w:b/>
          <w:sz w:val="20"/>
          <w:szCs w:val="20"/>
        </w:rPr>
      </w:pPr>
      <w:r w:rsidRPr="00192ED2">
        <w:rPr>
          <w:rFonts w:ascii="Arial" w:hAnsi="Arial" w:cs="Arial"/>
          <w:b/>
          <w:sz w:val="20"/>
          <w:szCs w:val="20"/>
        </w:rPr>
        <w:t>Reviewers:</w:t>
      </w:r>
    </w:p>
    <w:p w14:paraId="092671A6" w14:textId="77777777" w:rsidR="00192ED2" w:rsidRPr="00192ED2" w:rsidRDefault="00192ED2" w:rsidP="00192ED2">
      <w:pPr>
        <w:rPr>
          <w:rFonts w:ascii="Arial" w:hAnsi="Arial" w:cs="Arial"/>
          <w:b/>
          <w:sz w:val="20"/>
          <w:szCs w:val="20"/>
        </w:rPr>
      </w:pPr>
      <w:proofErr w:type="spellStart"/>
      <w:r w:rsidRPr="00192ED2">
        <w:rPr>
          <w:rFonts w:ascii="Arial" w:hAnsi="Arial" w:cs="Arial"/>
          <w:b/>
          <w:sz w:val="20"/>
          <w:szCs w:val="20"/>
        </w:rPr>
        <w:t>Batrancea</w:t>
      </w:r>
      <w:proofErr w:type="spellEnd"/>
      <w:r w:rsidRPr="00192ED2">
        <w:rPr>
          <w:rFonts w:ascii="Arial" w:hAnsi="Arial" w:cs="Arial"/>
          <w:b/>
          <w:sz w:val="20"/>
          <w:szCs w:val="20"/>
        </w:rPr>
        <w:t xml:space="preserve"> Larissa Margareta, </w:t>
      </w:r>
      <w:proofErr w:type="spellStart"/>
      <w:r w:rsidRPr="00192ED2">
        <w:rPr>
          <w:rFonts w:ascii="Arial" w:hAnsi="Arial" w:cs="Arial"/>
          <w:b/>
          <w:sz w:val="20"/>
          <w:szCs w:val="20"/>
        </w:rPr>
        <w:t>Batrancea</w:t>
      </w:r>
      <w:proofErr w:type="spellEnd"/>
      <w:r w:rsidRPr="00192ED2">
        <w:rPr>
          <w:rFonts w:ascii="Arial" w:hAnsi="Arial" w:cs="Arial"/>
          <w:b/>
          <w:sz w:val="20"/>
          <w:szCs w:val="20"/>
        </w:rPr>
        <w:t xml:space="preserve"> Larissa Margareta, Romania</w:t>
      </w:r>
    </w:p>
    <w:p w14:paraId="22E2B23E" w14:textId="77777777" w:rsidR="00192ED2" w:rsidRPr="00192ED2" w:rsidRDefault="00192ED2" w:rsidP="00192ED2">
      <w:pPr>
        <w:rPr>
          <w:rFonts w:ascii="Arial" w:hAnsi="Arial" w:cs="Arial"/>
          <w:b/>
          <w:sz w:val="20"/>
          <w:szCs w:val="20"/>
        </w:rPr>
      </w:pPr>
    </w:p>
    <w:p w14:paraId="035BCCDD" w14:textId="77777777" w:rsidR="00192ED2" w:rsidRPr="00192ED2" w:rsidRDefault="00192ED2">
      <w:pPr>
        <w:rPr>
          <w:rFonts w:ascii="Arial" w:hAnsi="Arial" w:cs="Arial"/>
          <w:b/>
          <w:sz w:val="20"/>
          <w:szCs w:val="20"/>
          <w:lang w:val="en-GB"/>
        </w:rPr>
      </w:pPr>
      <w:bookmarkStart w:id="4" w:name="_GoBack"/>
      <w:bookmarkEnd w:id="4"/>
    </w:p>
    <w:sectPr w:rsidR="00192ED2" w:rsidRPr="00192ED2" w:rsidSect="0017545C">
      <w:headerReference w:type="default" r:id="rId15"/>
      <w:footerReference w:type="default" r:id="rId16"/>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C43B3" w14:textId="77777777" w:rsidR="00B3734C" w:rsidRPr="0000007A" w:rsidRDefault="00B3734C" w:rsidP="0099583E">
      <w:r>
        <w:separator/>
      </w:r>
    </w:p>
  </w:endnote>
  <w:endnote w:type="continuationSeparator" w:id="0">
    <w:p w14:paraId="450D75BE" w14:textId="77777777" w:rsidR="00B3734C" w:rsidRPr="0000007A" w:rsidRDefault="00B3734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9CF709" w14:textId="77777777" w:rsidR="00B3734C" w:rsidRPr="0000007A" w:rsidRDefault="00B3734C" w:rsidP="0099583E">
      <w:r>
        <w:separator/>
      </w:r>
    </w:p>
  </w:footnote>
  <w:footnote w:type="continuationSeparator" w:id="0">
    <w:p w14:paraId="62EF21AD" w14:textId="77777777" w:rsidR="00B3734C" w:rsidRPr="0000007A" w:rsidRDefault="00B3734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4817B1C"/>
    <w:multiLevelType w:val="hybridMultilevel"/>
    <w:tmpl w:val="7E227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8C30C0"/>
    <w:multiLevelType w:val="hybridMultilevel"/>
    <w:tmpl w:val="07F80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2ED2"/>
    <w:rsid w:val="00197E68"/>
    <w:rsid w:val="001A1605"/>
    <w:rsid w:val="001A2F22"/>
    <w:rsid w:val="001B0C63"/>
    <w:rsid w:val="001B5029"/>
    <w:rsid w:val="001D3A1D"/>
    <w:rsid w:val="001D49B0"/>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5C2C"/>
    <w:rsid w:val="002F6935"/>
    <w:rsid w:val="00312559"/>
    <w:rsid w:val="003204B8"/>
    <w:rsid w:val="00326D7D"/>
    <w:rsid w:val="0033018A"/>
    <w:rsid w:val="0033692F"/>
    <w:rsid w:val="00353718"/>
    <w:rsid w:val="00374F93"/>
    <w:rsid w:val="00377F1D"/>
    <w:rsid w:val="00394901"/>
    <w:rsid w:val="003978C5"/>
    <w:rsid w:val="003A04E7"/>
    <w:rsid w:val="003A1C45"/>
    <w:rsid w:val="003A4991"/>
    <w:rsid w:val="003A6E1A"/>
    <w:rsid w:val="003B1D0B"/>
    <w:rsid w:val="003B2172"/>
    <w:rsid w:val="003D1BDE"/>
    <w:rsid w:val="003E746A"/>
    <w:rsid w:val="00401C12"/>
    <w:rsid w:val="00421DBF"/>
    <w:rsid w:val="0042465A"/>
    <w:rsid w:val="00435B36"/>
    <w:rsid w:val="004417DA"/>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A7F51"/>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6F9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2C9B"/>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443D"/>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5D62"/>
    <w:rsid w:val="00B2236C"/>
    <w:rsid w:val="00B22FE6"/>
    <w:rsid w:val="00B3033D"/>
    <w:rsid w:val="00B334D9"/>
    <w:rsid w:val="00B3734C"/>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4618"/>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35E"/>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4F39"/>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D49B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3978C5"/>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1"/>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D49B0"/>
    <w:rPr>
      <w:rFonts w:asciiTheme="majorHAnsi" w:eastAsiaTheme="majorEastAsia" w:hAnsiTheme="majorHAnsi" w:cstheme="majorBidi"/>
      <w:color w:val="365F91" w:themeColor="accent1" w:themeShade="BF"/>
      <w:sz w:val="32"/>
      <w:szCs w:val="32"/>
      <w:lang w:val="en-US" w:eastAsia="en-US"/>
    </w:rPr>
  </w:style>
  <w:style w:type="character" w:styleId="Emphasis">
    <w:name w:val="Emphasis"/>
    <w:uiPriority w:val="20"/>
    <w:qFormat/>
    <w:rsid w:val="00736F9B"/>
    <w:rPr>
      <w:i/>
      <w:iCs/>
    </w:rPr>
  </w:style>
  <w:style w:type="character" w:customStyle="1" w:styleId="Heading3Char">
    <w:name w:val="Heading 3 Char"/>
    <w:basedOn w:val="DefaultParagraphFont"/>
    <w:link w:val="Heading3"/>
    <w:uiPriority w:val="9"/>
    <w:semiHidden/>
    <w:rsid w:val="003978C5"/>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691501">
      <w:bodyDiv w:val="1"/>
      <w:marLeft w:val="0"/>
      <w:marRight w:val="0"/>
      <w:marTop w:val="0"/>
      <w:marBottom w:val="0"/>
      <w:divBdr>
        <w:top w:val="none" w:sz="0" w:space="0" w:color="auto"/>
        <w:left w:val="none" w:sz="0" w:space="0" w:color="auto"/>
        <w:bottom w:val="none" w:sz="0" w:space="0" w:color="auto"/>
        <w:right w:val="none" w:sz="0" w:space="0" w:color="auto"/>
      </w:divBdr>
      <w:divsChild>
        <w:div w:id="167791028">
          <w:marLeft w:val="0"/>
          <w:marRight w:val="0"/>
          <w:marTop w:val="0"/>
          <w:marBottom w:val="0"/>
          <w:divBdr>
            <w:top w:val="none" w:sz="0" w:space="0" w:color="auto"/>
            <w:left w:val="none" w:sz="0" w:space="0" w:color="auto"/>
            <w:bottom w:val="none" w:sz="0" w:space="0" w:color="auto"/>
            <w:right w:val="none" w:sz="0" w:space="0" w:color="auto"/>
          </w:divBdr>
        </w:div>
      </w:divsChild>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0891572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9417592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scholar?cluster=5196843374428255032&amp;hl=en&amp;oi=scholarr" TargetMode="External"/><Relationship Id="rId13" Type="http://schemas.openxmlformats.org/officeDocument/2006/relationships/hyperlink" Target="https://doi.org/10.3390/jrfm1406026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3390/agriculture14030330" TargetMode="External"/><Relationship Id="rId12" Type="http://schemas.openxmlformats.org/officeDocument/2006/relationships/hyperlink" Target="https://doi.org/10.1007/s13132-022-00944-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jrfm14070336"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3390/jrfm14050218" TargetMode="External"/><Relationship Id="rId4" Type="http://schemas.openxmlformats.org/officeDocument/2006/relationships/webSettings" Target="webSettings.xml"/><Relationship Id="rId9" Type="http://schemas.openxmlformats.org/officeDocument/2006/relationships/hyperlink" Target="https://doi.org/10.3390/math9243178/" TargetMode="External"/><Relationship Id="rId14" Type="http://schemas.openxmlformats.org/officeDocument/2006/relationships/hyperlink" Target="https://doi.org/10.3390/jrfm140703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4</Pages>
  <Words>1443</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9650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107</cp:revision>
  <dcterms:created xsi:type="dcterms:W3CDTF">2023-08-30T09:21:00Z</dcterms:created>
  <dcterms:modified xsi:type="dcterms:W3CDTF">2025-03-11T11:20:00Z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