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222" w:type="dxa"/>
        <w:tblInd w:w="-1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55"/>
        <w:gridCol w:w="15767"/>
      </w:tblGrid>
      <w:tr w:rsidR="00363F3A" w:rsidRPr="009A50BA" w14:paraId="05A9C313" w14:textId="77777777" w:rsidTr="009A50BA">
        <w:trPr>
          <w:trHeight w:val="423"/>
        </w:trPr>
        <w:tc>
          <w:tcPr>
            <w:tcW w:w="21222"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5351D6C9" w14:textId="77777777" w:rsidR="00363F3A" w:rsidRPr="009A50BA" w:rsidRDefault="00363F3A">
            <w:pPr>
              <w:rPr>
                <w:rFonts w:ascii="Arial" w:hAnsi="Arial" w:cs="Arial"/>
                <w:sz w:val="20"/>
                <w:szCs w:val="20"/>
              </w:rPr>
            </w:pPr>
          </w:p>
        </w:tc>
      </w:tr>
      <w:tr w:rsidR="00363F3A" w:rsidRPr="009A50BA" w14:paraId="2A44BEF3" w14:textId="77777777" w:rsidTr="009A50BA">
        <w:trPr>
          <w:trHeight w:val="282"/>
        </w:trPr>
        <w:tc>
          <w:tcPr>
            <w:tcW w:w="5455"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5CAD7283" w14:textId="77777777" w:rsidR="00363F3A" w:rsidRPr="009A50BA" w:rsidRDefault="00DB6446">
            <w:pPr>
              <w:pStyle w:val="BodyText"/>
              <w:ind w:left="90"/>
              <w:jc w:val="left"/>
              <w:rPr>
                <w:rFonts w:ascii="Arial" w:hAnsi="Arial" w:cs="Arial"/>
                <w:sz w:val="20"/>
                <w:szCs w:val="20"/>
              </w:rPr>
            </w:pPr>
            <w:r w:rsidRPr="009A50BA">
              <w:rPr>
                <w:rFonts w:ascii="Arial" w:hAnsi="Arial" w:cs="Arial"/>
                <w:sz w:val="20"/>
                <w:szCs w:val="20"/>
                <w:lang w:val="en-US"/>
              </w:rPr>
              <w:t>Book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EF7CA" w14:textId="77777777" w:rsidR="00363F3A" w:rsidRPr="009A50BA" w:rsidRDefault="00DB6446">
            <w:pPr>
              <w:pStyle w:val="NormalWeb"/>
              <w:rPr>
                <w:rFonts w:ascii="Arial" w:hAnsi="Arial" w:cs="Arial"/>
                <w:sz w:val="20"/>
                <w:szCs w:val="20"/>
              </w:rPr>
            </w:pPr>
            <w:hyperlink r:id="rId6" w:history="1">
              <w:r w:rsidRPr="009A50BA">
                <w:rPr>
                  <w:rStyle w:val="Hyperlink0"/>
                  <w:sz w:val="20"/>
                  <w:szCs w:val="20"/>
                </w:rPr>
                <w:t>Medical Science: Recent Advances and Applications</w:t>
              </w:r>
            </w:hyperlink>
          </w:p>
        </w:tc>
      </w:tr>
      <w:tr w:rsidR="00363F3A" w:rsidRPr="009A50BA" w14:paraId="4C7AFCE8" w14:textId="77777777" w:rsidTr="009A50BA">
        <w:trPr>
          <w:trHeight w:val="282"/>
        </w:trPr>
        <w:tc>
          <w:tcPr>
            <w:tcW w:w="5455"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A5E3D75" w14:textId="77777777" w:rsidR="00363F3A" w:rsidRPr="009A50BA" w:rsidRDefault="00DB6446">
            <w:pPr>
              <w:pStyle w:val="BodyText"/>
              <w:ind w:left="90"/>
              <w:jc w:val="left"/>
              <w:rPr>
                <w:rFonts w:ascii="Arial" w:hAnsi="Arial" w:cs="Arial"/>
                <w:sz w:val="20"/>
                <w:szCs w:val="20"/>
              </w:rPr>
            </w:pPr>
            <w:r w:rsidRPr="009A50BA">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68686C" w14:textId="77777777" w:rsidR="00363F3A" w:rsidRPr="009A50BA" w:rsidRDefault="00DB6446">
            <w:pPr>
              <w:pStyle w:val="NormalWeb"/>
              <w:spacing w:before="0" w:after="0"/>
              <w:rPr>
                <w:rFonts w:ascii="Arial" w:hAnsi="Arial" w:cs="Arial"/>
                <w:sz w:val="20"/>
                <w:szCs w:val="20"/>
              </w:rPr>
            </w:pPr>
            <w:r w:rsidRPr="009A50BA">
              <w:rPr>
                <w:rFonts w:ascii="Arial" w:hAnsi="Arial" w:cs="Arial"/>
                <w:b/>
                <w:bCs/>
                <w:sz w:val="20"/>
                <w:szCs w:val="20"/>
              </w:rPr>
              <w:t>Ms_BPR_5130</w:t>
            </w:r>
          </w:p>
        </w:tc>
      </w:tr>
      <w:tr w:rsidR="00363F3A" w:rsidRPr="009A50BA" w14:paraId="07F66F98" w14:textId="77777777" w:rsidTr="009A50BA">
        <w:trPr>
          <w:trHeight w:val="282"/>
        </w:trPr>
        <w:tc>
          <w:tcPr>
            <w:tcW w:w="5455"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5452BEC" w14:textId="77777777" w:rsidR="00363F3A" w:rsidRPr="009A50BA" w:rsidRDefault="00DB6446">
            <w:pPr>
              <w:pStyle w:val="BodyText"/>
              <w:ind w:left="90"/>
              <w:jc w:val="left"/>
              <w:rPr>
                <w:rFonts w:ascii="Arial" w:hAnsi="Arial" w:cs="Arial"/>
                <w:sz w:val="20"/>
                <w:szCs w:val="20"/>
              </w:rPr>
            </w:pPr>
            <w:r w:rsidRPr="009A50BA">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B2B5D4" w14:textId="77777777" w:rsidR="00363F3A" w:rsidRPr="009A50BA" w:rsidRDefault="00DB6446">
            <w:pPr>
              <w:pStyle w:val="NormalWeb"/>
              <w:spacing w:before="0" w:after="0"/>
              <w:rPr>
                <w:rFonts w:ascii="Arial" w:hAnsi="Arial" w:cs="Arial"/>
                <w:sz w:val="20"/>
                <w:szCs w:val="20"/>
              </w:rPr>
            </w:pPr>
            <w:r w:rsidRPr="009A50BA">
              <w:rPr>
                <w:rFonts w:ascii="Arial" w:hAnsi="Arial" w:cs="Arial"/>
                <w:b/>
                <w:bCs/>
                <w:sz w:val="20"/>
                <w:szCs w:val="20"/>
              </w:rPr>
              <w:t>Psychogenic Nonepileptic Seizures—High Mortality Rate Is a ‘Wake-Up Call’</w:t>
            </w:r>
          </w:p>
        </w:tc>
      </w:tr>
      <w:tr w:rsidR="00363F3A" w:rsidRPr="009A50BA" w14:paraId="72FAFD75" w14:textId="77777777" w:rsidTr="009A50BA">
        <w:trPr>
          <w:trHeight w:val="282"/>
        </w:trPr>
        <w:tc>
          <w:tcPr>
            <w:tcW w:w="5455"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1423CB13" w14:textId="77777777" w:rsidR="00363F3A" w:rsidRPr="009A50BA" w:rsidRDefault="00DB6446">
            <w:pPr>
              <w:pStyle w:val="BodyText"/>
              <w:ind w:left="90"/>
              <w:jc w:val="left"/>
              <w:rPr>
                <w:rFonts w:ascii="Arial" w:hAnsi="Arial" w:cs="Arial"/>
                <w:sz w:val="20"/>
                <w:szCs w:val="20"/>
              </w:rPr>
            </w:pPr>
            <w:r w:rsidRPr="009A50BA">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325BDD" w14:textId="77777777" w:rsidR="00363F3A" w:rsidRPr="009A50BA" w:rsidRDefault="00DB6446">
            <w:pPr>
              <w:pStyle w:val="NormalWeb"/>
              <w:spacing w:before="0" w:after="0"/>
              <w:rPr>
                <w:rFonts w:ascii="Arial" w:hAnsi="Arial" w:cs="Arial"/>
                <w:sz w:val="20"/>
                <w:szCs w:val="20"/>
              </w:rPr>
            </w:pPr>
            <w:r w:rsidRPr="009A50BA">
              <w:rPr>
                <w:rFonts w:ascii="Arial" w:hAnsi="Arial" w:cs="Arial"/>
                <w:b/>
                <w:bCs/>
                <w:sz w:val="20"/>
                <w:szCs w:val="20"/>
              </w:rPr>
              <w:t>BOOK CHAPTER</w:t>
            </w:r>
          </w:p>
        </w:tc>
      </w:tr>
    </w:tbl>
    <w:p w14:paraId="21DA58FB" w14:textId="77777777" w:rsidR="00363F3A" w:rsidRPr="009A50BA" w:rsidRDefault="00363F3A">
      <w:pPr>
        <w:pStyle w:val="a"/>
        <w:widowControl w:val="0"/>
        <w:rPr>
          <w:rFonts w:ascii="Arial" w:hAnsi="Arial" w:cs="Arial"/>
          <w:sz w:val="20"/>
          <w:szCs w:val="20"/>
        </w:rPr>
      </w:pPr>
    </w:p>
    <w:p w14:paraId="28314667" w14:textId="77777777" w:rsidR="00363F3A" w:rsidRPr="009A50BA" w:rsidRDefault="00363F3A">
      <w:pPr>
        <w:pStyle w:val="BodyText"/>
        <w:jc w:val="left"/>
        <w:rPr>
          <w:rFonts w:ascii="Arial" w:eastAsia="Arial" w:hAnsi="Arial" w:cs="Arial"/>
          <w:color w:val="222222"/>
          <w:sz w:val="20"/>
          <w:szCs w:val="20"/>
          <w:u w:color="222222"/>
          <w:lang w:val="en-US"/>
        </w:rPr>
      </w:pPr>
    </w:p>
    <w:p w14:paraId="0566A102" w14:textId="77777777" w:rsidR="00363F3A" w:rsidRPr="009A50BA" w:rsidRDefault="00363F3A">
      <w:pPr>
        <w:pStyle w:val="BodyText"/>
        <w:rPr>
          <w:rFonts w:ascii="Arial" w:eastAsia="Arial" w:hAnsi="Arial" w:cs="Arial"/>
          <w:b/>
          <w:bCs/>
          <w:color w:val="222222"/>
          <w:sz w:val="20"/>
          <w:szCs w:val="20"/>
          <w:u w:val="single" w:color="222222"/>
          <w:lang w:val="en-US"/>
        </w:rPr>
      </w:pPr>
    </w:p>
    <w:p w14:paraId="4D3B770F" w14:textId="77777777" w:rsidR="00363F3A" w:rsidRPr="009A50BA" w:rsidRDefault="00DB6446">
      <w:pPr>
        <w:pStyle w:val="BodyText"/>
        <w:rPr>
          <w:rFonts w:ascii="Arial" w:eastAsia="Arial" w:hAnsi="Arial" w:cs="Arial"/>
          <w:b/>
          <w:bCs/>
          <w:color w:val="222222"/>
          <w:sz w:val="20"/>
          <w:szCs w:val="20"/>
          <w:u w:val="single" w:color="222222"/>
          <w:lang w:val="en-US"/>
        </w:rPr>
      </w:pPr>
      <w:r w:rsidRPr="009A50BA">
        <w:rPr>
          <w:rFonts w:ascii="Arial" w:hAnsi="Arial" w:cs="Arial"/>
          <w:b/>
          <w:bCs/>
          <w:color w:val="222222"/>
          <w:sz w:val="20"/>
          <w:szCs w:val="20"/>
          <w:u w:val="single" w:color="222222"/>
          <w:lang w:val="en-US"/>
        </w:rPr>
        <w:t>Special note:</w:t>
      </w:r>
    </w:p>
    <w:p w14:paraId="7D53502A" w14:textId="77777777" w:rsidR="00363F3A" w:rsidRPr="009A50BA" w:rsidRDefault="00363F3A">
      <w:pPr>
        <w:pStyle w:val="BodyText"/>
        <w:rPr>
          <w:rFonts w:ascii="Arial" w:eastAsia="Arial" w:hAnsi="Arial" w:cs="Arial"/>
          <w:b/>
          <w:bCs/>
          <w:color w:val="222222"/>
          <w:sz w:val="20"/>
          <w:szCs w:val="20"/>
          <w:u w:val="single" w:color="222222"/>
          <w:lang w:val="en-US"/>
        </w:rPr>
      </w:pPr>
    </w:p>
    <w:p w14:paraId="003753AC" w14:textId="77777777" w:rsidR="00363F3A" w:rsidRPr="009A50BA" w:rsidRDefault="00DB6446">
      <w:pPr>
        <w:pStyle w:val="BodyText"/>
        <w:rPr>
          <w:rFonts w:ascii="Arial" w:eastAsia="Arial" w:hAnsi="Arial" w:cs="Arial"/>
          <w:b/>
          <w:bCs/>
          <w:color w:val="222222"/>
          <w:sz w:val="20"/>
          <w:szCs w:val="20"/>
          <w:u w:color="222222"/>
          <w:lang w:val="en-US"/>
        </w:rPr>
      </w:pPr>
      <w:r w:rsidRPr="009A50BA">
        <w:rPr>
          <w:rFonts w:ascii="Arial" w:hAnsi="Arial" w:cs="Arial"/>
          <w:b/>
          <w:bCs/>
          <w:color w:val="222222"/>
          <w:sz w:val="20"/>
          <w:szCs w:val="20"/>
          <w:u w:color="222222"/>
          <w:lang w:val="en-US"/>
        </w:rPr>
        <w:t xml:space="preserve">A research paper already published in a journal can be published as a Book Chapter in an expanded form with proper copyright approval. </w:t>
      </w:r>
    </w:p>
    <w:p w14:paraId="65919D10" w14:textId="77777777" w:rsidR="00363F3A" w:rsidRPr="009A50BA" w:rsidRDefault="00DB6446">
      <w:pPr>
        <w:pStyle w:val="BodyText"/>
        <w:rPr>
          <w:rFonts w:ascii="Arial" w:eastAsia="Arial" w:hAnsi="Arial" w:cs="Arial"/>
          <w:b/>
          <w:bCs/>
          <w:color w:val="222222"/>
          <w:sz w:val="20"/>
          <w:szCs w:val="20"/>
          <w:u w:val="single" w:color="222222"/>
        </w:rPr>
      </w:pPr>
      <w:r w:rsidRPr="009A50BA">
        <w:rPr>
          <w:rFonts w:ascii="Arial" w:eastAsia="Arial" w:hAnsi="Arial" w:cs="Arial"/>
          <w:b/>
          <w:bCs/>
          <w:noProof/>
          <w:color w:val="222222"/>
          <w:sz w:val="20"/>
          <w:szCs w:val="20"/>
          <w:u w:val="single" w:color="222222"/>
          <w:lang w:val="en-US"/>
        </w:rPr>
        <mc:AlternateContent>
          <mc:Choice Requires="wps">
            <w:drawing>
              <wp:anchor distT="0" distB="0" distL="0" distR="0" simplePos="0" relativeHeight="251659264" behindDoc="0" locked="0" layoutInCell="1" allowOverlap="1" wp14:anchorId="7D532173" wp14:editId="79373C59">
                <wp:simplePos x="0" y="0"/>
                <wp:positionH relativeFrom="column">
                  <wp:posOffset>-121920</wp:posOffset>
                </wp:positionH>
                <wp:positionV relativeFrom="line">
                  <wp:posOffset>180975</wp:posOffset>
                </wp:positionV>
                <wp:extent cx="13606145" cy="1584325"/>
                <wp:effectExtent l="0" t="0" r="0" b="0"/>
                <wp:wrapNone/>
                <wp:docPr id="1073741825" name="officeArt object" descr="Source Article:…"/>
                <wp:cNvGraphicFramePr/>
                <a:graphic xmlns:a="http://schemas.openxmlformats.org/drawingml/2006/main">
                  <a:graphicData uri="http://schemas.microsoft.com/office/word/2010/wordprocessingShape">
                    <wps:wsp>
                      <wps:cNvSpPr/>
                      <wps:spPr>
                        <a:xfrm>
                          <a:off x="0" y="0"/>
                          <a:ext cx="13606145" cy="1584325"/>
                        </a:xfrm>
                        <a:prstGeom prst="rect">
                          <a:avLst/>
                        </a:prstGeom>
                        <a:solidFill>
                          <a:srgbClr val="FFFFFF"/>
                        </a:solidFill>
                        <a:ln w="9525" cap="flat">
                          <a:solidFill>
                            <a:srgbClr val="000000"/>
                          </a:solidFill>
                          <a:prstDash val="solid"/>
                          <a:round/>
                        </a:ln>
                        <a:effectLst/>
                      </wps:spPr>
                      <wps:txbx>
                        <w:txbxContent>
                          <w:p w14:paraId="32483242" w14:textId="77777777" w:rsidR="00363F3A" w:rsidRDefault="00DB6446">
                            <w:pPr>
                              <w:pStyle w:val="BodyText"/>
                              <w:rPr>
                                <w:rFonts w:ascii="Arial" w:eastAsia="Arial" w:hAnsi="Arial" w:cs="Arial"/>
                                <w:b/>
                                <w:bCs/>
                                <w:color w:val="222222"/>
                                <w:sz w:val="32"/>
                                <w:szCs w:val="32"/>
                                <w:u w:color="222222"/>
                                <w:lang w:val="en-US"/>
                              </w:rPr>
                            </w:pPr>
                            <w:r>
                              <w:rPr>
                                <w:rFonts w:ascii="Arial" w:hAnsi="Arial"/>
                                <w:b/>
                                <w:bCs/>
                                <w:color w:val="222222"/>
                                <w:sz w:val="32"/>
                                <w:szCs w:val="32"/>
                                <w:u w:color="222222"/>
                                <w:lang w:val="en-US"/>
                              </w:rPr>
                              <w:t xml:space="preserve">Source Article: </w:t>
                            </w:r>
                          </w:p>
                          <w:p w14:paraId="16BCE472" w14:textId="77777777" w:rsidR="00363F3A" w:rsidRDefault="00363F3A">
                            <w:pPr>
                              <w:pStyle w:val="BodyText"/>
                              <w:rPr>
                                <w:rFonts w:ascii="Arial" w:eastAsia="Arial" w:hAnsi="Arial" w:cs="Arial"/>
                                <w:color w:val="222222"/>
                                <w:sz w:val="32"/>
                                <w:szCs w:val="32"/>
                                <w:u w:color="222222"/>
                                <w:lang w:val="en-US"/>
                              </w:rPr>
                            </w:pPr>
                          </w:p>
                          <w:p w14:paraId="6794B46A" w14:textId="77777777" w:rsidR="00363F3A" w:rsidRDefault="00DB6446">
                            <w:pPr>
                              <w:pStyle w:val="BodyText"/>
                              <w:rPr>
                                <w:rFonts w:ascii="Arial" w:eastAsia="Arial" w:hAnsi="Arial" w:cs="Arial"/>
                                <w:b/>
                                <w:bCs/>
                                <w:color w:val="222222"/>
                                <w:sz w:val="32"/>
                                <w:szCs w:val="32"/>
                                <w:u w:color="222222"/>
                                <w:lang w:val="en-US"/>
                              </w:rPr>
                            </w:pPr>
                            <w:r>
                              <w:rPr>
                                <w:rFonts w:ascii="Arial" w:hAnsi="Arial"/>
                                <w:b/>
                                <w:bCs/>
                                <w:color w:val="222222"/>
                                <w:sz w:val="32"/>
                                <w:szCs w:val="32"/>
                                <w:u w:color="222222"/>
                                <w:lang w:val="en-US"/>
                              </w:rPr>
                              <w:t xml:space="preserve">This chapter is an extended version of the article published by the same author(s) in the following journal. </w:t>
                            </w:r>
                          </w:p>
                          <w:p w14:paraId="4EDA3FE4" w14:textId="77777777" w:rsidR="00363F3A" w:rsidRDefault="00363F3A">
                            <w:pPr>
                              <w:pStyle w:val="BodyText"/>
                              <w:jc w:val="left"/>
                              <w:rPr>
                                <w:rFonts w:ascii="Arial" w:eastAsia="Arial" w:hAnsi="Arial" w:cs="Arial"/>
                                <w:b/>
                                <w:bCs/>
                                <w:color w:val="222222"/>
                                <w:sz w:val="32"/>
                                <w:szCs w:val="32"/>
                                <w:u w:color="222222"/>
                                <w:lang w:val="en-US"/>
                              </w:rPr>
                            </w:pPr>
                          </w:p>
                          <w:p w14:paraId="25D1F18F" w14:textId="77777777" w:rsidR="00363F3A" w:rsidRDefault="00DB6446">
                            <w:pPr>
                              <w:pStyle w:val="BodyText"/>
                              <w:jc w:val="left"/>
                              <w:rPr>
                                <w:rFonts w:ascii="Arial" w:eastAsia="Arial" w:hAnsi="Arial" w:cs="Arial"/>
                                <w:b/>
                                <w:bCs/>
                                <w:color w:val="222222"/>
                                <w:sz w:val="32"/>
                                <w:szCs w:val="32"/>
                                <w:u w:color="222222"/>
                                <w:lang w:val="en-US"/>
                              </w:rPr>
                            </w:pPr>
                            <w:r>
                              <w:rPr>
                                <w:rFonts w:ascii="Arial" w:hAnsi="Arial"/>
                                <w:b/>
                                <w:bCs/>
                                <w:color w:val="222222"/>
                                <w:sz w:val="32"/>
                                <w:szCs w:val="32"/>
                                <w:u w:color="222222"/>
                                <w:lang w:val="en-US"/>
                              </w:rPr>
                              <w:t>Journal of Personalized Medicine, 2023, 13(6), 892.</w:t>
                            </w:r>
                          </w:p>
                          <w:p w14:paraId="022CCBBA" w14:textId="77777777" w:rsidR="00363F3A" w:rsidRDefault="00DB6446">
                            <w:pPr>
                              <w:pStyle w:val="BodyText"/>
                              <w:jc w:val="left"/>
                            </w:pPr>
                            <w:hyperlink r:id="rId7" w:history="1">
                              <w:r>
                                <w:rPr>
                                  <w:rStyle w:val="Hyperlink3"/>
                                </w:rPr>
                                <w:t>https://doi.org/10.3390/jpm13060892</w:t>
                              </w:r>
                            </w:hyperlink>
                            <w:r>
                              <w:rPr>
                                <w:rFonts w:ascii="Arial" w:hAnsi="Arial"/>
                                <w:b/>
                                <w:bCs/>
                                <w:color w:val="222222"/>
                                <w:sz w:val="32"/>
                                <w:szCs w:val="32"/>
                                <w:u w:color="222222"/>
                                <w:lang w:val="en-US"/>
                              </w:rPr>
                              <w:t xml:space="preserve"> </w:t>
                            </w:r>
                          </w:p>
                        </w:txbxContent>
                      </wps:txbx>
                      <wps:bodyPr wrap="square" lIns="45719" tIns="45719" rIns="45719" bIns="45719" numCol="1" anchor="t">
                        <a:noAutofit/>
                      </wps:bodyPr>
                    </wps:wsp>
                  </a:graphicData>
                </a:graphic>
              </wp:anchor>
            </w:drawing>
          </mc:Choice>
          <mc:Fallback>
            <w:pict>
              <v:rect w14:anchorId="7D532173" id="officeArt object" o:spid="_x0000_s1026" alt="Source Article:…" style="position:absolute;left:0;text-align:left;margin-left:-9.6pt;margin-top:14.25pt;width:1071.35pt;height:124.7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">
                <v:stroke joinstyle="round"/>
                <v:textbox inset="1.27mm,1.27mm,1.27mm,1.27mm">
                  <w:txbxContent>
                    <w:p w14:paraId="32483242" w14:textId="77777777" w:rsidR="00363F3A" w:rsidRDefault="00DB6446">
                      <w:pPr>
                        <w:pStyle w:val="BodyText"/>
                        <w:rPr>
                          <w:rFonts w:ascii="Arial" w:eastAsia="Arial" w:hAnsi="Arial" w:cs="Arial"/>
                          <w:b/>
                          <w:bCs/>
                          <w:color w:val="222222"/>
                          <w:sz w:val="32"/>
                          <w:szCs w:val="32"/>
                          <w:u w:color="222222"/>
                          <w:lang w:val="en-US"/>
                        </w:rPr>
                      </w:pPr>
                      <w:r>
                        <w:rPr>
                          <w:rFonts w:ascii="Arial" w:hAnsi="Arial"/>
                          <w:b/>
                          <w:bCs/>
                          <w:color w:val="222222"/>
                          <w:sz w:val="32"/>
                          <w:szCs w:val="32"/>
                          <w:u w:color="222222"/>
                          <w:lang w:val="en-US"/>
                        </w:rPr>
                        <w:t xml:space="preserve">Source Article: </w:t>
                      </w:r>
                    </w:p>
                    <w:p w14:paraId="16BCE472" w14:textId="77777777" w:rsidR="00363F3A" w:rsidRDefault="00363F3A">
                      <w:pPr>
                        <w:pStyle w:val="BodyText"/>
                        <w:rPr>
                          <w:rFonts w:ascii="Arial" w:eastAsia="Arial" w:hAnsi="Arial" w:cs="Arial"/>
                          <w:color w:val="222222"/>
                          <w:sz w:val="32"/>
                          <w:szCs w:val="32"/>
                          <w:u w:color="222222"/>
                          <w:lang w:val="en-US"/>
                        </w:rPr>
                      </w:pPr>
                    </w:p>
                    <w:p w14:paraId="6794B46A" w14:textId="77777777" w:rsidR="00363F3A" w:rsidRDefault="00DB6446">
                      <w:pPr>
                        <w:pStyle w:val="BodyText"/>
                        <w:rPr>
                          <w:rFonts w:ascii="Arial" w:eastAsia="Arial" w:hAnsi="Arial" w:cs="Arial"/>
                          <w:b/>
                          <w:bCs/>
                          <w:color w:val="222222"/>
                          <w:sz w:val="32"/>
                          <w:szCs w:val="32"/>
                          <w:u w:color="222222"/>
                          <w:lang w:val="en-US"/>
                        </w:rPr>
                      </w:pPr>
                      <w:r>
                        <w:rPr>
                          <w:rFonts w:ascii="Arial" w:hAnsi="Arial"/>
                          <w:b/>
                          <w:bCs/>
                          <w:color w:val="222222"/>
                          <w:sz w:val="32"/>
                          <w:szCs w:val="32"/>
                          <w:u w:color="222222"/>
                          <w:lang w:val="en-US"/>
                        </w:rPr>
                        <w:t xml:space="preserve">This chapter is an extended version of the article published by the same author(s) in the following journal. </w:t>
                      </w:r>
                    </w:p>
                    <w:p w14:paraId="4EDA3FE4" w14:textId="77777777" w:rsidR="00363F3A" w:rsidRDefault="00363F3A">
                      <w:pPr>
                        <w:pStyle w:val="BodyText"/>
                        <w:jc w:val="left"/>
                        <w:rPr>
                          <w:rFonts w:ascii="Arial" w:eastAsia="Arial" w:hAnsi="Arial" w:cs="Arial"/>
                          <w:b/>
                          <w:bCs/>
                          <w:color w:val="222222"/>
                          <w:sz w:val="32"/>
                          <w:szCs w:val="32"/>
                          <w:u w:color="222222"/>
                          <w:lang w:val="en-US"/>
                        </w:rPr>
                      </w:pPr>
                    </w:p>
                    <w:p w14:paraId="25D1F18F" w14:textId="77777777" w:rsidR="00363F3A" w:rsidRDefault="00DB6446">
                      <w:pPr>
                        <w:pStyle w:val="BodyText"/>
                        <w:jc w:val="left"/>
                        <w:rPr>
                          <w:rFonts w:ascii="Arial" w:eastAsia="Arial" w:hAnsi="Arial" w:cs="Arial"/>
                          <w:b/>
                          <w:bCs/>
                          <w:color w:val="222222"/>
                          <w:sz w:val="32"/>
                          <w:szCs w:val="32"/>
                          <w:u w:color="222222"/>
                          <w:lang w:val="en-US"/>
                        </w:rPr>
                      </w:pPr>
                      <w:r>
                        <w:rPr>
                          <w:rFonts w:ascii="Arial" w:hAnsi="Arial"/>
                          <w:b/>
                          <w:bCs/>
                          <w:color w:val="222222"/>
                          <w:sz w:val="32"/>
                          <w:szCs w:val="32"/>
                          <w:u w:color="222222"/>
                          <w:lang w:val="en-US"/>
                        </w:rPr>
                        <w:t>Journal of Personalized Medicine, 2023, 13(6), 892.</w:t>
                      </w:r>
                    </w:p>
                    <w:p w14:paraId="022CCBBA" w14:textId="77777777" w:rsidR="00363F3A" w:rsidRDefault="00DB6446">
                      <w:pPr>
                        <w:pStyle w:val="BodyText"/>
                        <w:jc w:val="left"/>
                      </w:pPr>
                      <w:hyperlink r:id="rId8" w:history="1">
                        <w:r>
                          <w:rPr>
                            <w:rStyle w:val="Hyperlink3"/>
                          </w:rPr>
                          <w:t>https://doi.org/10.3390/jpm13060892</w:t>
                        </w:r>
                      </w:hyperlink>
                      <w:r>
                        <w:rPr>
                          <w:rFonts w:ascii="Arial" w:hAnsi="Arial"/>
                          <w:b/>
                          <w:bCs/>
                          <w:color w:val="222222"/>
                          <w:sz w:val="32"/>
                          <w:szCs w:val="32"/>
                          <w:u w:color="222222"/>
                          <w:lang w:val="en-US"/>
                        </w:rPr>
                        <w:t xml:space="preserve"> </w:t>
                      </w:r>
                    </w:p>
                  </w:txbxContent>
                </v:textbox>
                <w10:wrap anchory="line"/>
              </v:rect>
            </w:pict>
          </mc:Fallback>
        </mc:AlternateContent>
      </w:r>
    </w:p>
    <w:p w14:paraId="1E4355C5" w14:textId="77777777" w:rsidR="00363F3A" w:rsidRPr="009A50BA" w:rsidRDefault="00DB6446">
      <w:pPr>
        <w:pStyle w:val="BodyText"/>
        <w:jc w:val="left"/>
        <w:rPr>
          <w:rFonts w:ascii="Arial" w:hAnsi="Arial" w:cs="Arial"/>
          <w:sz w:val="20"/>
          <w:szCs w:val="20"/>
        </w:rPr>
      </w:pPr>
      <w:r w:rsidRPr="009A50BA">
        <w:rPr>
          <w:rFonts w:ascii="Arial" w:hAnsi="Arial" w:cs="Arial"/>
          <w:color w:val="222222"/>
          <w:sz w:val="20"/>
          <w:szCs w:val="20"/>
          <w:u w:color="222222"/>
          <w:lang w:val="en-US"/>
        </w:rPr>
        <w:br w:type="page"/>
      </w:r>
    </w:p>
    <w:p w14:paraId="183E1819" w14:textId="77777777" w:rsidR="00363F3A" w:rsidRPr="009A50BA" w:rsidRDefault="00363F3A">
      <w:pPr>
        <w:pStyle w:val="BodyText"/>
        <w:ind w:left="1440"/>
        <w:rPr>
          <w:rFonts w:ascii="Arial" w:eastAsia="Arial" w:hAnsi="Arial" w:cs="Arial"/>
          <w:sz w:val="20"/>
          <w:szCs w:val="20"/>
          <w:lang w:val="en-US"/>
        </w:rPr>
      </w:pPr>
    </w:p>
    <w:tbl>
      <w:tblPr>
        <w:tblW w:w="209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92"/>
        <w:gridCol w:w="9255"/>
        <w:gridCol w:w="6373"/>
      </w:tblGrid>
      <w:tr w:rsidR="00363F3A" w:rsidRPr="009A50BA" w14:paraId="29DF5D5B" w14:textId="77777777">
        <w:trPr>
          <w:trHeight w:val="447"/>
        </w:trPr>
        <w:tc>
          <w:tcPr>
            <w:tcW w:w="20920" w:type="dxa"/>
            <w:gridSpan w:val="3"/>
            <w:tcBorders>
              <w:top w:val="nil"/>
              <w:left w:val="nil"/>
              <w:bottom w:val="single" w:sz="4" w:space="0" w:color="000000"/>
              <w:right w:val="nil"/>
            </w:tcBorders>
            <w:shd w:val="clear" w:color="auto" w:fill="auto"/>
            <w:tcMar>
              <w:top w:w="80" w:type="dxa"/>
              <w:left w:w="80" w:type="dxa"/>
              <w:bottom w:w="80" w:type="dxa"/>
              <w:right w:w="80" w:type="dxa"/>
            </w:tcMar>
          </w:tcPr>
          <w:p w14:paraId="212F2D08" w14:textId="77777777" w:rsidR="00363F3A" w:rsidRPr="009A50BA" w:rsidRDefault="00DB6446">
            <w:pPr>
              <w:pStyle w:val="2"/>
              <w:jc w:val="left"/>
              <w:rPr>
                <w:rFonts w:ascii="Arial" w:hAnsi="Arial" w:cs="Arial"/>
              </w:rPr>
            </w:pPr>
            <w:r w:rsidRPr="009A50BA">
              <w:rPr>
                <w:rFonts w:ascii="Arial" w:hAnsi="Arial" w:cs="Arial"/>
                <w:shd w:val="clear" w:color="auto" w:fill="FFFF00"/>
              </w:rPr>
              <w:t>PART  1:</w:t>
            </w:r>
            <w:r w:rsidRPr="009A50BA">
              <w:rPr>
                <w:rFonts w:ascii="Arial" w:hAnsi="Arial" w:cs="Arial"/>
              </w:rPr>
              <w:t xml:space="preserve"> Comments</w:t>
            </w:r>
          </w:p>
        </w:tc>
      </w:tr>
      <w:tr w:rsidR="00363F3A" w:rsidRPr="009A50BA" w14:paraId="18408F33" w14:textId="77777777">
        <w:trPr>
          <w:trHeight w:val="960"/>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D308A" w14:textId="77777777" w:rsidR="00363F3A" w:rsidRPr="009A50BA" w:rsidRDefault="00363F3A">
            <w:pPr>
              <w:rPr>
                <w:rFonts w:ascii="Arial" w:hAnsi="Arial" w:cs="Arial"/>
                <w:sz w:val="20"/>
                <w:szCs w:val="20"/>
              </w:rPr>
            </w:pP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C1F17" w14:textId="77777777" w:rsidR="00363F3A" w:rsidRPr="009A50BA" w:rsidRDefault="00DB6446">
            <w:pPr>
              <w:pStyle w:val="2"/>
              <w:jc w:val="left"/>
              <w:rPr>
                <w:rFonts w:ascii="Arial" w:eastAsia="Times New Roman" w:hAnsi="Arial" w:cs="Arial"/>
              </w:rPr>
            </w:pPr>
            <w:r w:rsidRPr="009A50BA">
              <w:rPr>
                <w:rFonts w:ascii="Arial" w:hAnsi="Arial" w:cs="Arial"/>
              </w:rPr>
              <w:t>Reviewer’s comment</w:t>
            </w:r>
          </w:p>
          <w:p w14:paraId="0E1159B3" w14:textId="77777777" w:rsidR="00363F3A" w:rsidRPr="009A50BA" w:rsidRDefault="00DB6446">
            <w:pPr>
              <w:pStyle w:val="a"/>
              <w:rPr>
                <w:rFonts w:ascii="Arial" w:hAnsi="Arial" w:cs="Arial"/>
                <w:sz w:val="20"/>
                <w:szCs w:val="20"/>
              </w:rPr>
            </w:pPr>
            <w:r w:rsidRPr="009A50BA">
              <w:rPr>
                <w:rFonts w:ascii="Arial" w:hAnsi="Arial" w:cs="Arial"/>
                <w:b/>
                <w:bCs/>
                <w:sz w:val="20"/>
                <w:szCs w:val="20"/>
                <w:shd w:val="clear" w:color="auto" w:fill="FFFF00"/>
              </w:rPr>
              <w:t>Artificial Intelligence (AI) generated or assisted review comments are strictly prohibited during peer review.</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ADF2D" w14:textId="77777777" w:rsidR="00363F3A" w:rsidRPr="009A50BA" w:rsidRDefault="00DB6446">
            <w:pPr>
              <w:pStyle w:val="2"/>
              <w:jc w:val="left"/>
              <w:rPr>
                <w:rFonts w:ascii="Arial" w:hAnsi="Arial" w:cs="Arial"/>
              </w:rPr>
            </w:pPr>
            <w:r w:rsidRPr="009A50BA">
              <w:rPr>
                <w:rFonts w:ascii="Arial" w:hAnsi="Arial" w:cs="Arial"/>
              </w:rPr>
              <w:t>Author’s Feedback</w:t>
            </w:r>
            <w:r w:rsidRPr="009A50BA">
              <w:rPr>
                <w:rFonts w:ascii="Arial" w:hAnsi="Arial" w:cs="Arial"/>
                <w:b w:val="0"/>
                <w:bCs w:val="0"/>
              </w:rPr>
              <w:t xml:space="preserve"> </w:t>
            </w:r>
            <w:r w:rsidRPr="009A50BA">
              <w:rPr>
                <w:rFonts w:ascii="Arial" w:hAnsi="Arial" w:cs="Arial"/>
                <w:b w:val="0"/>
                <w:bCs w:val="0"/>
                <w:i/>
                <w:iCs/>
              </w:rPr>
              <w:t>(Please correct the manuscript and highlight that part in the manuscript. It is mandatory that authors should write his/her feedback here)</w:t>
            </w:r>
          </w:p>
        </w:tc>
      </w:tr>
      <w:tr w:rsidR="00363F3A" w:rsidRPr="009A50BA" w14:paraId="44FF95B7" w14:textId="77777777">
        <w:trPr>
          <w:trHeight w:val="1104"/>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7FC266CC" w14:textId="77777777" w:rsidR="00363F3A" w:rsidRPr="009A50BA" w:rsidRDefault="00DB6446">
            <w:pPr>
              <w:pStyle w:val="a"/>
              <w:ind w:left="360"/>
              <w:rPr>
                <w:rFonts w:ascii="Arial" w:hAnsi="Arial" w:cs="Arial"/>
                <w:sz w:val="20"/>
                <w:szCs w:val="20"/>
              </w:rPr>
            </w:pPr>
            <w:r w:rsidRPr="009A50BA">
              <w:rPr>
                <w:rFonts w:ascii="Arial" w:hAnsi="Arial" w:cs="Arial"/>
                <w:b/>
                <w:bCs/>
                <w:sz w:val="20"/>
                <w:szCs w:val="20"/>
              </w:rPr>
              <w:t>Please write a few sentences regarding the importance of this manuscript for the scientific community. A minimum of 3-4 sentences may be required for this part.</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EA70E" w14:textId="77777777" w:rsidR="00363F3A" w:rsidRPr="009A50BA" w:rsidRDefault="00DB6446">
            <w:pPr>
              <w:rPr>
                <w:rFonts w:ascii="Arial" w:hAnsi="Arial" w:cs="Arial"/>
                <w:sz w:val="20"/>
                <w:szCs w:val="20"/>
              </w:rPr>
            </w:pPr>
            <w:r w:rsidRPr="009A50BA">
              <w:rPr>
                <w:rFonts w:ascii="Arial" w:hAnsi="Arial" w:cs="Arial"/>
                <w:b/>
                <w:bCs/>
                <w:color w:val="000000"/>
                <w:sz w:val="20"/>
                <w:szCs w:val="20"/>
                <w:u w:color="000000"/>
                <w14:textOutline w14:w="0" w14:cap="flat" w14:cmpd="sng" w14:algn="ctr">
                  <w14:noFill/>
                  <w14:prstDash w14:val="solid"/>
                  <w14:bevel/>
                </w14:textOutline>
              </w:rPr>
              <w:t>Differentiation of conversion disorders, in particular psychogenic non-epileptic seizures and epileptic seizures is an extremely important issue both from the point of view of clinical practice and scientific approach. In the classical view, the therapy of these conditions is fundamentally different. Clarification of the mechanisms that implement these conditions is a fundamental issue affecting the outcome of these diseases.</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BA32B" w14:textId="77777777" w:rsidR="00363F3A" w:rsidRPr="009A50BA" w:rsidRDefault="00363F3A">
            <w:pPr>
              <w:rPr>
                <w:rFonts w:ascii="Arial" w:hAnsi="Arial" w:cs="Arial"/>
                <w:sz w:val="20"/>
                <w:szCs w:val="20"/>
              </w:rPr>
            </w:pPr>
          </w:p>
        </w:tc>
      </w:tr>
      <w:tr w:rsidR="00363F3A" w:rsidRPr="009A50BA" w14:paraId="32966F13" w14:textId="77777777">
        <w:trPr>
          <w:trHeight w:val="1102"/>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C1F794E" w14:textId="77777777" w:rsidR="00363F3A" w:rsidRPr="009A50BA" w:rsidRDefault="00DB6446">
            <w:pPr>
              <w:pStyle w:val="a"/>
              <w:ind w:left="360"/>
              <w:rPr>
                <w:rFonts w:ascii="Arial" w:hAnsi="Arial" w:cs="Arial"/>
                <w:b/>
                <w:bCs/>
                <w:sz w:val="20"/>
                <w:szCs w:val="20"/>
              </w:rPr>
            </w:pPr>
            <w:r w:rsidRPr="009A50BA">
              <w:rPr>
                <w:rFonts w:ascii="Arial" w:hAnsi="Arial" w:cs="Arial"/>
                <w:b/>
                <w:bCs/>
                <w:sz w:val="20"/>
                <w:szCs w:val="20"/>
              </w:rPr>
              <w:t>Is the title of the article suitable?</w:t>
            </w:r>
          </w:p>
          <w:p w14:paraId="7E7D676B" w14:textId="77777777" w:rsidR="00363F3A" w:rsidRPr="009A50BA" w:rsidRDefault="00DB6446">
            <w:pPr>
              <w:pStyle w:val="a"/>
              <w:ind w:left="360"/>
              <w:rPr>
                <w:rFonts w:ascii="Arial" w:hAnsi="Arial" w:cs="Arial"/>
                <w:sz w:val="20"/>
                <w:szCs w:val="20"/>
              </w:rPr>
            </w:pPr>
            <w:r w:rsidRPr="009A50BA">
              <w:rPr>
                <w:rFonts w:ascii="Arial" w:hAnsi="Arial" w:cs="Arial"/>
                <w:b/>
                <w:bCs/>
                <w:sz w:val="20"/>
                <w:szCs w:val="20"/>
              </w:rPr>
              <w:t>(If not please suggest an alternative title)</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BF57C04" w14:textId="77777777" w:rsidR="00363F3A" w:rsidRPr="009A50BA" w:rsidRDefault="00DB6446">
            <w:pPr>
              <w:ind w:left="360"/>
              <w:rPr>
                <w:rFonts w:ascii="Arial" w:hAnsi="Arial" w:cs="Arial"/>
                <w:sz w:val="20"/>
                <w:szCs w:val="20"/>
              </w:rPr>
            </w:pPr>
            <w:proofErr w:type="gramStart"/>
            <w:r w:rsidRPr="009A50BA">
              <w:rPr>
                <w:rFonts w:ascii="Arial" w:hAnsi="Arial" w:cs="Arial"/>
                <w:b/>
                <w:bCs/>
                <w:color w:val="000000"/>
                <w:sz w:val="20"/>
                <w:szCs w:val="20"/>
                <w:u w:color="000000"/>
                <w14:textOutline w14:w="0" w14:cap="flat" w14:cmpd="sng" w14:algn="ctr">
                  <w14:noFill/>
                  <w14:prstDash w14:val="solid"/>
                  <w14:bevel/>
                </w14:textOutline>
              </w:rPr>
              <w:t>Yes it is</w:t>
            </w:r>
            <w:proofErr w:type="gramEnd"/>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380F2" w14:textId="77777777" w:rsidR="00363F3A" w:rsidRPr="009A50BA" w:rsidRDefault="00363F3A">
            <w:pPr>
              <w:rPr>
                <w:rFonts w:ascii="Arial" w:hAnsi="Arial" w:cs="Arial"/>
                <w:sz w:val="20"/>
                <w:szCs w:val="20"/>
              </w:rPr>
            </w:pPr>
          </w:p>
        </w:tc>
      </w:tr>
      <w:tr w:rsidR="00363F3A" w:rsidRPr="009A50BA" w14:paraId="15F7A162" w14:textId="77777777">
        <w:trPr>
          <w:trHeight w:val="1102"/>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502FF75B" w14:textId="77777777" w:rsidR="00363F3A" w:rsidRPr="009A50BA" w:rsidRDefault="00DB6446">
            <w:pPr>
              <w:pStyle w:val="2"/>
              <w:ind w:left="360"/>
              <w:jc w:val="left"/>
              <w:rPr>
                <w:rFonts w:ascii="Arial" w:hAnsi="Arial" w:cs="Arial"/>
              </w:rPr>
            </w:pPr>
            <w:r w:rsidRPr="009A50BA">
              <w:rPr>
                <w:rFonts w:ascii="Arial" w:hAnsi="Arial" w:cs="Arial"/>
              </w:rPr>
              <w:t>Is the abstract of the article comprehensive? Do you suggest the addition (or deletion) of some points in this section? Please write your suggestions here.</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5B313486" w14:textId="77777777" w:rsidR="00363F3A" w:rsidRPr="009A50BA" w:rsidRDefault="00DB6446">
            <w:pPr>
              <w:ind w:left="360"/>
              <w:rPr>
                <w:rFonts w:ascii="Arial" w:hAnsi="Arial" w:cs="Arial"/>
                <w:sz w:val="20"/>
                <w:szCs w:val="20"/>
              </w:rPr>
            </w:pPr>
            <w:r w:rsidRPr="009A50BA">
              <w:rPr>
                <w:rFonts w:ascii="Arial" w:hAnsi="Arial" w:cs="Arial"/>
                <w:b/>
                <w:bCs/>
                <w:color w:val="000000"/>
                <w:sz w:val="20"/>
                <w:szCs w:val="20"/>
                <w:u w:color="000000"/>
                <w14:textOutline w14:w="0" w14:cap="flat" w14:cmpd="sng" w14:algn="ctr">
                  <w14:noFill/>
                  <w14:prstDash w14:val="solid"/>
                  <w14:bevel/>
                </w14:textOutline>
              </w:rPr>
              <w:t xml:space="preserve">The abstract is </w:t>
            </w:r>
            <w:proofErr w:type="spellStart"/>
            <w:r w:rsidRPr="009A50BA">
              <w:rPr>
                <w:rFonts w:ascii="Arial" w:hAnsi="Arial" w:cs="Arial"/>
                <w:b/>
                <w:bCs/>
                <w:color w:val="000000"/>
                <w:sz w:val="20"/>
                <w:szCs w:val="20"/>
                <w:u w:color="000000"/>
                <w14:textOutline w14:w="0" w14:cap="flat" w14:cmpd="sng" w14:algn="ctr">
                  <w14:noFill/>
                  <w14:prstDash w14:val="solid"/>
                  <w14:bevel/>
                </w14:textOutline>
              </w:rPr>
              <w:t>fullfil</w:t>
            </w:r>
            <w:proofErr w:type="spellEnd"/>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8EA0D" w14:textId="77777777" w:rsidR="00363F3A" w:rsidRPr="009A50BA" w:rsidRDefault="00363F3A">
            <w:pPr>
              <w:rPr>
                <w:rFonts w:ascii="Arial" w:hAnsi="Arial" w:cs="Arial"/>
                <w:sz w:val="20"/>
                <w:szCs w:val="20"/>
              </w:rPr>
            </w:pPr>
          </w:p>
        </w:tc>
      </w:tr>
      <w:tr w:rsidR="00363F3A" w:rsidRPr="009A50BA" w14:paraId="40E496C2" w14:textId="77777777">
        <w:trPr>
          <w:trHeight w:val="2642"/>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57F6E9F7" w14:textId="77777777" w:rsidR="00363F3A" w:rsidRPr="009A50BA" w:rsidRDefault="00DB6446">
            <w:pPr>
              <w:pStyle w:val="a"/>
              <w:ind w:left="360"/>
              <w:rPr>
                <w:rFonts w:ascii="Arial" w:hAnsi="Arial" w:cs="Arial"/>
                <w:sz w:val="20"/>
                <w:szCs w:val="20"/>
              </w:rPr>
            </w:pPr>
            <w:r w:rsidRPr="009A50BA">
              <w:rPr>
                <w:rFonts w:ascii="Arial" w:hAnsi="Arial" w:cs="Arial"/>
                <w:b/>
                <w:bCs/>
                <w:sz w:val="20"/>
                <w:szCs w:val="20"/>
              </w:rPr>
              <w:t xml:space="preserve">Is the manuscript scientifically, correct? Please write here. </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A9FDE" w14:textId="77777777" w:rsidR="00363F3A" w:rsidRPr="009A50BA" w:rsidRDefault="00DB6446">
            <w:pPr>
              <w:rPr>
                <w:rFonts w:ascii="Arial" w:hAnsi="Arial" w:cs="Arial"/>
                <w:sz w:val="20"/>
                <w:szCs w:val="20"/>
              </w:rPr>
            </w:pPr>
            <w:r w:rsidRPr="009A50BA">
              <w:rPr>
                <w:rFonts w:ascii="Arial" w:hAnsi="Arial" w:cs="Arial"/>
                <w:b/>
                <w:bCs/>
                <w:color w:val="000000"/>
                <w:sz w:val="20"/>
                <w:szCs w:val="20"/>
                <w:u w:color="000000"/>
                <w14:textOutline w14:w="0" w14:cap="flat" w14:cmpd="sng" w14:algn="ctr">
                  <w14:noFill/>
                  <w14:prstDash w14:val="solid"/>
                  <w14:bevel/>
                </w14:textOutline>
              </w:rPr>
              <w:t>In my humble opinion, I suggest, that the topic is not fully covered. First, the review describes the methods of scalp EEG and stereotactic EEG, which are definitely leading, but not final. The combination of clinical data, neuroimaging (MRI, PET), genetic research data with careful analysis as part of a multidisciplinary team of specialists allows for a comprehensive assessment of the patient's condition and a final diagnosis. Second, it should be mentioned that there is a hierarchy of decision-making, in which invasive diagnostic methods are prescribed only after all possible non-invasive methods have been performed. Thus, in the absence of a clinical picture (including the semiology of seizures) non-specific for epilepsy, any changes in scalp EEG, MRI, and the absence of genetic changes, performing invasive stereotactic EEG is inappropriate. Moreover, in 30% of cases we are talking about a drug-resistant form of the disease, when more than 2 treatment regimens have been tried. Thus, the review misses an important aspect of the issue, without which the discussion of this problem remains extremely important, but requires significant additions.</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3DA26" w14:textId="77777777" w:rsidR="00363F3A" w:rsidRPr="009A50BA" w:rsidRDefault="00363F3A">
            <w:pPr>
              <w:rPr>
                <w:rFonts w:ascii="Arial" w:hAnsi="Arial" w:cs="Arial"/>
                <w:sz w:val="20"/>
                <w:szCs w:val="20"/>
              </w:rPr>
            </w:pPr>
          </w:p>
        </w:tc>
      </w:tr>
      <w:tr w:rsidR="00363F3A" w:rsidRPr="009A50BA" w14:paraId="70390E50" w14:textId="77777777">
        <w:trPr>
          <w:trHeight w:val="882"/>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C7857BC" w14:textId="77777777" w:rsidR="00363F3A" w:rsidRPr="009A50BA" w:rsidRDefault="00DB6446">
            <w:pPr>
              <w:pStyle w:val="a"/>
              <w:ind w:left="360"/>
              <w:rPr>
                <w:rFonts w:ascii="Arial" w:hAnsi="Arial" w:cs="Arial"/>
                <w:b/>
                <w:bCs/>
                <w:sz w:val="20"/>
                <w:szCs w:val="20"/>
              </w:rPr>
            </w:pPr>
            <w:r w:rsidRPr="009A50BA">
              <w:rPr>
                <w:rFonts w:ascii="Arial" w:hAnsi="Arial" w:cs="Arial"/>
                <w:b/>
                <w:bCs/>
                <w:sz w:val="20"/>
                <w:szCs w:val="20"/>
              </w:rPr>
              <w:t>Are the references sufficient and recent? If you have suggestions of additional references, please mention them in the review form.</w:t>
            </w:r>
          </w:p>
          <w:p w14:paraId="4FCA972B" w14:textId="77777777" w:rsidR="00363F3A" w:rsidRPr="009A50BA" w:rsidRDefault="00DB6446">
            <w:pPr>
              <w:pStyle w:val="a"/>
              <w:ind w:left="360"/>
              <w:rPr>
                <w:rFonts w:ascii="Arial" w:hAnsi="Arial" w:cs="Arial"/>
                <w:sz w:val="20"/>
                <w:szCs w:val="20"/>
              </w:rPr>
            </w:pPr>
            <w:r w:rsidRPr="009A50BA">
              <w:rPr>
                <w:rFonts w:ascii="Arial" w:hAnsi="Arial" w:cs="Arial"/>
                <w:b/>
                <w:bCs/>
                <w:sz w:val="20"/>
                <w:szCs w:val="20"/>
                <w:u w:val="single"/>
              </w:rPr>
              <w:t>-</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63E97" w14:textId="77777777" w:rsidR="00363F3A" w:rsidRPr="009A50BA" w:rsidRDefault="00DB6446">
            <w:pPr>
              <w:rPr>
                <w:rFonts w:ascii="Arial" w:hAnsi="Arial" w:cs="Arial"/>
                <w:sz w:val="20"/>
                <w:szCs w:val="20"/>
              </w:rPr>
            </w:pPr>
            <w:r w:rsidRPr="009A50BA">
              <w:rPr>
                <w:rFonts w:ascii="Arial" w:hAnsi="Arial" w:cs="Arial"/>
                <w:b/>
                <w:bCs/>
                <w:color w:val="000000"/>
                <w:sz w:val="20"/>
                <w:szCs w:val="20"/>
                <w:u w:color="000000"/>
                <w14:textOutline w14:w="0" w14:cap="flat" w14:cmpd="sng" w14:algn="ctr">
                  <w14:noFill/>
                  <w14:prstDash w14:val="solid"/>
                  <w14:bevel/>
                </w14:textOutline>
              </w:rPr>
              <w:t xml:space="preserve">11 links (18%) are five years </w:t>
            </w:r>
            <w:proofErr w:type="gramStart"/>
            <w:r w:rsidRPr="009A50BA">
              <w:rPr>
                <w:rFonts w:ascii="Arial" w:hAnsi="Arial" w:cs="Arial"/>
                <w:b/>
                <w:bCs/>
                <w:color w:val="000000"/>
                <w:sz w:val="20"/>
                <w:szCs w:val="20"/>
                <w:u w:color="000000"/>
                <w14:textOutline w14:w="0" w14:cap="flat" w14:cmpd="sng" w14:algn="ctr">
                  <w14:noFill/>
                  <w14:prstDash w14:val="solid"/>
                  <w14:bevel/>
                </w14:textOutline>
              </w:rPr>
              <w:t>old,</w:t>
            </w:r>
            <w:proofErr w:type="gramEnd"/>
            <w:r w:rsidRPr="009A50BA">
              <w:rPr>
                <w:rFonts w:ascii="Arial" w:hAnsi="Arial" w:cs="Arial"/>
                <w:b/>
                <w:bCs/>
                <w:color w:val="000000"/>
                <w:sz w:val="20"/>
                <w:szCs w:val="20"/>
                <w:u w:color="000000"/>
                <w14:textOutline w14:w="0" w14:cap="flat" w14:cmpd="sng" w14:algn="ctr">
                  <w14:noFill/>
                  <w14:prstDash w14:val="solid"/>
                  <w14:bevel/>
                </w14:textOutline>
              </w:rPr>
              <w:t xml:space="preserve"> 30 links (49%) are ten years old, which is acceptable.</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BE4E6" w14:textId="77777777" w:rsidR="00363F3A" w:rsidRPr="009A50BA" w:rsidRDefault="00363F3A">
            <w:pPr>
              <w:rPr>
                <w:rFonts w:ascii="Arial" w:hAnsi="Arial" w:cs="Arial"/>
                <w:sz w:val="20"/>
                <w:szCs w:val="20"/>
              </w:rPr>
            </w:pPr>
          </w:p>
        </w:tc>
      </w:tr>
      <w:tr w:rsidR="00363F3A" w:rsidRPr="009A50BA" w14:paraId="34EFE0BB" w14:textId="77777777">
        <w:trPr>
          <w:trHeight w:val="882"/>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70D32" w14:textId="77777777" w:rsidR="00363F3A" w:rsidRPr="009A50BA" w:rsidRDefault="00363F3A">
            <w:pPr>
              <w:pStyle w:val="2"/>
              <w:jc w:val="left"/>
              <w:rPr>
                <w:rFonts w:ascii="Arial" w:eastAsia="Times New Roman" w:hAnsi="Arial" w:cs="Arial"/>
                <w:b w:val="0"/>
                <w:bCs w:val="0"/>
              </w:rPr>
            </w:pPr>
          </w:p>
          <w:p w14:paraId="55F21400" w14:textId="77777777" w:rsidR="00363F3A" w:rsidRPr="009A50BA" w:rsidRDefault="00DB6446">
            <w:pPr>
              <w:pStyle w:val="2"/>
              <w:ind w:left="360"/>
              <w:jc w:val="left"/>
              <w:rPr>
                <w:rFonts w:ascii="Arial" w:hAnsi="Arial" w:cs="Arial"/>
              </w:rPr>
            </w:pPr>
            <w:r w:rsidRPr="009A50BA">
              <w:rPr>
                <w:rFonts w:ascii="Arial" w:hAnsi="Arial" w:cs="Arial"/>
              </w:rPr>
              <w:t>Is the language/English quality of the article suitable for scholarly communications?</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61FDD" w14:textId="77777777" w:rsidR="00363F3A" w:rsidRPr="009A50BA" w:rsidRDefault="00DB6446">
            <w:pPr>
              <w:pStyle w:val="2"/>
              <w:ind w:left="360"/>
              <w:jc w:val="left"/>
              <w:rPr>
                <w:rFonts w:ascii="Arial" w:hAnsi="Arial" w:cs="Arial"/>
              </w:rPr>
            </w:pPr>
            <w:r w:rsidRPr="009A50BA">
              <w:rPr>
                <w:rFonts w:ascii="Arial" w:hAnsi="Arial" w:cs="Arial"/>
              </w:rPr>
              <w:t xml:space="preserve">The English quality is suitable </w:t>
            </w: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12F48" w14:textId="77777777" w:rsidR="00363F3A" w:rsidRPr="009A50BA" w:rsidRDefault="00363F3A">
            <w:pPr>
              <w:rPr>
                <w:rFonts w:ascii="Arial" w:hAnsi="Arial" w:cs="Arial"/>
                <w:sz w:val="20"/>
                <w:szCs w:val="20"/>
              </w:rPr>
            </w:pPr>
          </w:p>
        </w:tc>
      </w:tr>
      <w:tr w:rsidR="00363F3A" w:rsidRPr="009A50BA" w14:paraId="3524CDA9" w14:textId="77777777">
        <w:trPr>
          <w:trHeight w:val="1102"/>
        </w:trPr>
        <w:tc>
          <w:tcPr>
            <w:tcW w:w="5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D3E45" w14:textId="77777777" w:rsidR="00363F3A" w:rsidRPr="009A50BA" w:rsidRDefault="00DB6446">
            <w:pPr>
              <w:pStyle w:val="2"/>
              <w:jc w:val="left"/>
              <w:rPr>
                <w:rFonts w:ascii="Arial" w:hAnsi="Arial" w:cs="Arial"/>
              </w:rPr>
            </w:pPr>
            <w:r w:rsidRPr="009A50BA">
              <w:rPr>
                <w:rFonts w:ascii="Arial" w:hAnsi="Arial" w:cs="Arial"/>
                <w:u w:val="single"/>
              </w:rPr>
              <w:t>Optional/General</w:t>
            </w:r>
            <w:r w:rsidRPr="009A50BA">
              <w:rPr>
                <w:rFonts w:ascii="Arial" w:hAnsi="Arial" w:cs="Arial"/>
              </w:rPr>
              <w:t xml:space="preserve"> </w:t>
            </w:r>
            <w:r w:rsidRPr="009A50BA">
              <w:rPr>
                <w:rFonts w:ascii="Arial" w:hAnsi="Arial" w:cs="Arial"/>
                <w:b w:val="0"/>
                <w:bCs w:val="0"/>
              </w:rPr>
              <w:t>comments</w:t>
            </w:r>
          </w:p>
        </w:tc>
        <w:tc>
          <w:tcPr>
            <w:tcW w:w="9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AE330" w14:textId="77777777" w:rsidR="00363F3A" w:rsidRPr="009A50BA" w:rsidRDefault="00DB6446">
            <w:pPr>
              <w:pStyle w:val="a"/>
              <w:rPr>
                <w:rFonts w:ascii="Arial" w:hAnsi="Arial" w:cs="Arial"/>
                <w:sz w:val="20"/>
                <w:szCs w:val="20"/>
              </w:rPr>
            </w:pPr>
            <w:r w:rsidRPr="009A50BA">
              <w:rPr>
                <w:rFonts w:ascii="Arial" w:hAnsi="Arial" w:cs="Arial"/>
                <w:sz w:val="20"/>
                <w:szCs w:val="20"/>
              </w:rPr>
              <w:t>Perhaps, in other chapters of the book all my comments have already been taken into account, however, in the form in which the work was presented to me for review, significant addition of material is required.</w:t>
            </w:r>
          </w:p>
          <w:p w14:paraId="1B0A87AD" w14:textId="77777777" w:rsidR="00363F3A" w:rsidRPr="009A50BA" w:rsidRDefault="00363F3A">
            <w:pPr>
              <w:pStyle w:val="a"/>
              <w:rPr>
                <w:rFonts w:ascii="Arial" w:hAnsi="Arial" w:cs="Arial"/>
                <w:sz w:val="20"/>
                <w:szCs w:val="20"/>
              </w:rPr>
            </w:pPr>
          </w:p>
          <w:p w14:paraId="7E03A626" w14:textId="77777777" w:rsidR="00363F3A" w:rsidRPr="009A50BA" w:rsidRDefault="00363F3A">
            <w:pPr>
              <w:pStyle w:val="a"/>
              <w:rPr>
                <w:rFonts w:ascii="Arial" w:hAnsi="Arial" w:cs="Arial"/>
                <w:sz w:val="20"/>
                <w:szCs w:val="20"/>
              </w:rPr>
            </w:pPr>
          </w:p>
        </w:tc>
        <w:tc>
          <w:tcPr>
            <w:tcW w:w="6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A09BF" w14:textId="77777777" w:rsidR="00363F3A" w:rsidRPr="009A50BA" w:rsidRDefault="00363F3A">
            <w:pPr>
              <w:rPr>
                <w:rFonts w:ascii="Arial" w:hAnsi="Arial" w:cs="Arial"/>
                <w:sz w:val="20"/>
                <w:szCs w:val="20"/>
              </w:rPr>
            </w:pPr>
          </w:p>
        </w:tc>
      </w:tr>
    </w:tbl>
    <w:p w14:paraId="5FF2AE2D" w14:textId="77777777" w:rsidR="00363F3A" w:rsidRPr="009A50BA" w:rsidRDefault="00363F3A">
      <w:pPr>
        <w:pStyle w:val="BodyText"/>
        <w:widowControl w:val="0"/>
        <w:rPr>
          <w:rFonts w:ascii="Arial" w:eastAsia="Arial" w:hAnsi="Arial" w:cs="Arial"/>
          <w:sz w:val="20"/>
          <w:szCs w:val="20"/>
          <w:lang w:val="en-US"/>
        </w:rPr>
      </w:pPr>
    </w:p>
    <w:p w14:paraId="7C10CFC2" w14:textId="77777777" w:rsidR="00363F3A" w:rsidRPr="009A50BA" w:rsidRDefault="00363F3A">
      <w:pPr>
        <w:pStyle w:val="BodyText"/>
        <w:rPr>
          <w:rFonts w:ascii="Arial" w:eastAsia="Times New Roman" w:hAnsi="Arial" w:cs="Arial"/>
          <w:b/>
          <w:bCs/>
          <w:sz w:val="20"/>
          <w:szCs w:val="20"/>
          <w:u w:val="single"/>
          <w:lang w:val="en-US"/>
        </w:rPr>
      </w:pPr>
    </w:p>
    <w:p w14:paraId="7AD69794" w14:textId="77777777" w:rsidR="00363F3A" w:rsidRPr="009A50BA" w:rsidRDefault="00363F3A">
      <w:pPr>
        <w:pStyle w:val="BodyText"/>
        <w:rPr>
          <w:rFonts w:ascii="Arial" w:eastAsia="Times New Roman" w:hAnsi="Arial" w:cs="Arial"/>
          <w:b/>
          <w:bCs/>
          <w:sz w:val="20"/>
          <w:szCs w:val="20"/>
          <w:u w:val="single"/>
          <w:lang w:val="en-US"/>
        </w:rPr>
      </w:pPr>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1"/>
        <w:gridCol w:w="8642"/>
        <w:gridCol w:w="5677"/>
      </w:tblGrid>
      <w:tr w:rsidR="00363F3A" w:rsidRPr="009A50BA" w14:paraId="3700F677" w14:textId="77777777">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vAlign w:val="center"/>
          </w:tcPr>
          <w:p w14:paraId="1581FE2E" w14:textId="77777777" w:rsidR="00363F3A" w:rsidRPr="009A50BA" w:rsidRDefault="00DB6446">
            <w:pPr>
              <w:pStyle w:val="NormalWeb"/>
              <w:spacing w:before="0" w:after="0"/>
              <w:rPr>
                <w:rFonts w:ascii="Arial" w:hAnsi="Arial" w:cs="Arial"/>
                <w:sz w:val="20"/>
                <w:szCs w:val="20"/>
              </w:rPr>
            </w:pPr>
            <w:r w:rsidRPr="009A50BA">
              <w:rPr>
                <w:rFonts w:ascii="Arial" w:hAnsi="Arial" w:cs="Arial"/>
                <w:b/>
                <w:bCs/>
                <w:sz w:val="20"/>
                <w:szCs w:val="20"/>
                <w:u w:val="single"/>
                <w:shd w:val="clear" w:color="auto" w:fill="FFFF00"/>
              </w:rPr>
              <w:lastRenderedPageBreak/>
              <w:t>PART  2:</w:t>
            </w:r>
            <w:r w:rsidRPr="009A50BA">
              <w:rPr>
                <w:rFonts w:ascii="Arial" w:hAnsi="Arial" w:cs="Arial"/>
                <w:b/>
                <w:bCs/>
                <w:sz w:val="20"/>
                <w:szCs w:val="20"/>
                <w:u w:val="single"/>
              </w:rPr>
              <w:t xml:space="preserve"> </w:t>
            </w:r>
          </w:p>
        </w:tc>
      </w:tr>
      <w:tr w:rsidR="00363F3A" w:rsidRPr="009A50BA" w14:paraId="22FF9771" w14:textId="77777777">
        <w:trPr>
          <w:trHeight w:val="775"/>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FBFF35" w14:textId="77777777" w:rsidR="00363F3A" w:rsidRPr="009A50BA" w:rsidRDefault="00363F3A">
            <w:pPr>
              <w:rPr>
                <w:rFonts w:ascii="Arial" w:hAnsi="Arial" w:cs="Arial"/>
                <w:sz w:val="20"/>
                <w:szCs w:val="20"/>
              </w:rPr>
            </w:pP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A7522" w14:textId="77777777" w:rsidR="00363F3A" w:rsidRPr="009A50BA" w:rsidRDefault="00DB6446">
            <w:pPr>
              <w:pStyle w:val="2"/>
              <w:jc w:val="left"/>
              <w:rPr>
                <w:rFonts w:ascii="Arial" w:hAnsi="Arial" w:cs="Arial"/>
              </w:rPr>
            </w:pPr>
            <w:r w:rsidRPr="009A50BA">
              <w:rPr>
                <w:rFonts w:ascii="Arial" w:hAnsi="Arial" w:cs="Arial"/>
              </w:rPr>
              <w:t>Reviewer’s comment</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C943C" w14:textId="77777777" w:rsidR="00363F3A" w:rsidRPr="009A50BA" w:rsidRDefault="00DB6446">
            <w:pPr>
              <w:pStyle w:val="2"/>
              <w:jc w:val="left"/>
              <w:rPr>
                <w:rFonts w:ascii="Arial" w:hAnsi="Arial" w:cs="Arial"/>
              </w:rPr>
            </w:pPr>
            <w:r w:rsidRPr="009A50BA">
              <w:rPr>
                <w:rFonts w:ascii="Arial" w:hAnsi="Arial" w:cs="Arial"/>
              </w:rPr>
              <w:t>Author’s comment</w:t>
            </w:r>
            <w:r w:rsidRPr="009A50BA">
              <w:rPr>
                <w:rFonts w:ascii="Arial" w:hAnsi="Arial" w:cs="Arial"/>
                <w:b w:val="0"/>
                <w:bCs w:val="0"/>
              </w:rPr>
              <w:t xml:space="preserve"> </w:t>
            </w:r>
            <w:r w:rsidRPr="009A50BA">
              <w:rPr>
                <w:rFonts w:ascii="Arial" w:hAnsi="Arial" w:cs="Arial"/>
                <w:b w:val="0"/>
                <w:bCs w:val="0"/>
                <w:i/>
                <w:iCs/>
              </w:rPr>
              <w:t>(if agreed with the reviewer, correct the manuscript and highlight that part in the manuscript. It is mandatory that authors should write his/her feedback here)</w:t>
            </w:r>
          </w:p>
        </w:tc>
      </w:tr>
      <w:tr w:rsidR="00363F3A" w:rsidRPr="009A50BA" w14:paraId="1862A284" w14:textId="77777777">
        <w:trPr>
          <w:trHeight w:val="882"/>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619521" w14:textId="77777777" w:rsidR="00363F3A" w:rsidRPr="009A50BA" w:rsidRDefault="00DB6446">
            <w:pPr>
              <w:pStyle w:val="NormalWeb"/>
              <w:spacing w:before="0" w:after="0"/>
              <w:rPr>
                <w:rFonts w:ascii="Arial" w:hAnsi="Arial" w:cs="Arial"/>
                <w:sz w:val="20"/>
                <w:szCs w:val="20"/>
              </w:rPr>
            </w:pPr>
            <w:r w:rsidRPr="009A50BA">
              <w:rPr>
                <w:rFonts w:ascii="Arial" w:hAnsi="Arial" w:cs="Arial"/>
                <w:b/>
                <w:bCs/>
                <w:sz w:val="20"/>
                <w:szCs w:val="20"/>
              </w:rPr>
              <w:t xml:space="preserve">Are there ethical issues in this manuscript? </w:t>
            </w: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2ECFA" w14:textId="21EFDFAB" w:rsidR="00363F3A" w:rsidRPr="009A50BA" w:rsidRDefault="00363F3A" w:rsidP="00971C33">
            <w:pPr>
              <w:pStyle w:val="NormalWeb"/>
              <w:spacing w:before="0" w:after="0"/>
              <w:rPr>
                <w:rFonts w:ascii="Arial" w:hAnsi="Arial" w:cs="Arial"/>
                <w:sz w:val="20"/>
                <w:szCs w:val="20"/>
              </w:rPr>
            </w:pP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6A126D" w14:textId="77777777" w:rsidR="00363F3A" w:rsidRPr="009A50BA" w:rsidRDefault="00363F3A">
            <w:pPr>
              <w:pStyle w:val="a"/>
              <w:rPr>
                <w:rFonts w:ascii="Arial" w:hAnsi="Arial" w:cs="Arial"/>
                <w:sz w:val="20"/>
                <w:szCs w:val="20"/>
              </w:rPr>
            </w:pPr>
          </w:p>
          <w:p w14:paraId="2551D71C" w14:textId="77777777" w:rsidR="00363F3A" w:rsidRPr="009A50BA" w:rsidRDefault="00363F3A">
            <w:pPr>
              <w:pStyle w:val="a"/>
              <w:rPr>
                <w:rFonts w:ascii="Arial" w:hAnsi="Arial" w:cs="Arial"/>
                <w:sz w:val="20"/>
                <w:szCs w:val="20"/>
              </w:rPr>
            </w:pPr>
          </w:p>
          <w:p w14:paraId="4FB61C25" w14:textId="77777777" w:rsidR="00363F3A" w:rsidRPr="009A50BA" w:rsidRDefault="00363F3A">
            <w:pPr>
              <w:pStyle w:val="a"/>
              <w:rPr>
                <w:rFonts w:ascii="Arial" w:hAnsi="Arial" w:cs="Arial"/>
                <w:sz w:val="20"/>
                <w:szCs w:val="20"/>
              </w:rPr>
            </w:pPr>
          </w:p>
        </w:tc>
      </w:tr>
    </w:tbl>
    <w:p w14:paraId="384D0204" w14:textId="77777777" w:rsidR="00363F3A" w:rsidRDefault="00363F3A">
      <w:pPr>
        <w:pStyle w:val="BodyText"/>
        <w:rPr>
          <w:rFonts w:ascii="Arial" w:hAnsi="Arial" w:cs="Arial"/>
          <w:sz w:val="20"/>
          <w:szCs w:val="20"/>
        </w:rPr>
      </w:pPr>
    </w:p>
    <w:p w14:paraId="3C80F4F4" w14:textId="77777777" w:rsidR="009A50BA" w:rsidRPr="000906ED" w:rsidRDefault="009A50BA" w:rsidP="009A50BA">
      <w:pPr>
        <w:pStyle w:val="Affiliation"/>
        <w:spacing w:after="0" w:line="240" w:lineRule="auto"/>
        <w:jc w:val="left"/>
        <w:rPr>
          <w:rFonts w:ascii="Arial" w:hAnsi="Arial" w:cs="Arial"/>
          <w:b/>
          <w:u w:val="single"/>
        </w:rPr>
      </w:pPr>
      <w:r>
        <w:rPr>
          <w:rFonts w:ascii="Arial" w:hAnsi="Arial" w:cs="Arial"/>
        </w:rPr>
        <w:t xml:space="preserve">   </w:t>
      </w:r>
      <w:r w:rsidRPr="000906ED">
        <w:rPr>
          <w:rFonts w:ascii="Arial" w:hAnsi="Arial" w:cs="Arial"/>
          <w:b/>
          <w:u w:val="single"/>
        </w:rPr>
        <w:t>Reviewer details:</w:t>
      </w:r>
    </w:p>
    <w:p w14:paraId="3A41FF32" w14:textId="77777777" w:rsidR="009A50BA" w:rsidRPr="000906ED" w:rsidRDefault="009A50BA" w:rsidP="009A50BA">
      <w:pPr>
        <w:pStyle w:val="Affiliation"/>
        <w:spacing w:after="0" w:line="240" w:lineRule="auto"/>
        <w:jc w:val="left"/>
        <w:rPr>
          <w:rFonts w:ascii="Arial" w:hAnsi="Arial" w:cs="Arial"/>
          <w:b/>
        </w:rPr>
      </w:pPr>
    </w:p>
    <w:p w14:paraId="10E7F0BE" w14:textId="77777777" w:rsidR="009A50BA" w:rsidRPr="000906ED" w:rsidRDefault="009A50BA" w:rsidP="009A50BA">
      <w:pPr>
        <w:pStyle w:val="Affiliation"/>
        <w:spacing w:after="0" w:line="240" w:lineRule="auto"/>
        <w:jc w:val="left"/>
        <w:rPr>
          <w:rFonts w:ascii="Arial" w:hAnsi="Arial" w:cs="Arial"/>
          <w:b/>
        </w:rPr>
      </w:pPr>
      <w:proofErr w:type="spellStart"/>
      <w:r w:rsidRPr="000906ED">
        <w:rPr>
          <w:rFonts w:ascii="Arial" w:hAnsi="Arial" w:cs="Arial"/>
          <w:b/>
          <w:color w:val="000000"/>
        </w:rPr>
        <w:t>Podlepich</w:t>
      </w:r>
      <w:proofErr w:type="spellEnd"/>
      <w:r w:rsidRPr="000906ED">
        <w:rPr>
          <w:rFonts w:ascii="Arial" w:hAnsi="Arial" w:cs="Arial"/>
          <w:b/>
          <w:color w:val="000000"/>
        </w:rPr>
        <w:t xml:space="preserve"> Vitaliy, Russia</w:t>
      </w:r>
    </w:p>
    <w:p w14:paraId="2D0B58C1" w14:textId="77777777" w:rsidR="009A50BA" w:rsidRPr="000906ED" w:rsidRDefault="009A50BA" w:rsidP="009A50BA">
      <w:pPr>
        <w:pStyle w:val="Affiliation"/>
        <w:spacing w:after="0" w:line="240" w:lineRule="auto"/>
        <w:jc w:val="left"/>
        <w:rPr>
          <w:rFonts w:ascii="Arial" w:hAnsi="Arial" w:cs="Arial"/>
          <w:b/>
        </w:rPr>
      </w:pPr>
    </w:p>
    <w:p w14:paraId="78E2B859" w14:textId="2758B2A4" w:rsidR="009A50BA" w:rsidRPr="009A50BA" w:rsidRDefault="009A50BA">
      <w:pPr>
        <w:pStyle w:val="BodyText"/>
        <w:rPr>
          <w:rFonts w:ascii="Arial" w:hAnsi="Arial" w:cs="Arial"/>
          <w:sz w:val="20"/>
          <w:szCs w:val="20"/>
        </w:rPr>
      </w:pPr>
    </w:p>
    <w:sectPr w:rsidR="009A50BA" w:rsidRPr="009A50BA">
      <w:headerReference w:type="default" r:id="rId9"/>
      <w:footerReference w:type="default" r:id="rId10"/>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1C47" w14:textId="77777777" w:rsidR="00964428" w:rsidRDefault="00964428">
      <w:r>
        <w:separator/>
      </w:r>
    </w:p>
  </w:endnote>
  <w:endnote w:type="continuationSeparator" w:id="0">
    <w:p w14:paraId="2EFAC601" w14:textId="77777777" w:rsidR="00964428" w:rsidRDefault="0096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6813" w14:textId="77777777" w:rsidR="00363F3A" w:rsidRDefault="00DB6446">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(05-12-2024)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5907" w14:textId="77777777" w:rsidR="00964428" w:rsidRDefault="00964428">
      <w:r>
        <w:separator/>
      </w:r>
    </w:p>
  </w:footnote>
  <w:footnote w:type="continuationSeparator" w:id="0">
    <w:p w14:paraId="3E7F6CB6" w14:textId="77777777" w:rsidR="00964428" w:rsidRDefault="00964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8153" w14:textId="77777777" w:rsidR="00363F3A" w:rsidRDefault="00363F3A">
    <w:pPr>
      <w:pStyle w:val="a"/>
      <w:spacing w:before="100" w:after="100"/>
      <w:jc w:val="center"/>
      <w:rPr>
        <w:rFonts w:ascii="Arial" w:hAnsi="Arial"/>
        <w:b/>
        <w:bCs/>
        <w:color w:val="003399"/>
        <w:u w:val="single" w:color="003399"/>
      </w:rPr>
    </w:pPr>
  </w:p>
  <w:p w14:paraId="432D2498" w14:textId="77777777" w:rsidR="00363F3A" w:rsidRDefault="00363F3A">
    <w:pPr>
      <w:pStyle w:val="a"/>
      <w:spacing w:before="100" w:after="100"/>
      <w:jc w:val="center"/>
      <w:rPr>
        <w:rFonts w:ascii="Arial" w:hAnsi="Arial"/>
        <w:b/>
        <w:bCs/>
        <w:color w:val="003399"/>
        <w:u w:val="single" w:color="003399"/>
      </w:rPr>
    </w:pPr>
  </w:p>
  <w:p w14:paraId="35E1B416" w14:textId="77777777" w:rsidR="00363F3A" w:rsidRDefault="00DB6446">
    <w:pPr>
      <w:pStyle w:val="a"/>
      <w:spacing w:before="100" w:after="100"/>
    </w:pPr>
    <w:r>
      <w:rPr>
        <w:rFonts w:ascii="Arial" w:hAnsi="Arial"/>
        <w:b/>
        <w:bCs/>
        <w:color w:val="003399"/>
        <w:sz w:val="20"/>
        <w:szCs w:val="20"/>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F3A"/>
    <w:rsid w:val="00363F3A"/>
    <w:rsid w:val="003F6DF5"/>
    <w:rsid w:val="0087318D"/>
    <w:rsid w:val="00964428"/>
    <w:rsid w:val="00971C33"/>
    <w:rsid w:val="009A50BA"/>
    <w:rsid w:val="00C45E61"/>
    <w:rsid w:val="00D730D0"/>
    <w:rsid w:val="00DB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79E40"/>
  <w15:docId w15:val="{689298B9-1C05-4BDF-AC40-E441382C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Основной текст"/>
    <w:rPr>
      <w:rFonts w:cs="Arial Unicode MS"/>
      <w:color w:val="000000"/>
      <w:sz w:val="24"/>
      <w:szCs w:val="24"/>
      <w:u w:color="000000"/>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a0">
    <w:name w:val="Ссылка"/>
    <w:rPr>
      <w:outline w:val="0"/>
      <w:color w:val="0000FF"/>
      <w:u w:val="single" w:color="0000FF"/>
    </w:rPr>
  </w:style>
  <w:style w:type="character" w:customStyle="1" w:styleId="Hyperlink0">
    <w:name w:val="Hyperlink.0"/>
    <w:basedOn w:val="a0"/>
    <w:rPr>
      <w:rFonts w:ascii="Arial" w:eastAsia="Arial" w:hAnsi="Arial" w:cs="Arial"/>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rPr>
  </w:style>
  <w:style w:type="character" w:customStyle="1" w:styleId="Hyperlink1">
    <w:name w:val="Hyperlink.1"/>
    <w:basedOn w:val="a0"/>
    <w:rPr>
      <w:rFonts w:ascii="Arial" w:eastAsia="Arial" w:hAnsi="Arial" w:cs="Arial"/>
      <w:outline w:val="0"/>
      <w:color w:val="0000FF"/>
      <w:sz w:val="20"/>
      <w:szCs w:val="20"/>
      <w:u w:val="single" w:color="0000FF"/>
      <w:lang w:val="en-US"/>
    </w:rPr>
  </w:style>
  <w:style w:type="character" w:customStyle="1" w:styleId="Hyperlink2">
    <w:name w:val="Hyperlink.2"/>
    <w:basedOn w:val="a0"/>
    <w:rPr>
      <w:outline w:val="0"/>
      <w:color w:val="0000FF"/>
      <w:sz w:val="20"/>
      <w:szCs w:val="20"/>
      <w:u w:val="single" w:color="0000FF"/>
      <w:shd w:val="clear" w:color="auto" w:fill="FFFFFF"/>
    </w:rPr>
  </w:style>
  <w:style w:type="character" w:customStyle="1" w:styleId="Hyperlink3">
    <w:name w:val="Hyperlink.3"/>
    <w:basedOn w:val="a0"/>
    <w:rPr>
      <w:rFonts w:ascii="Arial" w:eastAsia="Arial" w:hAnsi="Arial" w:cs="Arial"/>
      <w:b/>
      <w:bCs/>
      <w:outline w:val="0"/>
      <w:color w:val="0000FF"/>
      <w:sz w:val="32"/>
      <w:szCs w:val="32"/>
      <w:u w:val="single" w:color="0000FF"/>
      <w:lang w:val="en-US"/>
    </w:rPr>
  </w:style>
  <w:style w:type="paragraph" w:customStyle="1" w:styleId="2">
    <w:name w:val="Рубрика 2"/>
    <w:next w:val="a"/>
    <w:pPr>
      <w:keepNext/>
      <w:jc w:val="both"/>
      <w:outlineLvl w:val="1"/>
    </w:pPr>
    <w:rPr>
      <w:rFonts w:ascii="Helvetica" w:hAnsi="Helvetica" w:cs="Arial Unicode MS"/>
      <w:b/>
      <w:bCs/>
      <w:color w:val="000000"/>
      <w:u w:color="000000"/>
      <w14:textOutline w14:w="0" w14:cap="flat" w14:cmpd="sng" w14:algn="ctr">
        <w14:noFill/>
        <w14:prstDash w14:val="solid"/>
        <w14:bevel/>
      </w14:textOutline>
    </w:rPr>
  </w:style>
  <w:style w:type="paragraph" w:customStyle="1" w:styleId="Affiliation">
    <w:name w:val="Affiliation"/>
    <w:basedOn w:val="Normal"/>
    <w:rsid w:val="009A50BA"/>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pm13060892" TargetMode="External"/><Relationship Id="rId3" Type="http://schemas.openxmlformats.org/officeDocument/2006/relationships/webSettings" Target="webSettings.xml"/><Relationship Id="rId7" Type="http://schemas.openxmlformats.org/officeDocument/2006/relationships/hyperlink" Target="https://doi.org/10.3390/jpm1306089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tore.bookpi.org/product/medical-science-recent-advances-and-applications-vol-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5</cp:revision>
  <dcterms:created xsi:type="dcterms:W3CDTF">2025-04-09T04:54:00Z</dcterms:created>
  <dcterms:modified xsi:type="dcterms:W3CDTF">2025-04-14T12:25:00Z</dcterms:modified>
</cp:coreProperties>
</file>